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5C" w:rsidRDefault="005F295C" w:rsidP="005F295C">
      <w:pPr>
        <w:spacing w:line="560" w:lineRule="exact"/>
        <w:rPr>
          <w:rFonts w:ascii="仿宋_GB2312" w:hint="eastAsia"/>
          <w:color w:val="000000"/>
          <w:szCs w:val="32"/>
        </w:rPr>
      </w:pPr>
    </w:p>
    <w:p w:rsidR="005F295C" w:rsidRDefault="005F295C" w:rsidP="005F295C">
      <w:pPr>
        <w:tabs>
          <w:tab w:val="right" w:pos="8789"/>
        </w:tabs>
        <w:spacing w:line="560" w:lineRule="exact"/>
        <w:jc w:val="left"/>
        <w:rPr>
          <w:rFonts w:ascii="仿宋_GB2312" w:hint="eastAsia"/>
          <w:color w:val="000000"/>
          <w:szCs w:val="32"/>
        </w:rPr>
      </w:pPr>
      <w:bookmarkStart w:id="0" w:name="办理缓急"/>
      <w:bookmarkEnd w:id="0"/>
      <w:r>
        <w:rPr>
          <w:noProof/>
        </w:rPr>
        <w:drawing>
          <wp:anchor distT="0" distB="0" distL="114300" distR="114300" simplePos="0" relativeHeight="251660288" behindDoc="1" locked="0" layoutInCell="1" allowOverlap="1">
            <wp:simplePos x="0" y="0"/>
            <wp:positionH relativeFrom="page">
              <wp:posOffset>537845</wp:posOffset>
            </wp:positionH>
            <wp:positionV relativeFrom="page">
              <wp:posOffset>720090</wp:posOffset>
            </wp:positionV>
            <wp:extent cx="6482080" cy="9431655"/>
            <wp:effectExtent l="19050" t="0" r="0" b="0"/>
            <wp:wrapNone/>
            <wp:docPr id="2" name="图片 2" descr="ht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Pic"/>
                    <pic:cNvPicPr>
                      <a:picLocks noChangeAspect="1" noChangeArrowheads="1"/>
                    </pic:cNvPicPr>
                  </pic:nvPicPr>
                  <pic:blipFill>
                    <a:blip r:embed="rId7">
                      <a:clrChange>
                        <a:clrFrom>
                          <a:srgbClr val="FFFFFF"/>
                        </a:clrFrom>
                        <a:clrTo>
                          <a:srgbClr val="FFFFFF">
                            <a:alpha val="0"/>
                          </a:srgbClr>
                        </a:clrTo>
                      </a:clrChange>
                    </a:blip>
                    <a:srcRect l="7141" t="6734" r="7141" b="5051"/>
                    <a:stretch>
                      <a:fillRect/>
                    </a:stretch>
                  </pic:blipFill>
                  <pic:spPr bwMode="auto">
                    <a:xfrm>
                      <a:off x="0" y="0"/>
                      <a:ext cx="6482080" cy="9431655"/>
                    </a:xfrm>
                    <a:prstGeom prst="rect">
                      <a:avLst/>
                    </a:prstGeom>
                    <a:noFill/>
                    <a:ln w="9525">
                      <a:noFill/>
                      <a:miter lim="800000"/>
                      <a:headEnd/>
                      <a:tailEnd/>
                    </a:ln>
                  </pic:spPr>
                </pic:pic>
              </a:graphicData>
            </a:graphic>
          </wp:anchor>
        </w:drawing>
      </w:r>
      <w:r>
        <w:rPr>
          <w:rFonts w:ascii="仿宋_GB2312" w:hint="eastAsia"/>
          <w:color w:val="000000"/>
          <w:szCs w:val="32"/>
        </w:rPr>
        <w:tab/>
      </w:r>
      <w:bookmarkStart w:id="1" w:name="文号"/>
      <w:r>
        <w:rPr>
          <w:rFonts w:ascii="仿宋_GB2312" w:hint="eastAsia"/>
          <w:color w:val="000000"/>
          <w:szCs w:val="32"/>
        </w:rPr>
        <w:t>桂交行审〔2021〕94号</w:t>
      </w:r>
      <w:bookmarkEnd w:id="1"/>
    </w:p>
    <w:p w:rsidR="005F295C" w:rsidRDefault="005F295C" w:rsidP="005F295C">
      <w:pPr>
        <w:spacing w:line="560" w:lineRule="exact"/>
        <w:rPr>
          <w:rFonts w:ascii="仿宋_GB2312" w:hint="eastAsia"/>
          <w:color w:val="000000"/>
          <w:szCs w:val="32"/>
        </w:rPr>
      </w:pPr>
    </w:p>
    <w:p w:rsidR="005F295C" w:rsidRDefault="005F295C" w:rsidP="005F295C">
      <w:pPr>
        <w:spacing w:line="560" w:lineRule="exact"/>
        <w:jc w:val="center"/>
        <w:rPr>
          <w:rFonts w:ascii="创艺简标宋" w:eastAsia="创艺简标宋" w:hint="eastAsia"/>
          <w:color w:val="000000"/>
          <w:sz w:val="44"/>
          <w:szCs w:val="44"/>
        </w:rPr>
      </w:pPr>
      <w:bookmarkStart w:id="2" w:name="发文标题"/>
      <w:r>
        <w:rPr>
          <w:rFonts w:ascii="创艺简标宋" w:eastAsia="创艺简标宋" w:hint="eastAsia"/>
          <w:color w:val="000000"/>
          <w:sz w:val="44"/>
          <w:szCs w:val="44"/>
        </w:rPr>
        <w:t xml:space="preserve"> 广西壮族自治区交通运输厅关于钦州港</w:t>
      </w:r>
    </w:p>
    <w:p w:rsidR="005F295C" w:rsidRDefault="005F295C" w:rsidP="005F295C">
      <w:pPr>
        <w:spacing w:line="560" w:lineRule="exact"/>
        <w:jc w:val="center"/>
        <w:rPr>
          <w:rFonts w:ascii="创艺简标宋" w:eastAsia="创艺简标宋" w:hint="eastAsia"/>
          <w:color w:val="000000"/>
          <w:sz w:val="44"/>
          <w:szCs w:val="44"/>
        </w:rPr>
      </w:pPr>
      <w:r>
        <w:rPr>
          <w:rFonts w:ascii="创艺简标宋" w:eastAsia="创艺简标宋" w:hint="eastAsia"/>
          <w:color w:val="000000"/>
          <w:sz w:val="44"/>
          <w:szCs w:val="44"/>
        </w:rPr>
        <w:t>大榄坪港区大榄坪南作业区12号</w:t>
      </w:r>
    </w:p>
    <w:p w:rsidR="005F295C" w:rsidRPr="000B78EF" w:rsidRDefault="005F295C" w:rsidP="005F295C">
      <w:pPr>
        <w:spacing w:line="560" w:lineRule="exact"/>
        <w:jc w:val="center"/>
        <w:rPr>
          <w:rFonts w:ascii="创艺简标宋" w:eastAsia="创艺简标宋" w:hint="eastAsia"/>
          <w:color w:val="000000"/>
          <w:sz w:val="44"/>
          <w:szCs w:val="44"/>
        </w:rPr>
      </w:pPr>
      <w:r>
        <w:rPr>
          <w:rFonts w:ascii="创艺简标宋" w:eastAsia="创艺简标宋" w:hint="eastAsia"/>
          <w:color w:val="000000"/>
          <w:sz w:val="44"/>
          <w:szCs w:val="44"/>
        </w:rPr>
        <w:t>泊位工程初步设计变更的批复</w:t>
      </w:r>
      <w:bookmarkEnd w:id="2"/>
    </w:p>
    <w:p w:rsidR="005F295C" w:rsidRDefault="005F295C" w:rsidP="005F295C">
      <w:pPr>
        <w:spacing w:line="560" w:lineRule="exact"/>
        <w:ind w:firstLineChars="200" w:firstLine="632"/>
        <w:rPr>
          <w:rFonts w:ascii="仿宋_GB2312" w:hint="eastAsia"/>
          <w:color w:val="000000"/>
          <w:szCs w:val="32"/>
        </w:rPr>
      </w:pPr>
      <w:bookmarkStart w:id="3" w:name="主送"/>
    </w:p>
    <w:p w:rsidR="005F295C" w:rsidRDefault="005F295C" w:rsidP="005F295C">
      <w:pPr>
        <w:spacing w:line="560" w:lineRule="exact"/>
        <w:rPr>
          <w:rFonts w:ascii="仿宋_GB2312" w:hint="eastAsia"/>
          <w:color w:val="000000"/>
          <w:szCs w:val="32"/>
        </w:rPr>
      </w:pPr>
      <w:r>
        <w:rPr>
          <w:rFonts w:ascii="仿宋_GB2312" w:hint="eastAsia"/>
          <w:color w:val="000000"/>
          <w:szCs w:val="32"/>
        </w:rPr>
        <w:t>广西北部湾国际港务集团有限公司</w:t>
      </w:r>
      <w:bookmarkEnd w:id="3"/>
      <w:r>
        <w:rPr>
          <w:rFonts w:ascii="仿宋_GB2312" w:hint="eastAsia"/>
          <w:color w:val="000000"/>
          <w:szCs w:val="32"/>
        </w:rPr>
        <w:t>：</w:t>
      </w:r>
    </w:p>
    <w:p w:rsidR="005F295C" w:rsidRDefault="005F295C" w:rsidP="005F295C">
      <w:pPr>
        <w:spacing w:line="560" w:lineRule="exact"/>
        <w:ind w:firstLineChars="200" w:firstLine="632"/>
        <w:rPr>
          <w:rFonts w:ascii="仿宋_GB2312" w:hAnsi="仿宋" w:hint="eastAsia"/>
          <w:szCs w:val="48"/>
        </w:rPr>
      </w:pPr>
      <w:bookmarkStart w:id="4" w:name="Content"/>
      <w:r>
        <w:rPr>
          <w:rFonts w:ascii="仿宋_GB2312" w:hAnsi="仿宋" w:hint="eastAsia"/>
          <w:szCs w:val="48"/>
        </w:rPr>
        <w:t>《广西北部湾国际港务集团有限公司关于审批钦州港大榄坪港区大榄坪南作业区12号泊位工程初步设计（调整）的请示》（桂港字〔2021〕55 号）收悉。由于钦州港石化产业结构和中石油国际储备库功能调整，为充分发挥已建港口深水岸线作用，根据《钦州港总体规划（2035年）》以及港口生产需要，将12号10万吨级原油泊位调整为10万吨级多用途泊位，近期可兼顾干散货作业功能，中期改造为专业化集装箱泊位。经商自治区发展改革委，结合咨询审查单位意见，我厅同意此次变更，具体如下：</w:t>
      </w:r>
    </w:p>
    <w:p w:rsidR="005F295C" w:rsidRDefault="005F295C" w:rsidP="005F295C">
      <w:pPr>
        <w:numPr>
          <w:ilvl w:val="0"/>
          <w:numId w:val="1"/>
        </w:numPr>
        <w:spacing w:line="560" w:lineRule="exact"/>
        <w:ind w:firstLineChars="200" w:firstLine="632"/>
        <w:rPr>
          <w:rFonts w:ascii="仿宋_GB2312" w:hAnsi="仿宋" w:hint="eastAsia"/>
          <w:szCs w:val="48"/>
        </w:rPr>
      </w:pPr>
      <w:r>
        <w:rPr>
          <w:rFonts w:ascii="仿宋_GB2312" w:hAnsi="仿宋" w:cs="仿宋" w:hint="eastAsia"/>
          <w:szCs w:val="32"/>
        </w:rPr>
        <w:t>同意项目建设规模由1个10万吨级原油泊位（已建）调整为1个10万吨级多用途泊位，泊位长度为304.5米。</w:t>
      </w:r>
      <w:r>
        <w:rPr>
          <w:rFonts w:ascii="仿宋_GB2312" w:hAnsi="仿宋" w:hint="eastAsia"/>
          <w:szCs w:val="48"/>
        </w:rPr>
        <w:t>设计年通过能力调整为216万吨。</w:t>
      </w:r>
    </w:p>
    <w:p w:rsidR="005F295C" w:rsidRDefault="005F295C" w:rsidP="005F295C">
      <w:pPr>
        <w:numPr>
          <w:ilvl w:val="0"/>
          <w:numId w:val="1"/>
        </w:numPr>
        <w:spacing w:line="560" w:lineRule="exact"/>
        <w:ind w:firstLineChars="200" w:firstLine="632"/>
        <w:rPr>
          <w:rFonts w:ascii="仿宋_GB2312" w:hAnsi="仿宋" w:hint="eastAsia"/>
          <w:szCs w:val="48"/>
        </w:rPr>
      </w:pPr>
      <w:r>
        <w:rPr>
          <w:rFonts w:ascii="仿宋_GB2312" w:hAnsi="仿宋" w:hint="eastAsia"/>
          <w:szCs w:val="48"/>
        </w:rPr>
        <w:t>同意设计代表船型调整为：</w:t>
      </w:r>
      <w:r>
        <w:rPr>
          <w:rFonts w:ascii="仿宋_GB2312" w:hAnsi="仿宋" w:cs="仿宋" w:hint="eastAsia"/>
          <w:szCs w:val="32"/>
        </w:rPr>
        <w:t>100000吨级散货船，船型尺度为250米×43.0米×20.3米×14.5米（总长×型宽×型深×满载吃水）；40000吨级杂货船，船型尺度为200米×32.3米×</w:t>
      </w:r>
      <w:r>
        <w:rPr>
          <w:rFonts w:ascii="仿宋_GB2312" w:hAnsi="仿宋" w:cs="仿宋" w:hint="eastAsia"/>
          <w:szCs w:val="32"/>
        </w:rPr>
        <w:lastRenderedPageBreak/>
        <w:t>19.0米×12.3米（总长×型宽×型深×满载吃水）。</w:t>
      </w:r>
    </w:p>
    <w:p w:rsidR="005F295C" w:rsidRDefault="005F295C" w:rsidP="005F295C">
      <w:pPr>
        <w:numPr>
          <w:ilvl w:val="0"/>
          <w:numId w:val="1"/>
        </w:numPr>
        <w:snapToGrid w:val="0"/>
        <w:spacing w:line="560" w:lineRule="exact"/>
        <w:ind w:firstLineChars="200" w:firstLine="632"/>
        <w:rPr>
          <w:rFonts w:ascii="仿宋_GB2312" w:hAnsi="仿宋" w:cs="仿宋" w:hint="eastAsia"/>
          <w:szCs w:val="32"/>
        </w:rPr>
      </w:pPr>
      <w:r>
        <w:rPr>
          <w:rFonts w:ascii="仿宋_GB2312" w:hAnsi="仿宋" w:cs="仿宋" w:hint="eastAsia"/>
          <w:szCs w:val="32"/>
        </w:rPr>
        <w:t>原则同意总平面布置调整方案，调整方案提出的总平面布置方案符合《海港总体设计规范》（JTS165－2013）要求，满足项目建设规模及设计货物吞吐量的要求。</w:t>
      </w:r>
    </w:p>
    <w:p w:rsidR="005F295C" w:rsidRDefault="005F295C" w:rsidP="005F295C">
      <w:pPr>
        <w:numPr>
          <w:ilvl w:val="0"/>
          <w:numId w:val="2"/>
        </w:numPr>
        <w:snapToGrid w:val="0"/>
        <w:spacing w:line="560" w:lineRule="exact"/>
        <w:ind w:firstLineChars="200" w:firstLine="632"/>
        <w:rPr>
          <w:rFonts w:ascii="仿宋_GB2312" w:hAnsi="仿宋" w:cs="仿宋" w:hint="eastAsia"/>
          <w:szCs w:val="32"/>
        </w:rPr>
      </w:pPr>
      <w:r>
        <w:rPr>
          <w:rFonts w:ascii="仿宋_GB2312" w:hAnsi="仿宋" w:cs="仿宋" w:hint="eastAsia"/>
          <w:szCs w:val="32"/>
        </w:rPr>
        <w:t>项目回旋水域与扩建航道间的连接水域按底高程-13.30米进行疏浚；回旋水域直径由492米调整为500米，底高程由-13.00米调整为-13.30米。</w:t>
      </w:r>
    </w:p>
    <w:p w:rsidR="005F295C" w:rsidRDefault="005F295C" w:rsidP="005F295C">
      <w:pPr>
        <w:numPr>
          <w:ilvl w:val="0"/>
          <w:numId w:val="2"/>
        </w:numPr>
        <w:snapToGrid w:val="0"/>
        <w:spacing w:line="560" w:lineRule="exact"/>
        <w:ind w:firstLineChars="200" w:firstLine="632"/>
        <w:rPr>
          <w:rFonts w:ascii="仿宋_GB2312" w:hAnsi="仿宋" w:cs="仿宋" w:hint="eastAsia"/>
          <w:szCs w:val="32"/>
        </w:rPr>
      </w:pPr>
      <w:r>
        <w:rPr>
          <w:rFonts w:ascii="仿宋_GB2312" w:hAnsi="仿宋" w:cs="仿宋" w:hint="eastAsia"/>
          <w:szCs w:val="32"/>
        </w:rPr>
        <w:t>拆除输油臂、输油管道、登船梯、消防炮、快速脱缆钩等码头面上设施，拆除原设计中控楼、消防水池，污水调节池及排放池；增设防风系缆设施；道路堆场、生产和辅助建筑物等相应调整。</w:t>
      </w:r>
      <w:bookmarkStart w:id="5" w:name="_GoBack"/>
      <w:bookmarkEnd w:id="5"/>
    </w:p>
    <w:p w:rsidR="005F295C" w:rsidRDefault="005F295C" w:rsidP="005F295C">
      <w:pPr>
        <w:numPr>
          <w:ilvl w:val="0"/>
          <w:numId w:val="1"/>
        </w:numPr>
        <w:snapToGrid w:val="0"/>
        <w:spacing w:line="560" w:lineRule="exact"/>
        <w:ind w:firstLineChars="200" w:firstLine="632"/>
        <w:rPr>
          <w:rFonts w:ascii="仿宋_GB2312" w:hAnsi="仿宋" w:cs="仿宋" w:hint="eastAsia"/>
          <w:szCs w:val="32"/>
        </w:rPr>
      </w:pPr>
      <w:r>
        <w:rPr>
          <w:rFonts w:ascii="仿宋_GB2312" w:hAnsi="仿宋" w:cs="仿宋" w:hint="eastAsia"/>
          <w:szCs w:val="32"/>
        </w:rPr>
        <w:t>原则同意装卸工艺调整方案。码头前沿装卸船作业采用6台25t-35m门座起重机。</w:t>
      </w:r>
    </w:p>
    <w:p w:rsidR="005F295C" w:rsidRDefault="005F295C" w:rsidP="005F295C">
      <w:pPr>
        <w:numPr>
          <w:ilvl w:val="0"/>
          <w:numId w:val="1"/>
        </w:numPr>
        <w:snapToGrid w:val="0"/>
        <w:spacing w:line="560" w:lineRule="exact"/>
        <w:ind w:firstLineChars="200" w:firstLine="632"/>
        <w:rPr>
          <w:rFonts w:ascii="仿宋_GB2312" w:hAnsi="仿宋" w:cs="仿宋" w:hint="eastAsia"/>
          <w:szCs w:val="32"/>
        </w:rPr>
      </w:pPr>
      <w:r>
        <w:rPr>
          <w:rFonts w:ascii="仿宋_GB2312" w:hAnsi="仿宋" w:cs="仿宋" w:hint="eastAsia"/>
          <w:szCs w:val="32"/>
        </w:rPr>
        <w:t>水工建筑物按原批复已建成。原则同意利用已建卸荷板上的纵梁改造成轨道梁并布置QU100钢轨，拆除快速脱缆钩加设1000千牛系船柱的调整方案。</w:t>
      </w:r>
    </w:p>
    <w:p w:rsidR="005F295C" w:rsidRDefault="005F295C" w:rsidP="005F295C">
      <w:pPr>
        <w:numPr>
          <w:ilvl w:val="0"/>
          <w:numId w:val="1"/>
        </w:numPr>
        <w:snapToGrid w:val="0"/>
        <w:spacing w:line="560" w:lineRule="exact"/>
        <w:ind w:firstLineChars="200" w:firstLine="632"/>
        <w:rPr>
          <w:rFonts w:ascii="仿宋_GB2312" w:hAnsi="仿宋" w:cs="仿宋" w:hint="eastAsia"/>
          <w:szCs w:val="32"/>
        </w:rPr>
      </w:pPr>
      <w:r>
        <w:rPr>
          <w:rFonts w:ascii="仿宋_GB2312" w:hAnsi="仿宋" w:cs="仿宋" w:hint="eastAsia"/>
          <w:szCs w:val="32"/>
        </w:rPr>
        <w:t>工程概算总投资由57345.28万元调整为52072.61万元（其中已投入43802.90万元，本次调整改造投资为8269.71万元）。</w:t>
      </w:r>
    </w:p>
    <w:p w:rsidR="005F295C" w:rsidRDefault="005F295C" w:rsidP="005F295C">
      <w:pPr>
        <w:numPr>
          <w:ilvl w:val="0"/>
          <w:numId w:val="1"/>
        </w:numPr>
        <w:snapToGrid w:val="0"/>
        <w:spacing w:line="560" w:lineRule="exact"/>
        <w:ind w:firstLineChars="200" w:firstLine="632"/>
        <w:rPr>
          <w:rFonts w:ascii="仿宋_GB2312" w:hAnsi="仿宋" w:cs="仿宋" w:hint="eastAsia"/>
          <w:szCs w:val="32"/>
        </w:rPr>
      </w:pPr>
      <w:r>
        <w:rPr>
          <w:rFonts w:ascii="仿宋_GB2312" w:hAnsi="仿宋" w:cs="仿宋" w:hint="eastAsia"/>
          <w:szCs w:val="32"/>
        </w:rPr>
        <w:t>其他事项按《广西壮族自治区交通运输厅关于钦州港大榄坪港区大榄坪南作业区12号泊位工程初步设计的批复》（桂交行审〔2013〕177号）执行。</w:t>
      </w:r>
    </w:p>
    <w:p w:rsidR="005F295C" w:rsidRDefault="005F295C" w:rsidP="005F295C">
      <w:pPr>
        <w:snapToGrid w:val="0"/>
        <w:spacing w:line="560" w:lineRule="exact"/>
        <w:ind w:firstLineChars="200" w:firstLine="632"/>
        <w:rPr>
          <w:rFonts w:ascii="仿宋_GB2312" w:hAnsi="仿宋" w:cs="仿宋" w:hint="eastAsia"/>
          <w:szCs w:val="32"/>
        </w:rPr>
      </w:pPr>
      <w:r>
        <w:rPr>
          <w:rFonts w:ascii="仿宋_GB2312" w:hAnsi="仿宋" w:cs="仿宋" w:hint="eastAsia"/>
          <w:szCs w:val="32"/>
        </w:rPr>
        <w:t>附件：钦州港大榄坪港区大榄坪南作业区12号泊位工程初</w:t>
      </w:r>
    </w:p>
    <w:p w:rsidR="005F295C" w:rsidRDefault="005F295C" w:rsidP="005F295C">
      <w:pPr>
        <w:snapToGrid w:val="0"/>
        <w:spacing w:line="560" w:lineRule="exact"/>
        <w:ind w:firstLineChars="200" w:firstLine="632"/>
        <w:rPr>
          <w:rFonts w:ascii="仿宋_GB2312" w:hAnsi="仿宋" w:cs="仿宋" w:hint="eastAsia"/>
          <w:szCs w:val="32"/>
        </w:rPr>
      </w:pPr>
      <w:r>
        <w:rPr>
          <w:rFonts w:ascii="仿宋_GB2312" w:hAnsi="仿宋" w:cs="仿宋" w:hint="eastAsia"/>
          <w:szCs w:val="32"/>
        </w:rPr>
        <w:lastRenderedPageBreak/>
        <w:t xml:space="preserve">      步设计变更总概算对比表</w:t>
      </w:r>
    </w:p>
    <w:p w:rsidR="005F295C" w:rsidRDefault="005F295C" w:rsidP="005F295C">
      <w:pPr>
        <w:snapToGrid w:val="0"/>
        <w:spacing w:line="560" w:lineRule="exact"/>
        <w:ind w:firstLineChars="200" w:firstLine="632"/>
        <w:rPr>
          <w:rFonts w:ascii="仿宋_GB2312" w:hAnsi="仿宋" w:cs="仿宋" w:hint="eastAsia"/>
          <w:szCs w:val="32"/>
        </w:rPr>
      </w:pPr>
    </w:p>
    <w:p w:rsidR="005F295C" w:rsidRDefault="005F295C" w:rsidP="005F295C">
      <w:pPr>
        <w:snapToGrid w:val="0"/>
        <w:spacing w:line="560" w:lineRule="exact"/>
        <w:ind w:firstLineChars="200" w:firstLine="632"/>
        <w:rPr>
          <w:rFonts w:ascii="仿宋_GB2312" w:hAnsi="仿宋" w:cs="仿宋" w:hint="eastAsia"/>
          <w:szCs w:val="32"/>
        </w:rPr>
      </w:pPr>
    </w:p>
    <w:p w:rsidR="005F295C" w:rsidRPr="00677994" w:rsidRDefault="005F295C" w:rsidP="005F295C">
      <w:pPr>
        <w:widowControl/>
        <w:spacing w:line="560" w:lineRule="exact"/>
        <w:ind w:firstLineChars="200" w:firstLine="392"/>
        <w:rPr>
          <w:rFonts w:eastAsia="宋体" w:hint="eastAsia"/>
          <w:sz w:val="20"/>
          <w:szCs w:val="20"/>
        </w:rPr>
      </w:pPr>
    </w:p>
    <w:p w:rsidR="005F295C" w:rsidRDefault="005F295C" w:rsidP="005F295C">
      <w:pPr>
        <w:snapToGrid w:val="0"/>
        <w:spacing w:line="560" w:lineRule="exact"/>
        <w:ind w:rightChars="400" w:right="1263" w:firstLineChars="200" w:firstLine="632"/>
        <w:jc w:val="right"/>
        <w:rPr>
          <w:rFonts w:ascii="仿宋_GB2312" w:hAnsi="仿宋" w:cs="仿宋" w:hint="eastAsia"/>
          <w:szCs w:val="32"/>
        </w:rPr>
      </w:pPr>
      <w:r>
        <w:rPr>
          <w:rFonts w:ascii="仿宋_GB2312" w:hAnsi="仿宋" w:cs="仿宋" w:hint="eastAsia"/>
          <w:szCs w:val="32"/>
        </w:rPr>
        <w:t>2021年4月28日</w:t>
      </w:r>
    </w:p>
    <w:p w:rsidR="005F295C" w:rsidRDefault="005F295C" w:rsidP="005F295C">
      <w:pPr>
        <w:snapToGrid w:val="0"/>
        <w:spacing w:line="560" w:lineRule="exact"/>
        <w:ind w:rightChars="400" w:right="1263" w:firstLineChars="200" w:firstLine="632"/>
        <w:rPr>
          <w:rFonts w:ascii="仿宋_GB2312" w:hAnsi="仿宋" w:cs="仿宋"/>
          <w:szCs w:val="32"/>
        </w:rPr>
      </w:pPr>
      <w:r>
        <w:rPr>
          <w:rFonts w:ascii="仿宋_GB2312" w:hAnsi="仿宋" w:cs="仿宋" w:hint="eastAsia"/>
          <w:szCs w:val="32"/>
        </w:rPr>
        <w:t>（此件公开发布）</w:t>
      </w:r>
    </w:p>
    <w:p w:rsidR="005F295C" w:rsidRPr="00806515" w:rsidRDefault="005F295C" w:rsidP="005F295C">
      <w:pPr>
        <w:snapToGrid w:val="0"/>
        <w:spacing w:line="560" w:lineRule="exact"/>
        <w:rPr>
          <w:rFonts w:ascii="黑体" w:eastAsia="黑体" w:hAnsi="黑体" w:cs="仿宋" w:hint="eastAsia"/>
          <w:szCs w:val="32"/>
        </w:rPr>
      </w:pPr>
      <w:r>
        <w:rPr>
          <w:rFonts w:ascii="仿宋_GB2312" w:hint="eastAsia"/>
          <w:color w:val="000000"/>
          <w:szCs w:val="32"/>
        </w:rPr>
        <w:br w:type="page"/>
      </w:r>
      <w:r w:rsidRPr="00806515">
        <w:rPr>
          <w:rFonts w:ascii="黑体" w:eastAsia="黑体" w:hAnsi="黑体" w:cs="仿宋" w:hint="eastAsia"/>
          <w:szCs w:val="32"/>
        </w:rPr>
        <w:lastRenderedPageBreak/>
        <w:t>附件</w:t>
      </w:r>
    </w:p>
    <w:p w:rsidR="005F295C" w:rsidRDefault="005F295C" w:rsidP="005F295C">
      <w:pPr>
        <w:snapToGrid w:val="0"/>
        <w:jc w:val="center"/>
        <w:rPr>
          <w:rFonts w:ascii="创艺简标宋" w:eastAsia="创艺简标宋" w:hAnsi="仿宋" w:cs="仿宋" w:hint="eastAsia"/>
          <w:sz w:val="44"/>
          <w:szCs w:val="32"/>
        </w:rPr>
      </w:pPr>
      <w:r w:rsidRPr="00806515">
        <w:rPr>
          <w:rFonts w:ascii="创艺简标宋" w:eastAsia="创艺简标宋" w:hAnsi="仿宋" w:cs="仿宋" w:hint="eastAsia"/>
          <w:sz w:val="44"/>
          <w:szCs w:val="32"/>
        </w:rPr>
        <w:t>钦州港大榄坪港区大榄坪南作业区12号泊位</w:t>
      </w:r>
    </w:p>
    <w:p w:rsidR="005F295C" w:rsidRPr="00806515" w:rsidRDefault="005F295C" w:rsidP="005F295C">
      <w:pPr>
        <w:snapToGrid w:val="0"/>
        <w:jc w:val="center"/>
        <w:rPr>
          <w:rFonts w:ascii="创艺简标宋" w:eastAsia="创艺简标宋" w:hAnsi="仿宋" w:cs="仿宋" w:hint="eastAsia"/>
          <w:sz w:val="44"/>
          <w:szCs w:val="32"/>
        </w:rPr>
      </w:pPr>
      <w:r w:rsidRPr="00806515">
        <w:rPr>
          <w:rFonts w:ascii="创艺简标宋" w:eastAsia="创艺简标宋" w:hAnsi="仿宋" w:cs="仿宋" w:hint="eastAsia"/>
          <w:sz w:val="44"/>
          <w:szCs w:val="32"/>
        </w:rPr>
        <w:t>工程初步设计变更总概算对比表</w:t>
      </w:r>
    </w:p>
    <w:p w:rsidR="005F295C" w:rsidRDefault="005F295C" w:rsidP="005F295C">
      <w:pPr>
        <w:snapToGrid w:val="0"/>
        <w:rPr>
          <w:rFonts w:ascii="仿宋" w:eastAsia="仿宋" w:hAnsi="仿宋" w:cs="仿宋" w:hint="eastAsia"/>
          <w:szCs w:val="32"/>
        </w:rPr>
      </w:pPr>
    </w:p>
    <w:tbl>
      <w:tblPr>
        <w:tblW w:w="55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047"/>
        <w:gridCol w:w="1403"/>
        <w:gridCol w:w="1457"/>
        <w:gridCol w:w="1427"/>
        <w:gridCol w:w="1043"/>
        <w:gridCol w:w="1160"/>
      </w:tblGrid>
      <w:tr w:rsidR="005F295C" w:rsidRPr="00806515" w:rsidTr="00B1744C">
        <w:trPr>
          <w:cantSplit/>
          <w:trHeight w:val="20"/>
          <w:tblHeader/>
          <w:jc w:val="center"/>
        </w:trPr>
        <w:tc>
          <w:tcPr>
            <w:tcW w:w="282" w:type="pct"/>
            <w:vMerge w:val="restart"/>
            <w:vAlign w:val="center"/>
            <w:hideMark/>
          </w:tcPr>
          <w:p w:rsidR="005F295C" w:rsidRPr="00806515" w:rsidRDefault="005F295C" w:rsidP="00B1744C">
            <w:pPr>
              <w:spacing w:line="0" w:lineRule="atLeast"/>
              <w:jc w:val="center"/>
              <w:rPr>
                <w:rFonts w:ascii="黑体" w:eastAsia="黑体" w:hAnsi="黑体" w:hint="eastAsia"/>
                <w:sz w:val="24"/>
                <w:szCs w:val="24"/>
              </w:rPr>
            </w:pPr>
            <w:r w:rsidRPr="00806515">
              <w:rPr>
                <w:rFonts w:ascii="黑体" w:eastAsia="黑体" w:hAnsi="黑体" w:hint="eastAsia"/>
                <w:sz w:val="24"/>
                <w:szCs w:val="24"/>
              </w:rPr>
              <w:t>序</w:t>
            </w:r>
          </w:p>
          <w:p w:rsidR="005F295C" w:rsidRPr="00806515" w:rsidRDefault="005F295C" w:rsidP="00B1744C">
            <w:pPr>
              <w:spacing w:line="0" w:lineRule="atLeast"/>
              <w:jc w:val="center"/>
              <w:rPr>
                <w:rFonts w:ascii="黑体" w:eastAsia="黑体" w:hAnsi="黑体" w:hint="eastAsia"/>
                <w:sz w:val="24"/>
                <w:szCs w:val="24"/>
              </w:rPr>
            </w:pPr>
            <w:r w:rsidRPr="00806515">
              <w:rPr>
                <w:rFonts w:ascii="黑体" w:eastAsia="黑体" w:hAnsi="黑体" w:hint="eastAsia"/>
                <w:sz w:val="24"/>
                <w:szCs w:val="24"/>
              </w:rPr>
              <w:t>号</w:t>
            </w:r>
          </w:p>
        </w:tc>
        <w:tc>
          <w:tcPr>
            <w:tcW w:w="1507" w:type="pct"/>
            <w:vMerge w:val="restart"/>
            <w:vAlign w:val="center"/>
            <w:hideMark/>
          </w:tcPr>
          <w:p w:rsidR="005F295C" w:rsidRPr="00806515" w:rsidRDefault="005F295C" w:rsidP="00B1744C">
            <w:pPr>
              <w:spacing w:line="0" w:lineRule="atLeast"/>
              <w:jc w:val="center"/>
              <w:rPr>
                <w:rFonts w:ascii="黑体" w:eastAsia="黑体" w:hAnsi="黑体" w:hint="eastAsia"/>
                <w:sz w:val="24"/>
                <w:szCs w:val="24"/>
              </w:rPr>
            </w:pPr>
            <w:r w:rsidRPr="00806515">
              <w:rPr>
                <w:rFonts w:ascii="黑体" w:eastAsia="黑体" w:hAnsi="黑体" w:hint="eastAsia"/>
                <w:sz w:val="24"/>
                <w:szCs w:val="24"/>
              </w:rPr>
              <w:t>费用项目</w:t>
            </w:r>
          </w:p>
        </w:tc>
        <w:tc>
          <w:tcPr>
            <w:tcW w:w="694" w:type="pct"/>
            <w:vMerge w:val="restart"/>
            <w:vAlign w:val="center"/>
            <w:hideMark/>
          </w:tcPr>
          <w:p w:rsidR="005F295C" w:rsidRPr="00806515" w:rsidRDefault="005F295C" w:rsidP="00B1744C">
            <w:pPr>
              <w:spacing w:line="0" w:lineRule="atLeast"/>
              <w:jc w:val="center"/>
              <w:rPr>
                <w:rFonts w:ascii="黑体" w:eastAsia="黑体" w:hAnsi="黑体" w:hint="eastAsia"/>
                <w:sz w:val="24"/>
                <w:szCs w:val="24"/>
              </w:rPr>
            </w:pPr>
            <w:r w:rsidRPr="00806515">
              <w:rPr>
                <w:rFonts w:ascii="黑体" w:eastAsia="黑体" w:hAnsi="黑体" w:hint="eastAsia"/>
                <w:sz w:val="24"/>
                <w:szCs w:val="24"/>
              </w:rPr>
              <w:t>原批复概算</w:t>
            </w:r>
            <w:r w:rsidRPr="00806515">
              <w:rPr>
                <w:rFonts w:ascii="黑体" w:eastAsia="黑体" w:hAnsi="黑体" w:hint="eastAsia"/>
                <w:sz w:val="24"/>
                <w:szCs w:val="24"/>
              </w:rPr>
              <w:br/>
              <w:t>（万元）</w:t>
            </w:r>
          </w:p>
        </w:tc>
        <w:tc>
          <w:tcPr>
            <w:tcW w:w="1943" w:type="pct"/>
            <w:gridSpan w:val="3"/>
            <w:vAlign w:val="center"/>
            <w:hideMark/>
          </w:tcPr>
          <w:p w:rsidR="005F295C" w:rsidRPr="00806515" w:rsidRDefault="005F295C" w:rsidP="00B1744C">
            <w:pPr>
              <w:spacing w:line="0" w:lineRule="atLeast"/>
              <w:jc w:val="center"/>
              <w:rPr>
                <w:rFonts w:ascii="黑体" w:eastAsia="黑体" w:hAnsi="黑体" w:hint="eastAsia"/>
                <w:sz w:val="24"/>
                <w:szCs w:val="24"/>
              </w:rPr>
            </w:pPr>
            <w:r w:rsidRPr="00806515">
              <w:rPr>
                <w:rFonts w:ascii="黑体" w:eastAsia="黑体" w:hAnsi="黑体" w:hint="eastAsia"/>
                <w:sz w:val="24"/>
                <w:szCs w:val="24"/>
              </w:rPr>
              <w:t>变更概算（万元）</w:t>
            </w:r>
          </w:p>
        </w:tc>
        <w:tc>
          <w:tcPr>
            <w:tcW w:w="574" w:type="pct"/>
            <w:vMerge w:val="restart"/>
            <w:vAlign w:val="center"/>
            <w:hideMark/>
          </w:tcPr>
          <w:p w:rsidR="005F295C" w:rsidRPr="00806515" w:rsidRDefault="005F295C" w:rsidP="00B1744C">
            <w:pPr>
              <w:spacing w:line="0" w:lineRule="atLeast"/>
              <w:jc w:val="center"/>
              <w:rPr>
                <w:rFonts w:ascii="黑体" w:eastAsia="黑体" w:hAnsi="黑体" w:hint="eastAsia"/>
                <w:sz w:val="24"/>
                <w:szCs w:val="24"/>
              </w:rPr>
            </w:pPr>
            <w:r w:rsidRPr="00806515">
              <w:rPr>
                <w:rFonts w:ascii="黑体" w:eastAsia="黑体" w:hAnsi="黑体" w:hint="eastAsia"/>
                <w:sz w:val="24"/>
                <w:szCs w:val="24"/>
              </w:rPr>
              <w:t>差值</w:t>
            </w:r>
            <w:r w:rsidRPr="00806515">
              <w:rPr>
                <w:rFonts w:ascii="黑体" w:eastAsia="黑体" w:hAnsi="黑体" w:hint="eastAsia"/>
                <w:sz w:val="24"/>
                <w:szCs w:val="24"/>
              </w:rPr>
              <w:br/>
              <w:t>（万元）</w:t>
            </w:r>
          </w:p>
        </w:tc>
      </w:tr>
      <w:tr w:rsidR="005F295C" w:rsidRPr="00806515" w:rsidTr="00B1744C">
        <w:trPr>
          <w:cantSplit/>
          <w:trHeight w:val="20"/>
          <w:tblHeader/>
          <w:jc w:val="center"/>
        </w:trPr>
        <w:tc>
          <w:tcPr>
            <w:tcW w:w="0" w:type="auto"/>
            <w:vMerge/>
            <w:vAlign w:val="center"/>
            <w:hideMark/>
          </w:tcPr>
          <w:p w:rsidR="005F295C" w:rsidRPr="00806515" w:rsidRDefault="005F295C" w:rsidP="00B1744C">
            <w:pPr>
              <w:spacing w:line="0" w:lineRule="atLeast"/>
              <w:jc w:val="center"/>
              <w:rPr>
                <w:rFonts w:ascii="黑体" w:eastAsia="黑体" w:hAnsi="黑体" w:hint="eastAsia"/>
                <w:sz w:val="24"/>
                <w:szCs w:val="24"/>
              </w:rPr>
            </w:pPr>
          </w:p>
        </w:tc>
        <w:tc>
          <w:tcPr>
            <w:tcW w:w="0" w:type="auto"/>
            <w:vMerge/>
            <w:vAlign w:val="center"/>
            <w:hideMark/>
          </w:tcPr>
          <w:p w:rsidR="005F295C" w:rsidRPr="00806515" w:rsidRDefault="005F295C" w:rsidP="00B1744C">
            <w:pPr>
              <w:spacing w:line="0" w:lineRule="atLeast"/>
              <w:rPr>
                <w:rFonts w:ascii="黑体" w:eastAsia="黑体" w:hAnsi="黑体" w:hint="eastAsia"/>
                <w:sz w:val="24"/>
                <w:szCs w:val="24"/>
              </w:rPr>
            </w:pPr>
          </w:p>
        </w:tc>
        <w:tc>
          <w:tcPr>
            <w:tcW w:w="694" w:type="pct"/>
            <w:vMerge/>
            <w:vAlign w:val="center"/>
            <w:hideMark/>
          </w:tcPr>
          <w:p w:rsidR="005F295C" w:rsidRPr="00806515" w:rsidRDefault="005F295C" w:rsidP="00B1744C">
            <w:pPr>
              <w:spacing w:line="0" w:lineRule="atLeast"/>
              <w:jc w:val="center"/>
              <w:rPr>
                <w:rFonts w:ascii="黑体" w:eastAsia="黑体" w:hAnsi="黑体" w:hint="eastAsia"/>
                <w:sz w:val="24"/>
                <w:szCs w:val="24"/>
              </w:rPr>
            </w:pPr>
          </w:p>
        </w:tc>
        <w:tc>
          <w:tcPr>
            <w:tcW w:w="721" w:type="pct"/>
            <w:vAlign w:val="center"/>
            <w:hideMark/>
          </w:tcPr>
          <w:p w:rsidR="005F295C" w:rsidRPr="00806515" w:rsidRDefault="005F295C" w:rsidP="00B1744C">
            <w:pPr>
              <w:spacing w:line="0" w:lineRule="atLeast"/>
              <w:jc w:val="center"/>
              <w:rPr>
                <w:rFonts w:ascii="黑体" w:eastAsia="黑体" w:hAnsi="黑体" w:hint="eastAsia"/>
                <w:sz w:val="24"/>
                <w:szCs w:val="24"/>
              </w:rPr>
            </w:pPr>
            <w:r w:rsidRPr="00806515">
              <w:rPr>
                <w:rFonts w:ascii="黑体" w:eastAsia="黑体" w:hAnsi="黑体" w:hint="eastAsia"/>
                <w:sz w:val="24"/>
                <w:szCs w:val="24"/>
              </w:rPr>
              <w:t>合计</w:t>
            </w:r>
          </w:p>
        </w:tc>
        <w:tc>
          <w:tcPr>
            <w:tcW w:w="706" w:type="pct"/>
            <w:vAlign w:val="center"/>
            <w:hideMark/>
          </w:tcPr>
          <w:p w:rsidR="005F295C" w:rsidRPr="00806515" w:rsidRDefault="005F295C" w:rsidP="00B1744C">
            <w:pPr>
              <w:spacing w:line="0" w:lineRule="atLeast"/>
              <w:jc w:val="center"/>
              <w:rPr>
                <w:rFonts w:ascii="黑体" w:eastAsia="黑体" w:hAnsi="黑体" w:hint="eastAsia"/>
                <w:sz w:val="24"/>
                <w:szCs w:val="24"/>
              </w:rPr>
            </w:pPr>
            <w:r w:rsidRPr="00806515">
              <w:rPr>
                <w:rFonts w:ascii="黑体" w:eastAsia="黑体" w:hAnsi="黑体" w:hint="eastAsia"/>
                <w:sz w:val="24"/>
                <w:szCs w:val="24"/>
              </w:rPr>
              <w:t>已投入</w:t>
            </w:r>
          </w:p>
        </w:tc>
        <w:tc>
          <w:tcPr>
            <w:tcW w:w="515" w:type="pct"/>
            <w:vAlign w:val="center"/>
            <w:hideMark/>
          </w:tcPr>
          <w:p w:rsidR="005F295C" w:rsidRPr="00806515" w:rsidRDefault="005F295C" w:rsidP="00B1744C">
            <w:pPr>
              <w:spacing w:line="0" w:lineRule="atLeast"/>
              <w:jc w:val="center"/>
              <w:rPr>
                <w:rFonts w:ascii="黑体" w:eastAsia="黑体" w:hAnsi="黑体" w:hint="eastAsia"/>
                <w:sz w:val="24"/>
                <w:szCs w:val="24"/>
              </w:rPr>
            </w:pPr>
            <w:r w:rsidRPr="00806515">
              <w:rPr>
                <w:rFonts w:ascii="黑体" w:eastAsia="黑体" w:hAnsi="黑体" w:hint="eastAsia"/>
                <w:sz w:val="24"/>
                <w:szCs w:val="24"/>
              </w:rPr>
              <w:t>改造</w:t>
            </w:r>
          </w:p>
        </w:tc>
        <w:tc>
          <w:tcPr>
            <w:tcW w:w="0" w:type="auto"/>
            <w:vMerge/>
            <w:vAlign w:val="center"/>
            <w:hideMark/>
          </w:tcPr>
          <w:p w:rsidR="005F295C" w:rsidRPr="00806515" w:rsidRDefault="005F295C" w:rsidP="00B1744C">
            <w:pPr>
              <w:spacing w:line="0" w:lineRule="atLeast"/>
              <w:jc w:val="center"/>
              <w:rPr>
                <w:rFonts w:ascii="黑体" w:eastAsia="黑体" w:hAnsi="黑体" w:hint="eastAsia"/>
                <w:sz w:val="24"/>
                <w:szCs w:val="24"/>
              </w:rPr>
            </w:pP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一</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第一部分    工程费用</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44325.25</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35656.63</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29236.79</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6419.84</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-8668.62</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码头水工工程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10234.11</w:t>
            </w:r>
          </w:p>
        </w:tc>
        <w:tc>
          <w:tcPr>
            <w:tcW w:w="721" w:type="pct"/>
            <w:vMerge w:val="restar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14840.23</w:t>
            </w:r>
          </w:p>
        </w:tc>
        <w:tc>
          <w:tcPr>
            <w:tcW w:w="706" w:type="pct"/>
            <w:vMerge w:val="restar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12087.01</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842.62</w:t>
            </w:r>
          </w:p>
        </w:tc>
        <w:tc>
          <w:tcPr>
            <w:tcW w:w="574" w:type="pct"/>
            <w:vMerge w:val="restar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-2729.00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停泊地、调头地开挖工程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7335.12</w:t>
            </w:r>
          </w:p>
        </w:tc>
        <w:tc>
          <w:tcPr>
            <w:tcW w:w="721" w:type="pct"/>
            <w:vMerge/>
            <w:vAlign w:val="center"/>
            <w:hideMark/>
          </w:tcPr>
          <w:p w:rsidR="005F295C" w:rsidRPr="00806515" w:rsidRDefault="005F295C" w:rsidP="00B1744C">
            <w:pPr>
              <w:spacing w:line="0" w:lineRule="atLeast"/>
              <w:jc w:val="center"/>
              <w:rPr>
                <w:rFonts w:ascii="仿宋_GB2312" w:hint="eastAsia"/>
                <w:sz w:val="24"/>
                <w:szCs w:val="24"/>
              </w:rPr>
            </w:pPr>
          </w:p>
        </w:tc>
        <w:tc>
          <w:tcPr>
            <w:tcW w:w="706" w:type="pct"/>
            <w:vMerge/>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1910.60</w:t>
            </w:r>
          </w:p>
        </w:tc>
        <w:tc>
          <w:tcPr>
            <w:tcW w:w="0" w:type="auto"/>
            <w:vMerge/>
            <w:vAlign w:val="center"/>
            <w:hideMark/>
          </w:tcPr>
          <w:p w:rsidR="005F295C" w:rsidRPr="00806515" w:rsidRDefault="005F295C" w:rsidP="00B1744C">
            <w:pPr>
              <w:spacing w:line="0" w:lineRule="atLeast"/>
              <w:jc w:val="center"/>
              <w:rPr>
                <w:rFonts w:ascii="仿宋_GB2312" w:hint="eastAsia"/>
                <w:sz w:val="24"/>
                <w:szCs w:val="24"/>
              </w:rPr>
            </w:pP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2.1</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疏浚工程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2640.70</w:t>
            </w:r>
          </w:p>
        </w:tc>
        <w:tc>
          <w:tcPr>
            <w:tcW w:w="721" w:type="pct"/>
            <w:vMerge/>
            <w:vAlign w:val="center"/>
            <w:hideMark/>
          </w:tcPr>
          <w:p w:rsidR="005F295C" w:rsidRPr="00806515" w:rsidRDefault="005F295C" w:rsidP="00B1744C">
            <w:pPr>
              <w:spacing w:line="0" w:lineRule="atLeast"/>
              <w:jc w:val="center"/>
              <w:rPr>
                <w:rFonts w:ascii="仿宋_GB2312" w:hint="eastAsia"/>
                <w:sz w:val="24"/>
                <w:szCs w:val="24"/>
              </w:rPr>
            </w:pPr>
          </w:p>
        </w:tc>
        <w:tc>
          <w:tcPr>
            <w:tcW w:w="706" w:type="pct"/>
            <w:vMerge/>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878.08</w:t>
            </w:r>
          </w:p>
        </w:tc>
        <w:tc>
          <w:tcPr>
            <w:tcW w:w="0" w:type="auto"/>
            <w:vMerge/>
            <w:vAlign w:val="center"/>
            <w:hideMark/>
          </w:tcPr>
          <w:p w:rsidR="005F295C" w:rsidRPr="00806515" w:rsidRDefault="005F295C" w:rsidP="00B1744C">
            <w:pPr>
              <w:spacing w:line="0" w:lineRule="atLeast"/>
              <w:jc w:val="center"/>
              <w:rPr>
                <w:rFonts w:ascii="仿宋_GB2312" w:hint="eastAsia"/>
                <w:sz w:val="24"/>
                <w:szCs w:val="24"/>
              </w:rPr>
            </w:pP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2.2</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水下炸礁工程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4694.42</w:t>
            </w:r>
          </w:p>
        </w:tc>
        <w:tc>
          <w:tcPr>
            <w:tcW w:w="721" w:type="pct"/>
            <w:vMerge/>
            <w:vAlign w:val="center"/>
            <w:hideMark/>
          </w:tcPr>
          <w:p w:rsidR="005F295C" w:rsidRPr="00806515" w:rsidRDefault="005F295C" w:rsidP="00B1744C">
            <w:pPr>
              <w:spacing w:line="0" w:lineRule="atLeast"/>
              <w:jc w:val="center"/>
              <w:rPr>
                <w:rFonts w:ascii="仿宋_GB2312" w:hint="eastAsia"/>
                <w:sz w:val="24"/>
                <w:szCs w:val="24"/>
              </w:rPr>
            </w:pPr>
          </w:p>
        </w:tc>
        <w:tc>
          <w:tcPr>
            <w:tcW w:w="706" w:type="pct"/>
            <w:vMerge/>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1032.52</w:t>
            </w:r>
          </w:p>
        </w:tc>
        <w:tc>
          <w:tcPr>
            <w:tcW w:w="0" w:type="auto"/>
            <w:vMerge/>
            <w:vAlign w:val="center"/>
            <w:hideMark/>
          </w:tcPr>
          <w:p w:rsidR="005F295C" w:rsidRPr="00806515" w:rsidRDefault="005F295C" w:rsidP="00B1744C">
            <w:pPr>
              <w:spacing w:line="0" w:lineRule="atLeast"/>
              <w:jc w:val="center"/>
              <w:rPr>
                <w:rFonts w:ascii="仿宋_GB2312" w:hint="eastAsia"/>
                <w:sz w:val="24"/>
                <w:szCs w:val="24"/>
              </w:rPr>
            </w:pP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引堤工程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4910.79</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2806.90</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2806.90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-2103.89</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护岸及陆域工程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2152.74</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3280.35</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3014.40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265.96</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1127.61</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道路及陆域铺面工程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2049.34</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2004.03</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1371.96</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632.07</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-45.31</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管线基础工程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445.36</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524.93</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524.93</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79.57</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装卸工艺设备购置及安装</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6223.57</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6633.61</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6180.43</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453.18</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410.04</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采暖、通风工程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60.49</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73.15</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73.15</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12.66</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9</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生产及辅助生产建筑工程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742.66</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929.71</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929.71</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187.05</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10</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给排水及消防工程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3700.28</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679.25</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456.58</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222.67</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-3021.03</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供电照明工程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1407.68</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1805.57</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660.19</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1145.39</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397.89</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控制系统</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199.84</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281.50</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266.90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14.59</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81.66</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13</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通信导航工程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195.63</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83.15</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43.56</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39.59</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-112.48</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环境保护及水土保持工程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4222.00</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587.68</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550.31</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37.37</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-3634.32</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15</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绿化美化工程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245.65</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143.73</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135.47</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8.26</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-101.92</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16</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临时工程</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200.00</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135.30</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135.30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-64.70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17</w:t>
            </w:r>
          </w:p>
        </w:tc>
        <w:tc>
          <w:tcPr>
            <w:tcW w:w="1507" w:type="pct"/>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堆场工程</w:t>
            </w:r>
          </w:p>
        </w:tc>
        <w:tc>
          <w:tcPr>
            <w:tcW w:w="694" w:type="pct"/>
            <w:noWrap/>
            <w:vAlign w:val="center"/>
          </w:tcPr>
          <w:p w:rsidR="005F295C" w:rsidRPr="00806515" w:rsidRDefault="005F295C" w:rsidP="00B1744C">
            <w:pPr>
              <w:spacing w:line="0" w:lineRule="atLeast"/>
              <w:jc w:val="center"/>
              <w:rPr>
                <w:rFonts w:ascii="仿宋_GB2312" w:hint="eastAsia"/>
                <w:sz w:val="24"/>
                <w:szCs w:val="24"/>
              </w:rPr>
            </w:pP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836.45</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836.45</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836.45</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18</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土建拆除工程</w:t>
            </w:r>
          </w:p>
        </w:tc>
        <w:tc>
          <w:tcPr>
            <w:tcW w:w="694" w:type="pct"/>
            <w:noWrap/>
            <w:vAlign w:val="center"/>
          </w:tcPr>
          <w:p w:rsidR="005F295C" w:rsidRPr="00806515" w:rsidRDefault="005F295C" w:rsidP="00B1744C">
            <w:pPr>
              <w:spacing w:line="0" w:lineRule="atLeast"/>
              <w:jc w:val="center"/>
              <w:rPr>
                <w:rFonts w:ascii="仿宋_GB2312" w:hint="eastAsia"/>
                <w:sz w:val="24"/>
                <w:szCs w:val="24"/>
              </w:rPr>
            </w:pP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11.08</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11.08</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11.08</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二</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第二部分    其他费用</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7804.33</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7247.82</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5915.21</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1332.62</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-556.51</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海域使用费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1770.07</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1770.07</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1770.07</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0.00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失海渔民补助费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1121.04</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1121.04</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1121.04</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0.00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建设单位管理费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503.36</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776.66</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503.36</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273.30</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273.30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工程建设监理费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730.77</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358.84</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179.66</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179.18</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-371.93</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联合试运转费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35.21</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1.26</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1.26</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-33.95</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工器具及生产家具购置费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100.59</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100.59</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100.59</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0.00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生产职工培训费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12.00</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51.00</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51.00</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39.00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办公和生活家具购置费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6.00</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42.50</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42.50</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36.50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lastRenderedPageBreak/>
              <w:t>9</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前期工作费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390.68</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675.01</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365.37</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309.64</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284.33</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10</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勘察设计费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1743.17</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1007.24</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656.06</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351.18</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-735.93</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施工期港航安全监督费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50.00</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50.00</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50.00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0.00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扫海费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30.00</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6.00</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6.00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-24.00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13</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设计审查费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110.82</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70.89</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48.00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22.89</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-39.93</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招标代理费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47.71</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73.46</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40.15</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33.31</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25.75</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15</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安全生产费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475.62</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313.72</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313.72</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-161.90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16</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工程保险费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177.30</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142.63</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116.95</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25.68</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-34.67</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17</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海洋生态补偿及其他费用</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500.00</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500.00</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500.00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0.00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18</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地基处理检测费</w:t>
            </w:r>
          </w:p>
        </w:tc>
        <w:tc>
          <w:tcPr>
            <w:tcW w:w="694" w:type="pct"/>
            <w:noWrap/>
            <w:vAlign w:val="center"/>
          </w:tcPr>
          <w:p w:rsidR="005F295C" w:rsidRPr="00806515" w:rsidRDefault="005F295C" w:rsidP="00B1744C">
            <w:pPr>
              <w:spacing w:line="0" w:lineRule="atLeast"/>
              <w:jc w:val="center"/>
              <w:rPr>
                <w:rFonts w:ascii="仿宋_GB2312" w:hint="eastAsia"/>
                <w:sz w:val="24"/>
                <w:szCs w:val="24"/>
              </w:rPr>
            </w:pP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12.68</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12.68</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12.68</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19</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环保工程其他费</w:t>
            </w:r>
          </w:p>
        </w:tc>
        <w:tc>
          <w:tcPr>
            <w:tcW w:w="694" w:type="pct"/>
            <w:noWrap/>
            <w:vAlign w:val="center"/>
          </w:tcPr>
          <w:p w:rsidR="005F295C" w:rsidRPr="00806515" w:rsidRDefault="005F295C" w:rsidP="00B1744C">
            <w:pPr>
              <w:spacing w:line="0" w:lineRule="atLeast"/>
              <w:jc w:val="center"/>
              <w:rPr>
                <w:rFonts w:ascii="仿宋_GB2312" w:hint="eastAsia"/>
                <w:sz w:val="24"/>
                <w:szCs w:val="24"/>
              </w:rPr>
            </w:pP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30.00</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30.00</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30.00</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20</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其他检测及评估费用</w:t>
            </w:r>
          </w:p>
        </w:tc>
        <w:tc>
          <w:tcPr>
            <w:tcW w:w="694" w:type="pct"/>
            <w:noWrap/>
            <w:vAlign w:val="center"/>
          </w:tcPr>
          <w:p w:rsidR="005F295C" w:rsidRPr="00806515" w:rsidRDefault="005F295C" w:rsidP="00B1744C">
            <w:pPr>
              <w:spacing w:line="0" w:lineRule="atLeast"/>
              <w:jc w:val="center"/>
              <w:rPr>
                <w:rFonts w:ascii="仿宋_GB2312" w:hint="eastAsia"/>
                <w:sz w:val="24"/>
                <w:szCs w:val="24"/>
              </w:rPr>
            </w:pP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144.24</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144.24</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144.24</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三</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第三部分    预留费用</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2606.48</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387.62</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0.00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387.62</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-2218.86</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基本预备费</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2606.48</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387.62</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387.62</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-2218.86</w:t>
            </w:r>
          </w:p>
        </w:tc>
      </w:tr>
      <w:tr w:rsidR="005F295C" w:rsidRPr="00806515" w:rsidTr="00B1744C">
        <w:trPr>
          <w:cantSplit/>
          <w:trHeight w:val="20"/>
          <w:jc w:val="center"/>
        </w:trPr>
        <w:tc>
          <w:tcPr>
            <w:tcW w:w="282"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四</w:t>
            </w:r>
          </w:p>
        </w:tc>
        <w:tc>
          <w:tcPr>
            <w:tcW w:w="1507" w:type="pct"/>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第四部分  建设期贷款利息</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2609.22</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8780.54</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8650.91</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129.63</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6171.32</w:t>
            </w:r>
          </w:p>
        </w:tc>
      </w:tr>
      <w:tr w:rsidR="005F295C" w:rsidRPr="00806515" w:rsidTr="00B1744C">
        <w:trPr>
          <w:cantSplit/>
          <w:trHeight w:val="20"/>
          <w:jc w:val="center"/>
        </w:trPr>
        <w:tc>
          <w:tcPr>
            <w:tcW w:w="1789" w:type="pct"/>
            <w:gridSpan w:val="2"/>
            <w:noWrap/>
            <w:vAlign w:val="center"/>
            <w:hideMark/>
          </w:tcPr>
          <w:p w:rsidR="005F295C" w:rsidRPr="00806515" w:rsidRDefault="005F295C" w:rsidP="00B1744C">
            <w:pPr>
              <w:spacing w:line="0" w:lineRule="atLeast"/>
              <w:rPr>
                <w:rFonts w:ascii="仿宋_GB2312" w:hint="eastAsia"/>
                <w:sz w:val="24"/>
                <w:szCs w:val="24"/>
              </w:rPr>
            </w:pPr>
            <w:r w:rsidRPr="00806515">
              <w:rPr>
                <w:rFonts w:ascii="仿宋_GB2312" w:hint="eastAsia"/>
                <w:sz w:val="24"/>
                <w:szCs w:val="24"/>
              </w:rPr>
              <w:t>建设项目概算总投资</w:t>
            </w:r>
          </w:p>
        </w:tc>
        <w:tc>
          <w:tcPr>
            <w:tcW w:w="69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57345.28</w:t>
            </w:r>
          </w:p>
        </w:tc>
        <w:tc>
          <w:tcPr>
            <w:tcW w:w="721"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52072.61</w:t>
            </w:r>
          </w:p>
        </w:tc>
        <w:tc>
          <w:tcPr>
            <w:tcW w:w="706"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43802.90</w:t>
            </w:r>
          </w:p>
        </w:tc>
        <w:tc>
          <w:tcPr>
            <w:tcW w:w="515"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8269.71</w:t>
            </w:r>
          </w:p>
        </w:tc>
        <w:tc>
          <w:tcPr>
            <w:tcW w:w="574" w:type="pct"/>
            <w:noWrap/>
            <w:vAlign w:val="center"/>
            <w:hideMark/>
          </w:tcPr>
          <w:p w:rsidR="005F295C" w:rsidRPr="00806515" w:rsidRDefault="005F295C" w:rsidP="00B1744C">
            <w:pPr>
              <w:spacing w:line="0" w:lineRule="atLeast"/>
              <w:jc w:val="center"/>
              <w:rPr>
                <w:rFonts w:ascii="仿宋_GB2312" w:hint="eastAsia"/>
                <w:sz w:val="24"/>
                <w:szCs w:val="24"/>
              </w:rPr>
            </w:pPr>
            <w:r w:rsidRPr="00806515">
              <w:rPr>
                <w:rFonts w:ascii="仿宋_GB2312" w:hint="eastAsia"/>
                <w:sz w:val="24"/>
                <w:szCs w:val="24"/>
              </w:rPr>
              <w:t>-5272.67</w:t>
            </w:r>
          </w:p>
        </w:tc>
      </w:tr>
    </w:tbl>
    <w:p w:rsidR="005F295C" w:rsidRDefault="005F295C" w:rsidP="005F295C">
      <w:pPr>
        <w:snapToGrid w:val="0"/>
        <w:spacing w:line="360" w:lineRule="auto"/>
        <w:rPr>
          <w:rFonts w:ascii="仿宋" w:eastAsia="仿宋" w:hAnsi="仿宋" w:cs="仿宋" w:hint="eastAsia"/>
          <w:szCs w:val="32"/>
        </w:rPr>
      </w:pPr>
    </w:p>
    <w:bookmarkEnd w:id="4"/>
    <w:p w:rsidR="000E6D4E" w:rsidRPr="005F295C" w:rsidRDefault="000E6D4E"/>
    <w:sectPr w:rsidR="000E6D4E" w:rsidRPr="005F295C" w:rsidSect="00255448">
      <w:headerReference w:type="even" r:id="rId8"/>
      <w:headerReference w:type="default" r:id="rId9"/>
      <w:footerReference w:type="even" r:id="rId10"/>
      <w:footerReference w:type="default" r:id="rId11"/>
      <w:headerReference w:type="first" r:id="rId12"/>
      <w:pgSz w:w="11906" w:h="16838" w:code="9"/>
      <w:pgMar w:top="2098" w:right="1474" w:bottom="1985" w:left="1588" w:header="851" w:footer="992" w:gutter="0"/>
      <w:cols w:space="425"/>
      <w:titlePg/>
      <w:docGrid w:type="linesAndChars" w:linePitch="56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BD" w:rsidRDefault="00427EBD" w:rsidP="005F295C">
      <w:r>
        <w:separator/>
      </w:r>
    </w:p>
  </w:endnote>
  <w:endnote w:type="continuationSeparator" w:id="1">
    <w:p w:rsidR="00427EBD" w:rsidRDefault="00427EBD" w:rsidP="005F2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5" w:rsidRPr="002A0635" w:rsidRDefault="00427EBD" w:rsidP="00ED7E58">
    <w:pPr>
      <w:pStyle w:val="a4"/>
      <w:rPr>
        <w:rFonts w:ascii="宋体" w:eastAsia="宋体" w:hAnsi="宋体"/>
        <w:sz w:val="28"/>
        <w:szCs w:val="28"/>
      </w:rPr>
    </w:pPr>
    <w:r w:rsidRPr="002A0635">
      <w:rPr>
        <w:rFonts w:ascii="宋体" w:eastAsia="宋体" w:hAnsi="宋体" w:hint="eastAsia"/>
        <w:sz w:val="28"/>
        <w:szCs w:val="28"/>
      </w:rPr>
      <w:t>—</w:t>
    </w:r>
    <w:r w:rsidRPr="002A0635">
      <w:rPr>
        <w:rFonts w:ascii="宋体" w:eastAsia="宋体" w:hAnsi="宋体" w:hint="eastAsia"/>
        <w:sz w:val="28"/>
        <w:szCs w:val="28"/>
      </w:rPr>
      <w:t xml:space="preserve"> </w:t>
    </w:r>
    <w:r w:rsidRPr="002A0635">
      <w:rPr>
        <w:rFonts w:ascii="宋体" w:eastAsia="宋体" w:hAnsi="宋体"/>
        <w:sz w:val="28"/>
        <w:szCs w:val="28"/>
      </w:rPr>
      <w:fldChar w:fldCharType="begin"/>
    </w:r>
    <w:r w:rsidRPr="002A0635">
      <w:rPr>
        <w:rFonts w:ascii="宋体" w:eastAsia="宋体" w:hAnsi="宋体"/>
        <w:sz w:val="28"/>
        <w:szCs w:val="28"/>
      </w:rPr>
      <w:instrText>PAGE   \* MERGEFORMAT</w:instrText>
    </w:r>
    <w:r w:rsidRPr="002A0635">
      <w:rPr>
        <w:rFonts w:ascii="宋体" w:eastAsia="宋体" w:hAnsi="宋体"/>
        <w:sz w:val="28"/>
        <w:szCs w:val="28"/>
      </w:rPr>
      <w:fldChar w:fldCharType="separate"/>
    </w:r>
    <w:r w:rsidRPr="00161494">
      <w:rPr>
        <w:rFonts w:ascii="宋体" w:eastAsia="宋体" w:hAnsi="宋体"/>
        <w:noProof/>
        <w:sz w:val="28"/>
        <w:szCs w:val="28"/>
        <w:lang w:val="zh-CN"/>
      </w:rPr>
      <w:t>6</w:t>
    </w:r>
    <w:r w:rsidRPr="002A0635">
      <w:rPr>
        <w:rFonts w:ascii="宋体" w:eastAsia="宋体" w:hAnsi="宋体"/>
        <w:sz w:val="28"/>
        <w:szCs w:val="28"/>
      </w:rPr>
      <w:fldChar w:fldCharType="end"/>
    </w:r>
    <w:r w:rsidRPr="002A0635">
      <w:rPr>
        <w:rFonts w:ascii="宋体" w:eastAsia="宋体" w:hAnsi="宋体" w:hint="eastAsia"/>
        <w:sz w:val="28"/>
        <w:szCs w:val="28"/>
      </w:rPr>
      <w:t xml:space="preserve"> </w:t>
    </w:r>
    <w:r w:rsidRPr="002A0635">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5" w:rsidRPr="002A0635" w:rsidRDefault="00427EBD" w:rsidP="00ED7E58">
    <w:pPr>
      <w:pStyle w:val="a4"/>
      <w:jc w:val="right"/>
      <w:rPr>
        <w:rFonts w:ascii="宋体" w:eastAsia="宋体" w:hAnsi="宋体"/>
        <w:sz w:val="28"/>
        <w:szCs w:val="28"/>
      </w:rPr>
    </w:pPr>
    <w:r w:rsidRPr="002A0635">
      <w:rPr>
        <w:rFonts w:ascii="宋体" w:eastAsia="宋体" w:hAnsi="宋体" w:hint="eastAsia"/>
        <w:sz w:val="28"/>
        <w:szCs w:val="28"/>
      </w:rPr>
      <w:t>—</w:t>
    </w:r>
    <w:r w:rsidRPr="002A0635">
      <w:rPr>
        <w:rFonts w:ascii="宋体" w:eastAsia="宋体" w:hAnsi="宋体" w:hint="eastAsia"/>
        <w:sz w:val="28"/>
        <w:szCs w:val="28"/>
      </w:rPr>
      <w:t xml:space="preserve"> </w:t>
    </w:r>
    <w:r w:rsidRPr="002A0635">
      <w:rPr>
        <w:rFonts w:ascii="宋体" w:eastAsia="宋体" w:hAnsi="宋体"/>
        <w:sz w:val="28"/>
        <w:szCs w:val="28"/>
      </w:rPr>
      <w:fldChar w:fldCharType="begin"/>
    </w:r>
    <w:r w:rsidRPr="002A0635">
      <w:rPr>
        <w:rFonts w:ascii="宋体" w:eastAsia="宋体" w:hAnsi="宋体"/>
        <w:sz w:val="28"/>
        <w:szCs w:val="28"/>
      </w:rPr>
      <w:instrText>PAGE   \* MERGEFORMAT</w:instrText>
    </w:r>
    <w:r w:rsidRPr="002A0635">
      <w:rPr>
        <w:rFonts w:ascii="宋体" w:eastAsia="宋体" w:hAnsi="宋体"/>
        <w:sz w:val="28"/>
        <w:szCs w:val="28"/>
      </w:rPr>
      <w:fldChar w:fldCharType="separate"/>
    </w:r>
    <w:r w:rsidR="005F295C" w:rsidRPr="005F295C">
      <w:rPr>
        <w:rFonts w:ascii="宋体" w:eastAsia="宋体" w:hAnsi="宋体"/>
        <w:noProof/>
        <w:sz w:val="28"/>
        <w:szCs w:val="28"/>
        <w:lang w:val="zh-CN"/>
      </w:rPr>
      <w:t>2</w:t>
    </w:r>
    <w:r w:rsidRPr="002A0635">
      <w:rPr>
        <w:rFonts w:ascii="宋体" w:eastAsia="宋体" w:hAnsi="宋体"/>
        <w:sz w:val="28"/>
        <w:szCs w:val="28"/>
      </w:rPr>
      <w:fldChar w:fldCharType="end"/>
    </w:r>
    <w:r w:rsidRPr="002A0635">
      <w:rPr>
        <w:rFonts w:ascii="宋体" w:eastAsia="宋体" w:hAnsi="宋体" w:hint="eastAsia"/>
        <w:sz w:val="28"/>
        <w:szCs w:val="28"/>
      </w:rPr>
      <w:t xml:space="preserve"> </w:t>
    </w:r>
    <w:r w:rsidRPr="002A0635">
      <w:rPr>
        <w:rFonts w:ascii="宋体" w:eastAsia="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BD" w:rsidRDefault="00427EBD" w:rsidP="005F295C">
      <w:r>
        <w:separator/>
      </w:r>
    </w:p>
  </w:footnote>
  <w:footnote w:type="continuationSeparator" w:id="1">
    <w:p w:rsidR="00427EBD" w:rsidRDefault="00427EBD" w:rsidP="005F2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5" w:rsidRDefault="00427EBD" w:rsidP="002A0635">
    <w:pPr>
      <w:pStyle w:val="a5"/>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5" w:rsidRDefault="00427EBD" w:rsidP="002A0635">
    <w:pPr>
      <w:pStyle w:val="a5"/>
    </w:pPr>
    <w:r>
      <w:rPr>
        <w:rFonts w:hint="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68.3pt;height:66.9pt;rotation:325;z-index:251660288;mso-position-horizontal:center;mso-position-horizontal-relative:margin;mso-position-vertical:center;mso-position-vertical-relative:margin" fillcolor="#393000" stroked="f">
          <v:fill opacity="26214f"/>
          <v:shadow color="#868686"/>
          <v:textpath style="font-family:&quot;宋体&quot;;font-size:1pt;v-text-kern:t" trim="t" fitpath="t" string="广西交通运输厅"/>
          <o:lock v:ext="edit" aspectratio="t"/>
          <w10:wrap side="largest" anchorx="margin" anchory="margin"/>
        </v:shape>
      </w:pict>
    </w: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5" w:rsidRDefault="00427EBD" w:rsidP="002A0635">
    <w:pPr>
      <w:pStyle w:val="a5"/>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355D9BA"/>
    <w:lvl w:ilvl="0">
      <w:start w:val="1"/>
      <w:numFmt w:val="chineseCounting"/>
      <w:suff w:val="nothing"/>
      <w:lvlText w:val="（%1）"/>
      <w:lvlJc w:val="left"/>
      <w:pPr>
        <w:ind w:left="0" w:firstLine="0"/>
      </w:pPr>
    </w:lvl>
  </w:abstractNum>
  <w:abstractNum w:abstractNumId="1">
    <w:nsid w:val="00000002"/>
    <w:multiLevelType w:val="singleLevel"/>
    <w:tmpl w:val="2E4279AA"/>
    <w:lvl w:ilvl="0">
      <w:start w:val="1"/>
      <w:numFmt w:val="chineseCounting"/>
      <w:suff w:val="nothing"/>
      <w:lvlText w:val="%1、"/>
      <w:lvlJc w:val="left"/>
      <w:pPr>
        <w:ind w:left="0" w:firstLine="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295C"/>
    <w:rsid w:val="0000021B"/>
    <w:rsid w:val="0000272F"/>
    <w:rsid w:val="00007591"/>
    <w:rsid w:val="00011F8A"/>
    <w:rsid w:val="000124C2"/>
    <w:rsid w:val="000146F8"/>
    <w:rsid w:val="000214B8"/>
    <w:rsid w:val="000308E1"/>
    <w:rsid w:val="00030B8B"/>
    <w:rsid w:val="00033036"/>
    <w:rsid w:val="00034646"/>
    <w:rsid w:val="000346AA"/>
    <w:rsid w:val="00040D54"/>
    <w:rsid w:val="000430A8"/>
    <w:rsid w:val="00045DC3"/>
    <w:rsid w:val="00046200"/>
    <w:rsid w:val="00046DAF"/>
    <w:rsid w:val="0004772B"/>
    <w:rsid w:val="00047CC4"/>
    <w:rsid w:val="000509DA"/>
    <w:rsid w:val="00063618"/>
    <w:rsid w:val="000669A4"/>
    <w:rsid w:val="00070093"/>
    <w:rsid w:val="0007607E"/>
    <w:rsid w:val="00077E6A"/>
    <w:rsid w:val="00080D90"/>
    <w:rsid w:val="000816FE"/>
    <w:rsid w:val="000829AC"/>
    <w:rsid w:val="00083C04"/>
    <w:rsid w:val="000877D2"/>
    <w:rsid w:val="000902E2"/>
    <w:rsid w:val="00091E1E"/>
    <w:rsid w:val="00092421"/>
    <w:rsid w:val="000B14FB"/>
    <w:rsid w:val="000C38F4"/>
    <w:rsid w:val="000D0279"/>
    <w:rsid w:val="000D2D53"/>
    <w:rsid w:val="000D587C"/>
    <w:rsid w:val="000D609E"/>
    <w:rsid w:val="000E036D"/>
    <w:rsid w:val="000E09E1"/>
    <w:rsid w:val="000E1BE1"/>
    <w:rsid w:val="000E2400"/>
    <w:rsid w:val="000E6D4E"/>
    <w:rsid w:val="000F7500"/>
    <w:rsid w:val="001027CD"/>
    <w:rsid w:val="001033B2"/>
    <w:rsid w:val="00110AE4"/>
    <w:rsid w:val="00115853"/>
    <w:rsid w:val="00117332"/>
    <w:rsid w:val="00124AAA"/>
    <w:rsid w:val="001355F9"/>
    <w:rsid w:val="00136A4D"/>
    <w:rsid w:val="0013708A"/>
    <w:rsid w:val="00140FEB"/>
    <w:rsid w:val="00143591"/>
    <w:rsid w:val="0014778F"/>
    <w:rsid w:val="00150E2A"/>
    <w:rsid w:val="00154464"/>
    <w:rsid w:val="001632B5"/>
    <w:rsid w:val="00163443"/>
    <w:rsid w:val="00172867"/>
    <w:rsid w:val="00181540"/>
    <w:rsid w:val="0018268F"/>
    <w:rsid w:val="00183162"/>
    <w:rsid w:val="001839A4"/>
    <w:rsid w:val="00184E2A"/>
    <w:rsid w:val="001928CE"/>
    <w:rsid w:val="00193A11"/>
    <w:rsid w:val="001A00A8"/>
    <w:rsid w:val="001A7578"/>
    <w:rsid w:val="001B3461"/>
    <w:rsid w:val="001C3049"/>
    <w:rsid w:val="001C4777"/>
    <w:rsid w:val="001C571D"/>
    <w:rsid w:val="001C6D23"/>
    <w:rsid w:val="001D2310"/>
    <w:rsid w:val="001D5E63"/>
    <w:rsid w:val="001D617E"/>
    <w:rsid w:val="001D62BB"/>
    <w:rsid w:val="001D761F"/>
    <w:rsid w:val="001D7F3B"/>
    <w:rsid w:val="001E1DAD"/>
    <w:rsid w:val="001F3BEA"/>
    <w:rsid w:val="001F4376"/>
    <w:rsid w:val="001F43E4"/>
    <w:rsid w:val="001F55D3"/>
    <w:rsid w:val="00200B34"/>
    <w:rsid w:val="00201B59"/>
    <w:rsid w:val="00202009"/>
    <w:rsid w:val="00202865"/>
    <w:rsid w:val="0020594D"/>
    <w:rsid w:val="00207D21"/>
    <w:rsid w:val="00210F81"/>
    <w:rsid w:val="00213743"/>
    <w:rsid w:val="00220670"/>
    <w:rsid w:val="00223040"/>
    <w:rsid w:val="002253CA"/>
    <w:rsid w:val="00232414"/>
    <w:rsid w:val="0023659B"/>
    <w:rsid w:val="00236818"/>
    <w:rsid w:val="00242BEF"/>
    <w:rsid w:val="0024504F"/>
    <w:rsid w:val="00254B97"/>
    <w:rsid w:val="002559EB"/>
    <w:rsid w:val="00257909"/>
    <w:rsid w:val="00261B16"/>
    <w:rsid w:val="0026300D"/>
    <w:rsid w:val="00264C13"/>
    <w:rsid w:val="00271164"/>
    <w:rsid w:val="00271411"/>
    <w:rsid w:val="0027530C"/>
    <w:rsid w:val="00275EE1"/>
    <w:rsid w:val="002775CF"/>
    <w:rsid w:val="0028687F"/>
    <w:rsid w:val="00287C30"/>
    <w:rsid w:val="00292631"/>
    <w:rsid w:val="00292898"/>
    <w:rsid w:val="0029646D"/>
    <w:rsid w:val="0029714E"/>
    <w:rsid w:val="002A670F"/>
    <w:rsid w:val="002A7A3C"/>
    <w:rsid w:val="002B1991"/>
    <w:rsid w:val="002B6051"/>
    <w:rsid w:val="002C04FF"/>
    <w:rsid w:val="002C1FDC"/>
    <w:rsid w:val="002D12CB"/>
    <w:rsid w:val="002D4506"/>
    <w:rsid w:val="002D52BA"/>
    <w:rsid w:val="002D6BA1"/>
    <w:rsid w:val="002E4951"/>
    <w:rsid w:val="002F5EA2"/>
    <w:rsid w:val="003036D3"/>
    <w:rsid w:val="00314402"/>
    <w:rsid w:val="00314BA1"/>
    <w:rsid w:val="003157C9"/>
    <w:rsid w:val="0032052B"/>
    <w:rsid w:val="00336694"/>
    <w:rsid w:val="0034107C"/>
    <w:rsid w:val="00341AEA"/>
    <w:rsid w:val="00350543"/>
    <w:rsid w:val="00350F9C"/>
    <w:rsid w:val="00354BF4"/>
    <w:rsid w:val="00357FE9"/>
    <w:rsid w:val="003623BC"/>
    <w:rsid w:val="00364011"/>
    <w:rsid w:val="00365DC3"/>
    <w:rsid w:val="00365E40"/>
    <w:rsid w:val="003762CB"/>
    <w:rsid w:val="003776B0"/>
    <w:rsid w:val="00386437"/>
    <w:rsid w:val="00393C57"/>
    <w:rsid w:val="0039423C"/>
    <w:rsid w:val="00395A2E"/>
    <w:rsid w:val="003A2836"/>
    <w:rsid w:val="003A5DAE"/>
    <w:rsid w:val="003B5ABC"/>
    <w:rsid w:val="003B5AE3"/>
    <w:rsid w:val="003C0B49"/>
    <w:rsid w:val="003C328B"/>
    <w:rsid w:val="003C6549"/>
    <w:rsid w:val="003D0182"/>
    <w:rsid w:val="003D5047"/>
    <w:rsid w:val="003D7C22"/>
    <w:rsid w:val="003E4029"/>
    <w:rsid w:val="003F17FC"/>
    <w:rsid w:val="00400D33"/>
    <w:rsid w:val="00401CE2"/>
    <w:rsid w:val="00402783"/>
    <w:rsid w:val="00404BC0"/>
    <w:rsid w:val="00405A96"/>
    <w:rsid w:val="00410DB0"/>
    <w:rsid w:val="00427EBD"/>
    <w:rsid w:val="00430C4E"/>
    <w:rsid w:val="00435689"/>
    <w:rsid w:val="004403AD"/>
    <w:rsid w:val="00441C72"/>
    <w:rsid w:val="00451A38"/>
    <w:rsid w:val="00453980"/>
    <w:rsid w:val="00454039"/>
    <w:rsid w:val="004569FB"/>
    <w:rsid w:val="00464432"/>
    <w:rsid w:val="00467294"/>
    <w:rsid w:val="0047297D"/>
    <w:rsid w:val="004737E1"/>
    <w:rsid w:val="00474D24"/>
    <w:rsid w:val="00475A67"/>
    <w:rsid w:val="00475C5F"/>
    <w:rsid w:val="00476F2D"/>
    <w:rsid w:val="00485014"/>
    <w:rsid w:val="00490F00"/>
    <w:rsid w:val="0049267B"/>
    <w:rsid w:val="0049297A"/>
    <w:rsid w:val="0049787D"/>
    <w:rsid w:val="004A4272"/>
    <w:rsid w:val="004A51E2"/>
    <w:rsid w:val="004B2998"/>
    <w:rsid w:val="004B41A5"/>
    <w:rsid w:val="004B6BCF"/>
    <w:rsid w:val="004B6CBF"/>
    <w:rsid w:val="004B6EF0"/>
    <w:rsid w:val="004C11B2"/>
    <w:rsid w:val="004C3703"/>
    <w:rsid w:val="004C597D"/>
    <w:rsid w:val="004D248B"/>
    <w:rsid w:val="004D24F3"/>
    <w:rsid w:val="004D308A"/>
    <w:rsid w:val="004D30F1"/>
    <w:rsid w:val="004D4094"/>
    <w:rsid w:val="004E11DB"/>
    <w:rsid w:val="004E1FAD"/>
    <w:rsid w:val="004E6DC3"/>
    <w:rsid w:val="004F22AF"/>
    <w:rsid w:val="005060F6"/>
    <w:rsid w:val="005063C4"/>
    <w:rsid w:val="005122AC"/>
    <w:rsid w:val="00514644"/>
    <w:rsid w:val="00523753"/>
    <w:rsid w:val="00524113"/>
    <w:rsid w:val="00524282"/>
    <w:rsid w:val="00525F83"/>
    <w:rsid w:val="005261F3"/>
    <w:rsid w:val="005279BC"/>
    <w:rsid w:val="00533672"/>
    <w:rsid w:val="00536275"/>
    <w:rsid w:val="005409E6"/>
    <w:rsid w:val="00541023"/>
    <w:rsid w:val="00545A5B"/>
    <w:rsid w:val="00546EB2"/>
    <w:rsid w:val="005723ED"/>
    <w:rsid w:val="00576FB7"/>
    <w:rsid w:val="00595E9E"/>
    <w:rsid w:val="0059677B"/>
    <w:rsid w:val="005A356F"/>
    <w:rsid w:val="005B1FA3"/>
    <w:rsid w:val="005B79F8"/>
    <w:rsid w:val="005C09B0"/>
    <w:rsid w:val="005C4786"/>
    <w:rsid w:val="005C4B02"/>
    <w:rsid w:val="005C6566"/>
    <w:rsid w:val="005D0CA3"/>
    <w:rsid w:val="005D2BB9"/>
    <w:rsid w:val="005D39F6"/>
    <w:rsid w:val="005E1E5A"/>
    <w:rsid w:val="005E2E6B"/>
    <w:rsid w:val="005F0017"/>
    <w:rsid w:val="005F295C"/>
    <w:rsid w:val="005F2DBC"/>
    <w:rsid w:val="00600DC5"/>
    <w:rsid w:val="00603095"/>
    <w:rsid w:val="006040D3"/>
    <w:rsid w:val="00604A26"/>
    <w:rsid w:val="0062551A"/>
    <w:rsid w:val="00625857"/>
    <w:rsid w:val="00625D32"/>
    <w:rsid w:val="00625D62"/>
    <w:rsid w:val="00637165"/>
    <w:rsid w:val="0064563C"/>
    <w:rsid w:val="00647D66"/>
    <w:rsid w:val="0065507B"/>
    <w:rsid w:val="0065549B"/>
    <w:rsid w:val="00655B5C"/>
    <w:rsid w:val="00656CA6"/>
    <w:rsid w:val="00663540"/>
    <w:rsid w:val="006702D3"/>
    <w:rsid w:val="00672200"/>
    <w:rsid w:val="00674EB1"/>
    <w:rsid w:val="00677CF1"/>
    <w:rsid w:val="006824F7"/>
    <w:rsid w:val="00691B35"/>
    <w:rsid w:val="006941CC"/>
    <w:rsid w:val="006A19B7"/>
    <w:rsid w:val="006B1B6A"/>
    <w:rsid w:val="006B3AEA"/>
    <w:rsid w:val="006B3FE6"/>
    <w:rsid w:val="006B4FE6"/>
    <w:rsid w:val="006B5A7B"/>
    <w:rsid w:val="006B6EF7"/>
    <w:rsid w:val="006B7B4B"/>
    <w:rsid w:val="006C2985"/>
    <w:rsid w:val="006C4DAF"/>
    <w:rsid w:val="006C4EF0"/>
    <w:rsid w:val="006D2254"/>
    <w:rsid w:val="006D2F5A"/>
    <w:rsid w:val="006D3C41"/>
    <w:rsid w:val="006E5D90"/>
    <w:rsid w:val="006F0208"/>
    <w:rsid w:val="006F0657"/>
    <w:rsid w:val="006F5B75"/>
    <w:rsid w:val="007008DD"/>
    <w:rsid w:val="0070532D"/>
    <w:rsid w:val="007064D4"/>
    <w:rsid w:val="00711AD6"/>
    <w:rsid w:val="00713BA7"/>
    <w:rsid w:val="0072385B"/>
    <w:rsid w:val="00727896"/>
    <w:rsid w:val="007341D6"/>
    <w:rsid w:val="00743F3E"/>
    <w:rsid w:val="007533A7"/>
    <w:rsid w:val="00762B8F"/>
    <w:rsid w:val="00762FB8"/>
    <w:rsid w:val="00776714"/>
    <w:rsid w:val="00777A87"/>
    <w:rsid w:val="00781600"/>
    <w:rsid w:val="00791170"/>
    <w:rsid w:val="00797B89"/>
    <w:rsid w:val="007A1EED"/>
    <w:rsid w:val="007A29E8"/>
    <w:rsid w:val="007A3FEB"/>
    <w:rsid w:val="007A7246"/>
    <w:rsid w:val="007B0263"/>
    <w:rsid w:val="007B1CD5"/>
    <w:rsid w:val="007B366A"/>
    <w:rsid w:val="007E0165"/>
    <w:rsid w:val="007E4C3E"/>
    <w:rsid w:val="007E7721"/>
    <w:rsid w:val="007F1C7A"/>
    <w:rsid w:val="008005C0"/>
    <w:rsid w:val="00801558"/>
    <w:rsid w:val="00803D5B"/>
    <w:rsid w:val="008045BC"/>
    <w:rsid w:val="008108BB"/>
    <w:rsid w:val="008140C1"/>
    <w:rsid w:val="0081598E"/>
    <w:rsid w:val="008166AC"/>
    <w:rsid w:val="00817DB7"/>
    <w:rsid w:val="008227E1"/>
    <w:rsid w:val="00825656"/>
    <w:rsid w:val="0083399B"/>
    <w:rsid w:val="00834D11"/>
    <w:rsid w:val="00835861"/>
    <w:rsid w:val="00835FFA"/>
    <w:rsid w:val="008367CA"/>
    <w:rsid w:val="00837799"/>
    <w:rsid w:val="008405AA"/>
    <w:rsid w:val="0084304E"/>
    <w:rsid w:val="00844826"/>
    <w:rsid w:val="0085027F"/>
    <w:rsid w:val="00856649"/>
    <w:rsid w:val="00857392"/>
    <w:rsid w:val="00862455"/>
    <w:rsid w:val="0087429E"/>
    <w:rsid w:val="0087474E"/>
    <w:rsid w:val="00877260"/>
    <w:rsid w:val="00880012"/>
    <w:rsid w:val="008A333C"/>
    <w:rsid w:val="008A7EF5"/>
    <w:rsid w:val="008B419D"/>
    <w:rsid w:val="008C2BEA"/>
    <w:rsid w:val="008C7A84"/>
    <w:rsid w:val="008D0162"/>
    <w:rsid w:val="008D6C36"/>
    <w:rsid w:val="008E2649"/>
    <w:rsid w:val="008E7851"/>
    <w:rsid w:val="00905A24"/>
    <w:rsid w:val="00906D62"/>
    <w:rsid w:val="00907A5E"/>
    <w:rsid w:val="00911490"/>
    <w:rsid w:val="00912030"/>
    <w:rsid w:val="009258E8"/>
    <w:rsid w:val="009342EC"/>
    <w:rsid w:val="009370FF"/>
    <w:rsid w:val="00937978"/>
    <w:rsid w:val="00943B3E"/>
    <w:rsid w:val="0094579B"/>
    <w:rsid w:val="0094749C"/>
    <w:rsid w:val="00956C32"/>
    <w:rsid w:val="0095728F"/>
    <w:rsid w:val="00981ED6"/>
    <w:rsid w:val="0098692B"/>
    <w:rsid w:val="00994AE0"/>
    <w:rsid w:val="0099784B"/>
    <w:rsid w:val="009A3833"/>
    <w:rsid w:val="009A59C5"/>
    <w:rsid w:val="009A6669"/>
    <w:rsid w:val="009B271A"/>
    <w:rsid w:val="009B44ED"/>
    <w:rsid w:val="009B79FF"/>
    <w:rsid w:val="009C07B8"/>
    <w:rsid w:val="009C1A02"/>
    <w:rsid w:val="009C290B"/>
    <w:rsid w:val="009C5478"/>
    <w:rsid w:val="009D0331"/>
    <w:rsid w:val="009D3460"/>
    <w:rsid w:val="009D41A1"/>
    <w:rsid w:val="009D76F2"/>
    <w:rsid w:val="009D7B89"/>
    <w:rsid w:val="009E1D9A"/>
    <w:rsid w:val="009E3AB7"/>
    <w:rsid w:val="009F029A"/>
    <w:rsid w:val="00A157E1"/>
    <w:rsid w:val="00A21C22"/>
    <w:rsid w:val="00A22CDB"/>
    <w:rsid w:val="00A25EF4"/>
    <w:rsid w:val="00A27E9B"/>
    <w:rsid w:val="00A33061"/>
    <w:rsid w:val="00A35136"/>
    <w:rsid w:val="00A40220"/>
    <w:rsid w:val="00A5016D"/>
    <w:rsid w:val="00A506CA"/>
    <w:rsid w:val="00A57536"/>
    <w:rsid w:val="00A62C3A"/>
    <w:rsid w:val="00A74135"/>
    <w:rsid w:val="00A749AD"/>
    <w:rsid w:val="00A87A5C"/>
    <w:rsid w:val="00A93057"/>
    <w:rsid w:val="00A936E3"/>
    <w:rsid w:val="00A9581A"/>
    <w:rsid w:val="00A976F8"/>
    <w:rsid w:val="00AB0B10"/>
    <w:rsid w:val="00AB0D7E"/>
    <w:rsid w:val="00AB2132"/>
    <w:rsid w:val="00AB40F5"/>
    <w:rsid w:val="00AC1404"/>
    <w:rsid w:val="00AC1AE6"/>
    <w:rsid w:val="00AC6EC2"/>
    <w:rsid w:val="00AD16C2"/>
    <w:rsid w:val="00AE017B"/>
    <w:rsid w:val="00AE1022"/>
    <w:rsid w:val="00AE602F"/>
    <w:rsid w:val="00AF063F"/>
    <w:rsid w:val="00AF08F7"/>
    <w:rsid w:val="00AF2038"/>
    <w:rsid w:val="00AF3A5B"/>
    <w:rsid w:val="00AF48AB"/>
    <w:rsid w:val="00B035C3"/>
    <w:rsid w:val="00B059E7"/>
    <w:rsid w:val="00B127FF"/>
    <w:rsid w:val="00B231C9"/>
    <w:rsid w:val="00B24FCC"/>
    <w:rsid w:val="00B30701"/>
    <w:rsid w:val="00B3085D"/>
    <w:rsid w:val="00B319E5"/>
    <w:rsid w:val="00B32DF6"/>
    <w:rsid w:val="00B34125"/>
    <w:rsid w:val="00B4199F"/>
    <w:rsid w:val="00B41B4A"/>
    <w:rsid w:val="00B4340C"/>
    <w:rsid w:val="00B43E54"/>
    <w:rsid w:val="00B4415C"/>
    <w:rsid w:val="00B5109E"/>
    <w:rsid w:val="00B539BC"/>
    <w:rsid w:val="00B569E8"/>
    <w:rsid w:val="00B663C7"/>
    <w:rsid w:val="00B75162"/>
    <w:rsid w:val="00B77649"/>
    <w:rsid w:val="00B90422"/>
    <w:rsid w:val="00B93703"/>
    <w:rsid w:val="00B939B2"/>
    <w:rsid w:val="00B94226"/>
    <w:rsid w:val="00B959E3"/>
    <w:rsid w:val="00BB115F"/>
    <w:rsid w:val="00BC431E"/>
    <w:rsid w:val="00BD41F6"/>
    <w:rsid w:val="00BE0BA6"/>
    <w:rsid w:val="00BE1921"/>
    <w:rsid w:val="00BE26F3"/>
    <w:rsid w:val="00BF07D0"/>
    <w:rsid w:val="00BF3761"/>
    <w:rsid w:val="00BF419E"/>
    <w:rsid w:val="00BF6F00"/>
    <w:rsid w:val="00C034E3"/>
    <w:rsid w:val="00C067AC"/>
    <w:rsid w:val="00C10D94"/>
    <w:rsid w:val="00C155C8"/>
    <w:rsid w:val="00C206F8"/>
    <w:rsid w:val="00C2132C"/>
    <w:rsid w:val="00C30D6B"/>
    <w:rsid w:val="00C43136"/>
    <w:rsid w:val="00C44945"/>
    <w:rsid w:val="00C4510E"/>
    <w:rsid w:val="00C505AA"/>
    <w:rsid w:val="00C541CF"/>
    <w:rsid w:val="00C54F00"/>
    <w:rsid w:val="00C63DCF"/>
    <w:rsid w:val="00C65CFE"/>
    <w:rsid w:val="00C75F7E"/>
    <w:rsid w:val="00C8219D"/>
    <w:rsid w:val="00C90515"/>
    <w:rsid w:val="00C95E63"/>
    <w:rsid w:val="00CA1B61"/>
    <w:rsid w:val="00CA634D"/>
    <w:rsid w:val="00CB106F"/>
    <w:rsid w:val="00CB44C7"/>
    <w:rsid w:val="00CB4D91"/>
    <w:rsid w:val="00CC010E"/>
    <w:rsid w:val="00CC2AFD"/>
    <w:rsid w:val="00CC372E"/>
    <w:rsid w:val="00CC6725"/>
    <w:rsid w:val="00CD006F"/>
    <w:rsid w:val="00CE25E6"/>
    <w:rsid w:val="00CE3E61"/>
    <w:rsid w:val="00CE5434"/>
    <w:rsid w:val="00CE5DBA"/>
    <w:rsid w:val="00CF499F"/>
    <w:rsid w:val="00D021C3"/>
    <w:rsid w:val="00D10E4B"/>
    <w:rsid w:val="00D1231C"/>
    <w:rsid w:val="00D151C6"/>
    <w:rsid w:val="00D16026"/>
    <w:rsid w:val="00D164D5"/>
    <w:rsid w:val="00D35507"/>
    <w:rsid w:val="00D4407E"/>
    <w:rsid w:val="00D4558E"/>
    <w:rsid w:val="00D5391E"/>
    <w:rsid w:val="00D540BD"/>
    <w:rsid w:val="00D559A3"/>
    <w:rsid w:val="00D616E9"/>
    <w:rsid w:val="00D627AA"/>
    <w:rsid w:val="00D72009"/>
    <w:rsid w:val="00D73B22"/>
    <w:rsid w:val="00D7479A"/>
    <w:rsid w:val="00D75973"/>
    <w:rsid w:val="00D8241F"/>
    <w:rsid w:val="00D861D0"/>
    <w:rsid w:val="00D87E9A"/>
    <w:rsid w:val="00D90578"/>
    <w:rsid w:val="00D91922"/>
    <w:rsid w:val="00DA0780"/>
    <w:rsid w:val="00DA194E"/>
    <w:rsid w:val="00DA34D0"/>
    <w:rsid w:val="00DA3915"/>
    <w:rsid w:val="00DA5623"/>
    <w:rsid w:val="00DA697C"/>
    <w:rsid w:val="00DA7ECC"/>
    <w:rsid w:val="00DB039E"/>
    <w:rsid w:val="00DB0784"/>
    <w:rsid w:val="00DB5223"/>
    <w:rsid w:val="00DB5834"/>
    <w:rsid w:val="00DB5F04"/>
    <w:rsid w:val="00DC18BF"/>
    <w:rsid w:val="00DD76C7"/>
    <w:rsid w:val="00DE0E92"/>
    <w:rsid w:val="00DE0F0A"/>
    <w:rsid w:val="00DF1A42"/>
    <w:rsid w:val="00DF3036"/>
    <w:rsid w:val="00E02940"/>
    <w:rsid w:val="00E047B1"/>
    <w:rsid w:val="00E05FC1"/>
    <w:rsid w:val="00E11688"/>
    <w:rsid w:val="00E127A3"/>
    <w:rsid w:val="00E12EC7"/>
    <w:rsid w:val="00E14E4E"/>
    <w:rsid w:val="00E15888"/>
    <w:rsid w:val="00E3196B"/>
    <w:rsid w:val="00E3605D"/>
    <w:rsid w:val="00E4258E"/>
    <w:rsid w:val="00E55532"/>
    <w:rsid w:val="00E60E22"/>
    <w:rsid w:val="00E62806"/>
    <w:rsid w:val="00E6298A"/>
    <w:rsid w:val="00E664EE"/>
    <w:rsid w:val="00E667F4"/>
    <w:rsid w:val="00E80457"/>
    <w:rsid w:val="00E8161B"/>
    <w:rsid w:val="00E839C1"/>
    <w:rsid w:val="00E92B78"/>
    <w:rsid w:val="00E9306D"/>
    <w:rsid w:val="00E942AE"/>
    <w:rsid w:val="00EA07D8"/>
    <w:rsid w:val="00EA1147"/>
    <w:rsid w:val="00EA3ADB"/>
    <w:rsid w:val="00EA55BD"/>
    <w:rsid w:val="00EA6AEC"/>
    <w:rsid w:val="00EA7CF4"/>
    <w:rsid w:val="00EB03C6"/>
    <w:rsid w:val="00EB1797"/>
    <w:rsid w:val="00EB3EEC"/>
    <w:rsid w:val="00EC10CF"/>
    <w:rsid w:val="00EC3D89"/>
    <w:rsid w:val="00ED319E"/>
    <w:rsid w:val="00ED34A1"/>
    <w:rsid w:val="00ED3D6C"/>
    <w:rsid w:val="00ED7875"/>
    <w:rsid w:val="00EE723F"/>
    <w:rsid w:val="00EE7447"/>
    <w:rsid w:val="00EF0346"/>
    <w:rsid w:val="00EF29D9"/>
    <w:rsid w:val="00EF67D1"/>
    <w:rsid w:val="00F00ADE"/>
    <w:rsid w:val="00F05E58"/>
    <w:rsid w:val="00F069B5"/>
    <w:rsid w:val="00F15559"/>
    <w:rsid w:val="00F173AD"/>
    <w:rsid w:val="00F21F96"/>
    <w:rsid w:val="00F25A51"/>
    <w:rsid w:val="00F274C6"/>
    <w:rsid w:val="00F3128F"/>
    <w:rsid w:val="00F34D4A"/>
    <w:rsid w:val="00F35C8A"/>
    <w:rsid w:val="00F40072"/>
    <w:rsid w:val="00F564EF"/>
    <w:rsid w:val="00F66C08"/>
    <w:rsid w:val="00F769B6"/>
    <w:rsid w:val="00F77031"/>
    <w:rsid w:val="00F920FB"/>
    <w:rsid w:val="00F93634"/>
    <w:rsid w:val="00FA1008"/>
    <w:rsid w:val="00FA6EA1"/>
    <w:rsid w:val="00FB68D7"/>
    <w:rsid w:val="00FB7164"/>
    <w:rsid w:val="00FC5C22"/>
    <w:rsid w:val="00FD7C60"/>
    <w:rsid w:val="00FE042A"/>
    <w:rsid w:val="00FF1295"/>
    <w:rsid w:val="00FF21F1"/>
    <w:rsid w:val="00FF2BC7"/>
    <w:rsid w:val="00FF43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5C"/>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295C"/>
    <w:rPr>
      <w:sz w:val="18"/>
      <w:szCs w:val="18"/>
    </w:rPr>
  </w:style>
  <w:style w:type="paragraph" w:styleId="a4">
    <w:name w:val="footer"/>
    <w:basedOn w:val="a"/>
    <w:link w:val="Char0"/>
    <w:uiPriority w:val="99"/>
    <w:unhideWhenUsed/>
    <w:rsid w:val="005F295C"/>
    <w:pPr>
      <w:tabs>
        <w:tab w:val="center" w:pos="4153"/>
        <w:tab w:val="right" w:pos="8306"/>
      </w:tabs>
      <w:snapToGrid w:val="0"/>
      <w:jc w:val="left"/>
    </w:pPr>
    <w:rPr>
      <w:sz w:val="18"/>
      <w:szCs w:val="18"/>
    </w:rPr>
  </w:style>
  <w:style w:type="character" w:customStyle="1" w:styleId="Char0">
    <w:name w:val="页脚 Char"/>
    <w:basedOn w:val="a0"/>
    <w:link w:val="a4"/>
    <w:uiPriority w:val="99"/>
    <w:rsid w:val="005F295C"/>
    <w:rPr>
      <w:sz w:val="18"/>
      <w:szCs w:val="18"/>
    </w:rPr>
  </w:style>
  <w:style w:type="paragraph" w:styleId="a5">
    <w:name w:val="No Spacing"/>
    <w:uiPriority w:val="1"/>
    <w:qFormat/>
    <w:rsid w:val="005F295C"/>
    <w:pPr>
      <w:widowControl w:val="0"/>
      <w:jc w:val="both"/>
    </w:pPr>
    <w:rPr>
      <w:rFonts w:ascii="Calibri" w:eastAsia="仿宋_GB2312" w:hAnsi="Calibri"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2653</Characters>
  <Application>Microsoft Office Word</Application>
  <DocSecurity>0</DocSecurity>
  <Lines>22</Lines>
  <Paragraphs>6</Paragraphs>
  <ScaleCrop>false</ScaleCrop>
  <Company>Microsoft</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2021-05-06T03:53:00Z</dcterms:created>
  <dcterms:modified xsi:type="dcterms:W3CDTF">2021-05-06T03:53:00Z</dcterms:modified>
</cp:coreProperties>
</file>