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0"/>
        </w:tabs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自治区交通运输综合行政执法局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2023年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无人机保险采购</w:t>
      </w:r>
      <w:r>
        <w:rPr>
          <w:rFonts w:hint="eastAsia" w:ascii="仿宋" w:hAnsi="仿宋" w:eastAsia="仿宋" w:cs="仿宋"/>
          <w:b/>
          <w:sz w:val="44"/>
          <w:szCs w:val="44"/>
        </w:rPr>
        <w:t>项目询价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采购</w:t>
      </w:r>
      <w:r>
        <w:rPr>
          <w:rFonts w:hint="eastAsia" w:ascii="仿宋" w:hAnsi="仿宋" w:eastAsia="仿宋" w:cs="仿宋"/>
          <w:b/>
          <w:sz w:val="44"/>
          <w:szCs w:val="44"/>
        </w:rPr>
        <w:t>文件</w:t>
      </w:r>
    </w:p>
    <w:p>
      <w:pPr>
        <w:rPr>
          <w:rFonts w:hint="eastAsia" w:ascii="仿宋" w:hAnsi="仿宋" w:eastAsia="仿宋" w:cs="仿宋"/>
          <w:sz w:val="44"/>
          <w:szCs w:val="44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b/>
          <w:sz w:val="84"/>
          <w:szCs w:val="84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jc w:val="both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采购单位：自治区交通运输综合行政执法局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日期：202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36"/>
          <w:szCs w:val="36"/>
        </w:rPr>
        <w:t>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36"/>
          <w:szCs w:val="36"/>
        </w:rPr>
        <w:t>日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自治区交通运输综合行政执法局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采购报价供应商需知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持续推进交通运输行政执法科技化、信息化建设，我局依据《交通运输部办公厅关于印发&lt;交通运输综合行政执法队伍素质能力提升三年行动方案（2021-2023年&gt;的通知》（交办法〔2021〕5号）、《交通运输部关于发布交通运输行政执法标识等 41 项交通运输行业标准的公告》（交通运输部公告第6号）及《广西壮族自治区交通运输厅关于贯彻实施交通运输行政执法标识等2项交通运输行业标准的通知》要求和规定，拟为我局一批无人机采购保险服务。现对无人机保险服务项目</w:t>
      </w:r>
      <w:r>
        <w:rPr>
          <w:rFonts w:hint="eastAsia" w:ascii="仿宋" w:hAnsi="仿宋" w:eastAsia="仿宋" w:cs="仿宋"/>
          <w:sz w:val="32"/>
          <w:szCs w:val="32"/>
        </w:rPr>
        <w:t>进行询价，诚邀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参与报价。我局将根据各公司所报文件通过综合评分方式（详见附件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）确定成交供应商，并与成交供应商通过签订合同实施采购。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1.项目名称：自治区交通运输综合行政执法局2023年无人机保险采购项目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2.采购方式：询价采购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3.预算金额：人民币11万元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4.最高限价：同采购预算金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5.报价方式：进行一次性完整的报价,格式统一采用附件2。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6.合同履行期：自合同签订之日起一年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（1）无人机信息列表</w:t>
      </w:r>
    </w:p>
    <w:tbl>
      <w:tblPr>
        <w:tblStyle w:val="8"/>
        <w:tblW w:w="6042" w:type="pct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801"/>
        <w:gridCol w:w="2901"/>
        <w:gridCol w:w="228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28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08" w:type="pc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机身SN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执法局二支队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大疆“御P”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08QCEAB0226VQJ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执法局二支队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大疆“御2”专业版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0M6CH4UR0A0TXW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执法局二支队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大疆“御2P”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163CJ45R0A7NB6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执法局三支队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大疆Mavic Pro铂金版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08QCGCGP120RRK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执法局三支队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大疆Macvic 2 Enterprise行业双光版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298CH4GR0A04HB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执法局三支队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 悟 Mavic 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（不含相机）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09YBJ3H0R4009A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禅思X7云台相机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24mm镜头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0VTDJ1F0010058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执法局四支队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大疆“悟”Inspire2套装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09YDFCL0040245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执法局四支队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大疆无人机Mavic 2 Zoom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ON6CH3SR0A0LDF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执法局四支队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大疆“悟”Inspire2套装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09YDF4K0040505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执法局第五支队第三大队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大疆“御2P”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08QCF8BP123GSH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执法局第五支队第七大队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大疆“御2”ENTERPRISE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276DFAJ00198W0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执法局第五支队第七大队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大疆“御2”ZOOM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0M6CH4UR0A0TK9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执法局第六支队一大队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  MAVICPRO铂金版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08QCF7CP1235GW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执法局第六支队二大队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 MAVICPRO铂金版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08QCF9DP12433V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执法局第七支队第二队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大疆“御P”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08QCGCLP120SVJ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执法局第七支队第四大队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 Mavic Pro”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08QCGCGP120RCD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执法局七支队六大队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大疆“御P”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08Q3H8XP02P754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执法局八支队第一大队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Macvic2 Enterprise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行业双光版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298CGBKR0A07PL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执法局八支队第四大队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大疆“MAVIC PRO铂金版”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08Q3H8FP02P648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执法局九支队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 “御2变焦版”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0M6CH4PR0A0S6Z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执法局九支队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 “御2变焦版”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0M6CH4BR0A0PV6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执法局九支队</w:t>
            </w:r>
          </w:p>
        </w:tc>
        <w:tc>
          <w:tcPr>
            <w:tcW w:w="14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 “御2变焦版”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0M6CH3BR0A0AR8</w:t>
            </w:r>
          </w:p>
        </w:tc>
        <w:tc>
          <w:tcPr>
            <w:tcW w:w="11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2020年6月29日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（2）投保险种：无人机维修险、第三者责任险（30万元）、意外涉水险 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1.符合《中华人民共和国政府采购法》第二十二条规定。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2.具有合法的法人营业执照。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3.报价单位需本年度有保险公司授权销售或代理保险业务。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4.未列入失信被执行人；未列入企业经营异常名录；未列入重大税收违法案件当事人名单；未被政府采购监管部门列入政府采购严重违法失信行为记录名单等。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5.供应商负责人为同一人或者存在控股、管理关系的不同单位不得同时投标。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7.必须对保险服务的质量负责。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三、理赔服务等要求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1.具有良好的商业信誉和完善的售后服务体系服务至上，能够满足我局需求；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2.保险中标单位应保证我局投保设备及时得到理赔；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3.保险中标单位中标后应及时为我局设备投保。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实行总承包报价，供应商报价应包含为实现本项目所发生的所有费用，包括保险服所产生的交通、快递运输等各种费用和售后服务、税金及其它所有成本、费用的总和。采购人不再为项目另行支付报价之外的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2.竞标单位竞标时须提供承保单位对本项目的授权书（原件备查）。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3.中标单位需在合同签订之日起2日内协助采购方收集完成被保相应机型的投保材料，合同签订之日起7日内绑定好被保机型保险，并出具被保机型相应的保险单号。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4.所有被保机型一年内提供一次深度保养服务，并出具相关保养报告.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无人机绑定保险后，收到相应有效的被保无人机的保险单号为验收合格。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六、报价文件组成内容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1.有效的《营业执照》复印件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2.法定代表人委托授权书复印件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3.法定代表人及授权人身份证复印件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4.报价表（附件2）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5.出险处理方案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6.定损、理赔服务方案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7.优化服务措施和承诺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8.售后服务方案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以上材料需加盖投标人公章。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C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七、报价文件递交：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请于2023年11月3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日中午12点前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将装订成册的报价文件（一式五份）以信封密封好，送至我局财务科（南宁市滨湖路66号公路大厦808室）联系人：张微，联系电话：0771-2115929；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项目联系人：陈亮，联系电话：0771-2115194。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评审办法及评分标准</w:t>
      </w:r>
    </w:p>
    <w:tbl>
      <w:tblPr>
        <w:tblStyle w:val="7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20"/>
        <w:gridCol w:w="1518"/>
        <w:gridCol w:w="6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评审因素</w:t>
            </w:r>
          </w:p>
        </w:tc>
        <w:tc>
          <w:tcPr>
            <w:tcW w:w="6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价格分</w:t>
            </w:r>
          </w:p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0分）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投标报价</w:t>
            </w:r>
          </w:p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（满分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0分）</w:t>
            </w:r>
          </w:p>
        </w:tc>
        <w:tc>
          <w:tcPr>
            <w:tcW w:w="6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355" w:firstLineChars="111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满足招标文件要求且评标报价最低的评标报价为评标基准价，其价格分为满分。</w:t>
            </w:r>
          </w:p>
          <w:p>
            <w:pPr>
              <w:snapToGrid w:val="0"/>
              <w:spacing w:line="360" w:lineRule="auto"/>
              <w:ind w:firstLine="355" w:firstLineChars="111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 xml:space="preserve">价格分计算公式：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价格分=（评标基准价／评标报价）×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0分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技术分</w:t>
            </w:r>
          </w:p>
          <w:p>
            <w:pPr>
              <w:adjustRightInd w:val="0"/>
              <w:spacing w:line="36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满分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分）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出险处理方案 （18分）</w:t>
            </w:r>
          </w:p>
        </w:tc>
        <w:tc>
          <w:tcPr>
            <w:tcW w:w="6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未提供出险处理方案的不得分。</w:t>
            </w:r>
          </w:p>
          <w:p>
            <w:pPr>
              <w:pStyle w:val="4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一档（3分）：处理方案描述不够详细、出险手续繁杂、出险时间长，不能够满足采购人需求。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二挡（10分）：处理方案描述较详细、出险手续较方便、出险时间合理，能提供较详细的操作指引，基本满足采购需求。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三挡（18分）：处理方案描述详细、出险手续方便简单、出险时间短，提供详细的操作指引且符合实际情况，能够满足采购人需求。</w:t>
            </w:r>
          </w:p>
          <w:p>
            <w:pPr>
              <w:pStyle w:val="16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18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定损、理赔服务方案（22分）</w:t>
            </w:r>
          </w:p>
        </w:tc>
        <w:tc>
          <w:tcPr>
            <w:tcW w:w="6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未提供定损、理赔服务方案的不得分。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一档（6分）：报案、定损、理赔的整个实施过程设置简单，不符合实际情况，响应时间长，理赔时间长，方案描述简单，可行性差。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二挡（14分）：报案、定损、理赔的整个实施过程设置较合理、简便、快捷，响应时间较快，理赔时间较短，设有全国统一服务专线电话，在广西区内有较丰富的无人机保险服务经验，方案描述较详细，可行性较强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三挡（22分）：报案、定损、理赔的整个实施过程设置合理、简便、快捷、周到，响应时间迅速，理赔时间短，设有全国统一服务专线电话，在广西区内有丰富的无人机保险服务经验，方案描述详细，可行性强。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18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优化服务措施和承诺 （10分）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6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未提供优化服务措施和承诺的不得分。</w:t>
            </w:r>
          </w:p>
          <w:p>
            <w:pPr>
              <w:pStyle w:val="4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一档（3分）：无人机维修保额低，优化服务措施简单，承诺内容少。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二挡（6分）：无人机维修保额较高，优化服务措施较详细，较符合采购人的实际情况，承诺较全面，保养方案详细。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三挡（10分）：无人机维修保额高，优化服务措施详细且可行性强，贴合采购人的实际需求，承诺全面并能有效落实，保养方案详细可行。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商务分</w:t>
            </w:r>
          </w:p>
          <w:p>
            <w:pPr>
              <w:adjustRightInd w:val="0"/>
              <w:spacing w:line="41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满分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1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业绩分</w:t>
            </w:r>
          </w:p>
          <w:p>
            <w:pPr>
              <w:spacing w:line="41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（满分10分）</w:t>
            </w:r>
          </w:p>
        </w:tc>
        <w:tc>
          <w:tcPr>
            <w:tcW w:w="6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  <w:t>1.投标人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  <w:t>2020年1月1日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起，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  <w:t>具有无人机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保险销售的业绩，提供1份得1分，满分10分。（需在投标文件中提供相关证明材料并加盖投标人公章。）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10" w:lineRule="exac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1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售后服务方案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（满分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分）</w:t>
            </w:r>
          </w:p>
        </w:tc>
        <w:tc>
          <w:tcPr>
            <w:tcW w:w="6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未提供售后服务方案不得分。</w:t>
            </w:r>
          </w:p>
          <w:p>
            <w:pPr>
              <w:pStyle w:val="4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一档（3分）：售后服务方案简单、可行性差。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二挡（6分）：售后服务方案对售后服务支持、响应时间、用户回访等措施的描述一般，可操作性、完整性较强。无人机投保的时效性较快、准确性较高，承诺内容较详尽，保障措施较可靠，服务期间，针对承保、理赔、疑难、异议问题的处理，有专人专项对接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三挡（10分）：售后服务方案对售后服务支持、响应时间、用户回访等措施的描述详尽，可操作性、完整性强。无人机投保的时效性快、准确性高，承诺内容详尽，保障措施可靠，服务期间，针对承保、理赔、疑难、异议问题的处理，有专人专项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总得分=1+2+3。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br w:type="page"/>
      </w: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自治区交通运输综合行政</w:t>
      </w:r>
      <w:r>
        <w:rPr>
          <w:rFonts w:hint="eastAsia" w:ascii="仿宋" w:hAnsi="仿宋" w:eastAsia="仿宋" w:cs="仿宋"/>
          <w:sz w:val="28"/>
          <w:szCs w:val="28"/>
        </w:rPr>
        <w:t>执法局无人机保险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保养服务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</w:t>
      </w:r>
    </w:p>
    <w:tbl>
      <w:tblPr>
        <w:tblStyle w:val="8"/>
        <w:tblW w:w="10686" w:type="dxa"/>
        <w:tblInd w:w="-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039"/>
        <w:gridCol w:w="1344"/>
        <w:gridCol w:w="1530"/>
        <w:gridCol w:w="1125"/>
        <w:gridCol w:w="915"/>
        <w:gridCol w:w="1530"/>
        <w:gridCol w:w="9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品牌型号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维修保额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三者险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最高赔付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意外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涉水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小计（元）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大疆御2 PRO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（专业版）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3架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大疆2zoom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（变焦版）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5架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大疆 御PRO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铂金版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4架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大疆 御PRO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4架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大疆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御2行业双光版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2架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大疆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御2行业变焦版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1架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大疆 悟2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3架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大疆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禅思X7云台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1台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大疆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禅思X724mm镜头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1台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以上被保机型机身深度保养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/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1年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0163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合计：人民币大写（￥：）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jlhY2IyN2Q3MWJiMmMyZmJjODcxNTAxMjQ5N2UifQ=="/>
  </w:docVars>
  <w:rsids>
    <w:rsidRoot w:val="000942C0"/>
    <w:rsid w:val="000942C0"/>
    <w:rsid w:val="000D1249"/>
    <w:rsid w:val="001E467E"/>
    <w:rsid w:val="004032D6"/>
    <w:rsid w:val="004B1386"/>
    <w:rsid w:val="004D4275"/>
    <w:rsid w:val="006B5CE5"/>
    <w:rsid w:val="0086777B"/>
    <w:rsid w:val="00880D38"/>
    <w:rsid w:val="008D0CE5"/>
    <w:rsid w:val="009010C5"/>
    <w:rsid w:val="00902453"/>
    <w:rsid w:val="00910390"/>
    <w:rsid w:val="00AC7207"/>
    <w:rsid w:val="00C00EE1"/>
    <w:rsid w:val="00C04515"/>
    <w:rsid w:val="00D367F2"/>
    <w:rsid w:val="00D72BC2"/>
    <w:rsid w:val="00E8604E"/>
    <w:rsid w:val="01570EDB"/>
    <w:rsid w:val="03822372"/>
    <w:rsid w:val="05A60D08"/>
    <w:rsid w:val="06D541B1"/>
    <w:rsid w:val="0E644C2B"/>
    <w:rsid w:val="0EF35889"/>
    <w:rsid w:val="103E6A59"/>
    <w:rsid w:val="133E2072"/>
    <w:rsid w:val="15EB7977"/>
    <w:rsid w:val="198C7A90"/>
    <w:rsid w:val="19C05F96"/>
    <w:rsid w:val="1BCC0B62"/>
    <w:rsid w:val="1E9B20C6"/>
    <w:rsid w:val="1FF468DA"/>
    <w:rsid w:val="203B62B7"/>
    <w:rsid w:val="220B5C30"/>
    <w:rsid w:val="2259561A"/>
    <w:rsid w:val="271F1E5F"/>
    <w:rsid w:val="285C6DCA"/>
    <w:rsid w:val="29672BF9"/>
    <w:rsid w:val="2F907296"/>
    <w:rsid w:val="33B82B2E"/>
    <w:rsid w:val="37CE559C"/>
    <w:rsid w:val="3B422645"/>
    <w:rsid w:val="3D176A7A"/>
    <w:rsid w:val="3DFF04CC"/>
    <w:rsid w:val="3ED57FA3"/>
    <w:rsid w:val="42084A18"/>
    <w:rsid w:val="460D0F7A"/>
    <w:rsid w:val="50471256"/>
    <w:rsid w:val="53F342C8"/>
    <w:rsid w:val="55237523"/>
    <w:rsid w:val="555621EA"/>
    <w:rsid w:val="57A92A52"/>
    <w:rsid w:val="59D10CC7"/>
    <w:rsid w:val="5A274942"/>
    <w:rsid w:val="5A8C449C"/>
    <w:rsid w:val="5C327B4C"/>
    <w:rsid w:val="5C45759A"/>
    <w:rsid w:val="5ED34ABA"/>
    <w:rsid w:val="624337C3"/>
    <w:rsid w:val="66CF7F64"/>
    <w:rsid w:val="6FC87D72"/>
    <w:rsid w:val="71327FAE"/>
    <w:rsid w:val="730B2E93"/>
    <w:rsid w:val="77C4430A"/>
    <w:rsid w:val="7E423BF1"/>
    <w:rsid w:val="7FB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qFormat/>
    <w:uiPriority w:val="99"/>
    <w:pPr>
      <w:spacing w:line="380" w:lineRule="exact"/>
    </w:pPr>
    <w:rPr>
      <w:kern w:val="0"/>
      <w:sz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customStyle="1" w:styleId="14">
    <w:name w:val="font21"/>
    <w:basedOn w:val="9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16">
    <w:name w:val="No Spacing"/>
    <w:qFormat/>
    <w:uiPriority w:val="0"/>
    <w:pPr>
      <w:widowControl w:val="0"/>
      <w:adjustRightInd w:val="0"/>
      <w:snapToGrid w:val="0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3137</Words>
  <Characters>3766</Characters>
  <Lines>10</Lines>
  <Paragraphs>3</Paragraphs>
  <TotalTime>3</TotalTime>
  <ScaleCrop>false</ScaleCrop>
  <LinksUpToDate>false</LinksUpToDate>
  <CharactersWithSpaces>3862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2023-09-11T02:06:00Z</dcterms:created>
  <dc:creator>冯刚毅</dc:creator>
  <cp:lastModifiedBy>DELL</cp:lastModifiedBy>
  <dcterms:modified xsi:type="dcterms:W3CDTF">2023-10-30T02:14:04Z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51B73415185245B28C812133B757AF3A_13</vt:lpwstr>
  </property>
</Properties>
</file>