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rPr>
          <w:rFonts w:ascii="华文中宋" w:hAnsi="华文中宋" w:eastAsia="华文中宋"/>
          <w:b/>
          <w:sz w:val="52"/>
          <w:szCs w:val="52"/>
        </w:rPr>
      </w:pPr>
    </w:p>
    <w:p>
      <w:pPr>
        <w:spacing w:line="560" w:lineRule="exact"/>
        <w:jc w:val="center"/>
        <w:rPr>
          <w:rFonts w:hint="eastAsia" w:ascii="方正小标宋_GBK" w:hAnsi="黑体" w:eastAsia="方正小标宋_GBK"/>
          <w:sz w:val="48"/>
          <w:szCs w:val="44"/>
        </w:rPr>
      </w:pPr>
      <w:r>
        <w:rPr>
          <w:rFonts w:hint="eastAsia" w:ascii="方正小标宋_GBK" w:hAnsi="黑体" w:eastAsia="方正小标宋_GBK"/>
          <w:spacing w:val="-10"/>
          <w:sz w:val="48"/>
          <w:szCs w:val="44"/>
        </w:rPr>
        <w:t>广西壮族自治区交通运输综合行政执法局</w:t>
      </w:r>
      <w:r>
        <w:rPr>
          <w:rFonts w:hint="eastAsia" w:ascii="方正小标宋_GBK" w:hAnsi="黑体" w:eastAsia="方正小标宋_GBK"/>
          <w:sz w:val="48"/>
          <w:szCs w:val="44"/>
        </w:rPr>
        <w:t>广西党政机关综合办公平台推广服务</w:t>
      </w:r>
    </w:p>
    <w:p>
      <w:pPr>
        <w:spacing w:line="560" w:lineRule="exact"/>
        <w:jc w:val="center"/>
        <w:rPr>
          <w:rFonts w:hint="eastAsia" w:ascii="方正小标宋_GBK" w:hAnsi="黑体" w:eastAsia="方正小标宋_GBK"/>
          <w:sz w:val="56"/>
          <w:szCs w:val="44"/>
        </w:rPr>
      </w:pPr>
      <w:r>
        <w:rPr>
          <w:rFonts w:hint="eastAsia" w:ascii="方正小标宋_GBK" w:hAnsi="黑体" w:eastAsia="方正小标宋_GBK"/>
          <w:sz w:val="48"/>
          <w:szCs w:val="44"/>
        </w:rPr>
        <w:t>项目询价采购文件</w:t>
      </w:r>
    </w:p>
    <w:p/>
    <w:p/>
    <w:p/>
    <w:p/>
    <w:p/>
    <w:p>
      <w:pPr>
        <w:jc w:val="center"/>
        <w:rPr>
          <w:b/>
          <w:sz w:val="84"/>
          <w:szCs w:val="84"/>
        </w:rPr>
      </w:pPr>
    </w:p>
    <w:p/>
    <w:p/>
    <w:p/>
    <w:p/>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44"/>
          <w:szCs w:val="44"/>
        </w:rPr>
      </w:pPr>
    </w:p>
    <w:p>
      <w:pPr>
        <w:rPr>
          <w:b/>
          <w:sz w:val="44"/>
          <w:szCs w:val="44"/>
        </w:rPr>
      </w:pPr>
    </w:p>
    <w:p>
      <w:pPr>
        <w:rPr>
          <w:rFonts w:ascii="仿宋_GB2312" w:eastAsia="仿宋_GB2312"/>
          <w:b/>
          <w:sz w:val="36"/>
          <w:szCs w:val="36"/>
        </w:rPr>
      </w:pPr>
      <w:r>
        <w:rPr>
          <w:rFonts w:hint="eastAsia" w:ascii="仿宋_GB2312" w:eastAsia="仿宋_GB2312"/>
          <w:b/>
          <w:sz w:val="36"/>
          <w:szCs w:val="36"/>
        </w:rPr>
        <w:t>采购单位：广西壮族自治区交通运输综合行政执法局</w:t>
      </w:r>
    </w:p>
    <w:p>
      <w:pPr>
        <w:rPr>
          <w:rFonts w:ascii="仿宋_GB2312" w:eastAsia="仿宋_GB2312"/>
          <w:b/>
          <w:sz w:val="36"/>
          <w:szCs w:val="36"/>
        </w:rPr>
      </w:pPr>
      <w:r>
        <w:rPr>
          <w:rFonts w:hint="eastAsia" w:ascii="仿宋_GB2312" w:eastAsia="仿宋_GB2312"/>
          <w:b/>
          <w:sz w:val="36"/>
          <w:szCs w:val="36"/>
        </w:rPr>
        <w:t>日    期：        2024年</w:t>
      </w:r>
      <w:r>
        <w:rPr>
          <w:rFonts w:ascii="仿宋_GB2312" w:eastAsia="仿宋_GB2312"/>
          <w:b/>
          <w:sz w:val="36"/>
          <w:szCs w:val="36"/>
        </w:rPr>
        <w:t xml:space="preserve"> </w:t>
      </w:r>
      <w:r>
        <w:rPr>
          <w:rFonts w:hint="eastAsia" w:ascii="仿宋_GB2312" w:eastAsia="仿宋_GB2312"/>
          <w:b/>
          <w:sz w:val="36"/>
          <w:szCs w:val="36"/>
          <w:lang w:val="en-US" w:eastAsia="zh-CN"/>
        </w:rPr>
        <w:t>3</w:t>
      </w:r>
      <w:r>
        <w:rPr>
          <w:rFonts w:hint="eastAsia" w:ascii="仿宋_GB2312" w:eastAsia="仿宋_GB2312"/>
          <w:b/>
          <w:sz w:val="36"/>
          <w:szCs w:val="36"/>
        </w:rPr>
        <w:t>月</w:t>
      </w:r>
      <w:r>
        <w:rPr>
          <w:rFonts w:hint="eastAsia" w:ascii="仿宋_GB2312" w:eastAsia="仿宋_GB2312"/>
          <w:b/>
          <w:sz w:val="36"/>
          <w:szCs w:val="36"/>
          <w:lang w:val="en-US" w:eastAsia="zh-CN"/>
        </w:rPr>
        <w:t>11</w:t>
      </w:r>
      <w:r>
        <w:rPr>
          <w:rFonts w:hint="eastAsia" w:ascii="仿宋_GB2312" w:eastAsia="仿宋_GB2312"/>
          <w:b/>
          <w:sz w:val="36"/>
          <w:szCs w:val="36"/>
        </w:rPr>
        <w:t>日</w:t>
      </w:r>
    </w:p>
    <w:p>
      <w:pPr>
        <w:rPr>
          <w:b/>
          <w:sz w:val="36"/>
          <w:szCs w:val="36"/>
        </w:rPr>
      </w:pPr>
    </w:p>
    <w:p>
      <w:pPr>
        <w:rPr>
          <w:b/>
          <w:sz w:val="36"/>
          <w:szCs w:val="36"/>
        </w:rPr>
      </w:pPr>
    </w:p>
    <w:p>
      <w:pPr>
        <w:rPr>
          <w:b/>
          <w:sz w:val="36"/>
          <w:szCs w:val="36"/>
        </w:rPr>
      </w:pPr>
    </w:p>
    <w:p>
      <w:pPr>
        <w:spacing w:line="560"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广西壮族自治区交通运输综合行政执法局广西党政机关综合办公平台推广服务项目采购报价供应商需知</w:t>
      </w:r>
    </w:p>
    <w:p>
      <w:pPr>
        <w:pStyle w:val="3"/>
        <w:spacing w:before="0" w:after="0"/>
        <w:ind w:firstLine="562" w:firstLineChars="200"/>
        <w:rPr>
          <w:rFonts w:ascii="仿宋_GB2312" w:eastAsia="仿宋_GB2312"/>
          <w:sz w:val="28"/>
          <w:szCs w:val="28"/>
        </w:rPr>
      </w:pPr>
    </w:p>
    <w:p>
      <w:pPr>
        <w:pStyle w:val="3"/>
        <w:spacing w:before="0" w:after="0"/>
        <w:ind w:firstLine="562" w:firstLineChars="200"/>
        <w:rPr>
          <w:rFonts w:ascii="仿宋_GB2312" w:eastAsia="仿宋_GB2312"/>
          <w:sz w:val="28"/>
          <w:szCs w:val="28"/>
        </w:rPr>
      </w:pPr>
      <w:r>
        <w:rPr>
          <w:rFonts w:hint="eastAsia" w:ascii="仿宋_GB2312" w:eastAsia="仿宋_GB2312"/>
          <w:sz w:val="28"/>
          <w:szCs w:val="28"/>
        </w:rPr>
        <w:t>一、报价的准备和报价</w:t>
      </w:r>
    </w:p>
    <w:p>
      <w:pPr>
        <w:ind w:firstLine="560" w:firstLineChars="200"/>
        <w:rPr>
          <w:rFonts w:ascii="仿宋_GB2312" w:eastAsia="仿宋_GB2312"/>
          <w:sz w:val="28"/>
          <w:szCs w:val="28"/>
        </w:rPr>
      </w:pPr>
      <w:r>
        <w:rPr>
          <w:rFonts w:hint="eastAsia" w:ascii="仿宋_GB2312" w:eastAsia="仿宋_GB2312"/>
          <w:sz w:val="28"/>
          <w:szCs w:val="28"/>
        </w:rPr>
        <w:t>（一）报价方应认真审阅本询价采购文件，并按本文件的规定，提交完整的报价文件。</w:t>
      </w:r>
    </w:p>
    <w:p>
      <w:pPr>
        <w:ind w:firstLine="560" w:firstLineChars="200"/>
        <w:rPr>
          <w:rFonts w:ascii="仿宋_GB2312" w:eastAsia="仿宋_GB2312"/>
          <w:sz w:val="28"/>
          <w:szCs w:val="28"/>
        </w:rPr>
      </w:pPr>
      <w:r>
        <w:rPr>
          <w:rFonts w:hint="eastAsia" w:ascii="仿宋_GB2312" w:eastAsia="仿宋_GB2312"/>
          <w:sz w:val="28"/>
          <w:szCs w:val="28"/>
        </w:rPr>
        <w:t>（二）报价方应用人民币作报价。</w:t>
      </w:r>
    </w:p>
    <w:p>
      <w:pPr>
        <w:ind w:firstLine="600"/>
        <w:rPr>
          <w:rFonts w:ascii="仿宋_GB2312" w:eastAsia="仿宋_GB2312"/>
          <w:sz w:val="28"/>
          <w:szCs w:val="28"/>
        </w:rPr>
      </w:pPr>
      <w:r>
        <w:rPr>
          <w:rFonts w:hint="eastAsia" w:ascii="仿宋_GB2312" w:eastAsia="仿宋_GB2312"/>
          <w:sz w:val="28"/>
          <w:szCs w:val="28"/>
        </w:rPr>
        <w:t>（三）报价文件</w:t>
      </w:r>
    </w:p>
    <w:p>
      <w:pPr>
        <w:ind w:firstLine="600"/>
        <w:rPr>
          <w:rFonts w:ascii="仿宋_GB2312" w:eastAsia="仿宋_GB2312"/>
          <w:sz w:val="28"/>
          <w:szCs w:val="28"/>
        </w:rPr>
      </w:pPr>
      <w:r>
        <w:rPr>
          <w:rFonts w:hint="eastAsia" w:ascii="仿宋_GB2312" w:eastAsia="仿宋_GB2312"/>
          <w:sz w:val="28"/>
          <w:szCs w:val="28"/>
        </w:rPr>
        <w:t>1.报价文件应由报价方法定代表签署，如由代理人签字应有法定代表人的授权书，授权书必须有法定代表人的签字并盖章方可生效。报价文件不得涂改，否则报价文件作废。</w:t>
      </w:r>
    </w:p>
    <w:p>
      <w:pPr>
        <w:ind w:firstLine="600"/>
        <w:rPr>
          <w:rFonts w:ascii="仿宋_GB2312" w:eastAsia="仿宋_GB2312"/>
          <w:sz w:val="28"/>
          <w:szCs w:val="28"/>
        </w:rPr>
      </w:pPr>
      <w:r>
        <w:rPr>
          <w:rFonts w:hint="eastAsia" w:ascii="仿宋_GB2312" w:eastAsia="仿宋_GB2312"/>
          <w:sz w:val="28"/>
          <w:szCs w:val="28"/>
        </w:rPr>
        <w:t>2.报价方资格证明文件视为报价文件不可分割的一部分。</w:t>
      </w:r>
    </w:p>
    <w:p>
      <w:pPr>
        <w:ind w:firstLine="600"/>
        <w:rPr>
          <w:rFonts w:ascii="仿宋_GB2312" w:eastAsia="仿宋_GB2312"/>
          <w:sz w:val="28"/>
          <w:szCs w:val="28"/>
        </w:rPr>
      </w:pPr>
      <w:r>
        <w:rPr>
          <w:rFonts w:hint="eastAsia" w:ascii="仿宋_GB2312" w:eastAsia="仿宋_GB2312"/>
          <w:sz w:val="28"/>
          <w:szCs w:val="28"/>
        </w:rPr>
        <w:t>3.报价方应将报价文件用信封密封，信封封口处应加贴密封条，密封条应加盖公章或密封章。</w:t>
      </w:r>
    </w:p>
    <w:p>
      <w:pPr>
        <w:ind w:firstLine="600"/>
        <w:rPr>
          <w:rFonts w:ascii="仿宋_GB2312" w:eastAsia="仿宋_GB2312"/>
          <w:sz w:val="28"/>
          <w:szCs w:val="28"/>
        </w:rPr>
      </w:pPr>
      <w:r>
        <w:rPr>
          <w:rFonts w:hint="eastAsia" w:ascii="仿宋_GB2312" w:eastAsia="仿宋_GB2312"/>
          <w:sz w:val="28"/>
          <w:szCs w:val="28"/>
        </w:rPr>
        <w:t>4.报价方应对报价文件仔细核对和检查，报价后采购方不接收修改报价文件的意见，除非采购方对采购文件某部分内容进行澄清，所有报价方应在规定的时间内书面答复。</w:t>
      </w:r>
    </w:p>
    <w:p>
      <w:pPr>
        <w:ind w:firstLine="600"/>
        <w:rPr>
          <w:rFonts w:ascii="仿宋_GB2312" w:eastAsia="仿宋_GB2312"/>
          <w:sz w:val="28"/>
          <w:szCs w:val="28"/>
        </w:rPr>
      </w:pPr>
      <w:r>
        <w:rPr>
          <w:rFonts w:hint="eastAsia" w:ascii="仿宋_GB2312" w:eastAsia="仿宋_GB2312"/>
          <w:sz w:val="28"/>
          <w:szCs w:val="28"/>
        </w:rPr>
        <w:t>5.报价时间及地点：报价方请于2024年 3月 1</w:t>
      </w:r>
      <w:r>
        <w:rPr>
          <w:rFonts w:hint="eastAsia" w:ascii="仿宋_GB2312" w:eastAsia="仿宋_GB2312"/>
          <w:sz w:val="28"/>
          <w:szCs w:val="28"/>
          <w:lang w:val="en-US" w:eastAsia="zh-CN"/>
        </w:rPr>
        <w:t>5</w:t>
      </w:r>
      <w:r>
        <w:rPr>
          <w:rFonts w:hint="eastAsia" w:ascii="仿宋_GB2312" w:eastAsia="仿宋_GB2312"/>
          <w:sz w:val="28"/>
          <w:szCs w:val="28"/>
        </w:rPr>
        <w:t xml:space="preserve"> 日中午12点前将装订成册的报价文件（一式三份）以信封密封好，送至我局财务科（南宁市滨湖路66号公路大厦808室）。如需邮寄送达，请用信封密封好并在邮寄封面注明投标资料和投标单位，联系人：张微，联系电话：0771-2115929。逾期将拒绝接收报价文件。</w:t>
      </w:r>
    </w:p>
    <w:p>
      <w:pPr>
        <w:ind w:firstLine="600"/>
        <w:rPr>
          <w:rFonts w:ascii="仿宋_GB2312" w:eastAsia="仿宋_GB2312"/>
          <w:sz w:val="28"/>
          <w:szCs w:val="28"/>
        </w:rPr>
      </w:pPr>
      <w:r>
        <w:rPr>
          <w:rFonts w:hint="eastAsia" w:ascii="仿宋_GB2312" w:eastAsia="仿宋_GB2312"/>
          <w:sz w:val="28"/>
          <w:szCs w:val="28"/>
        </w:rPr>
        <w:t>（四）签订合同</w:t>
      </w:r>
    </w:p>
    <w:p>
      <w:pPr>
        <w:ind w:firstLine="600"/>
        <w:rPr>
          <w:rFonts w:ascii="仿宋_GB2312" w:eastAsia="仿宋_GB2312"/>
          <w:sz w:val="28"/>
          <w:szCs w:val="28"/>
        </w:rPr>
      </w:pPr>
      <w:r>
        <w:rPr>
          <w:rFonts w:hint="eastAsia" w:ascii="仿宋_GB2312" w:eastAsia="仿宋_GB2312"/>
          <w:sz w:val="28"/>
          <w:szCs w:val="28"/>
        </w:rPr>
        <w:t>1.成交方应在成交通知书规定的时间内，由法定代表人或委托代理人到采购单位签订合同。</w:t>
      </w:r>
    </w:p>
    <w:p>
      <w:pPr>
        <w:ind w:firstLine="600"/>
        <w:rPr>
          <w:rFonts w:ascii="仿宋_GB2312" w:eastAsia="仿宋_GB2312"/>
          <w:sz w:val="28"/>
          <w:szCs w:val="28"/>
        </w:rPr>
      </w:pPr>
      <w:r>
        <w:rPr>
          <w:rFonts w:hint="eastAsia" w:ascii="仿宋_GB2312" w:eastAsia="仿宋_GB2312"/>
          <w:sz w:val="28"/>
          <w:szCs w:val="28"/>
        </w:rPr>
        <w:t>2.成交通知书、本询价采购文件和成交方的报价文件是双方签订合同的依据，合同文本应符合国家相关政策要求。成交方在签订合同时对上述文件有异议，不愿遵照执行，将视情节取消成交方的成交资格，以及赔偿采购方的经济损失。</w:t>
      </w:r>
    </w:p>
    <w:p>
      <w:pPr>
        <w:pStyle w:val="3"/>
        <w:spacing w:before="0" w:after="0"/>
        <w:ind w:firstLine="562" w:firstLineChars="200"/>
        <w:rPr>
          <w:rFonts w:ascii="仿宋_GB2312" w:eastAsia="仿宋_GB2312"/>
          <w:sz w:val="28"/>
          <w:szCs w:val="28"/>
        </w:rPr>
      </w:pPr>
      <w:bookmarkStart w:id="0" w:name="_Toc453359044"/>
      <w:r>
        <w:rPr>
          <w:rFonts w:hint="eastAsia" w:ascii="仿宋_GB2312" w:eastAsia="仿宋_GB2312"/>
          <w:sz w:val="28"/>
          <w:szCs w:val="28"/>
        </w:rPr>
        <w:t>二、</w:t>
      </w:r>
      <w:bookmarkEnd w:id="0"/>
      <w:r>
        <w:rPr>
          <w:rFonts w:hint="eastAsia" w:ascii="仿宋_GB2312" w:eastAsia="仿宋_GB2312"/>
          <w:sz w:val="28"/>
          <w:szCs w:val="28"/>
        </w:rPr>
        <w:t>采购需求内容</w:t>
      </w:r>
    </w:p>
    <w:p>
      <w:pPr>
        <w:ind w:firstLine="562" w:firstLineChars="200"/>
        <w:rPr>
          <w:rFonts w:ascii="仿宋" w:hAnsi="仿宋" w:eastAsia="仿宋"/>
          <w:sz w:val="28"/>
          <w:szCs w:val="32"/>
        </w:rPr>
      </w:pPr>
      <w:r>
        <w:rPr>
          <w:rFonts w:hint="eastAsia" w:ascii="仿宋_GB2312" w:eastAsia="仿宋_GB2312"/>
          <w:b/>
          <w:sz w:val="28"/>
          <w:szCs w:val="32"/>
        </w:rPr>
        <w:t>（一）</w:t>
      </w:r>
      <w:r>
        <w:rPr>
          <w:rFonts w:hint="eastAsia" w:ascii="仿宋" w:hAnsi="仿宋" w:eastAsia="仿宋"/>
          <w:sz w:val="28"/>
          <w:szCs w:val="32"/>
        </w:rPr>
        <w:t>采购项目名称：广西党政机关综合办公平台推广服务</w:t>
      </w:r>
    </w:p>
    <w:p>
      <w:pPr>
        <w:ind w:firstLine="562" w:firstLineChars="200"/>
        <w:rPr>
          <w:rFonts w:ascii="仿宋_GB2312" w:eastAsia="仿宋_GB2312"/>
          <w:b/>
          <w:sz w:val="28"/>
          <w:szCs w:val="32"/>
        </w:rPr>
      </w:pPr>
      <w:r>
        <w:rPr>
          <w:rFonts w:hint="eastAsia" w:ascii="仿宋_GB2312" w:eastAsia="仿宋_GB2312"/>
          <w:b/>
          <w:sz w:val="28"/>
          <w:szCs w:val="32"/>
        </w:rPr>
        <w:t>（二）</w:t>
      </w:r>
      <w:r>
        <w:rPr>
          <w:rFonts w:hint="eastAsia" w:ascii="仿宋" w:hAnsi="仿宋" w:eastAsia="仿宋"/>
          <w:sz w:val="28"/>
          <w:szCs w:val="32"/>
        </w:rPr>
        <w:t>采购项目预算金额（人民币）：32万元</w:t>
      </w:r>
    </w:p>
    <w:p>
      <w:pPr>
        <w:ind w:firstLine="562" w:firstLineChars="200"/>
        <w:rPr>
          <w:rFonts w:ascii="仿宋" w:hAnsi="仿宋" w:eastAsia="仿宋"/>
          <w:sz w:val="28"/>
          <w:szCs w:val="28"/>
        </w:rPr>
      </w:pPr>
      <w:r>
        <w:rPr>
          <w:rFonts w:hint="eastAsia" w:ascii="仿宋_GB2312" w:eastAsia="仿宋_GB2312"/>
          <w:b/>
          <w:sz w:val="28"/>
          <w:szCs w:val="32"/>
        </w:rPr>
        <w:t>（三）</w:t>
      </w:r>
      <w:bookmarkStart w:id="1" w:name="OLE_LINK1"/>
      <w:r>
        <w:rPr>
          <w:rFonts w:hint="eastAsia" w:ascii="仿宋" w:hAnsi="仿宋" w:eastAsia="仿宋"/>
          <w:sz w:val="28"/>
          <w:szCs w:val="32"/>
        </w:rPr>
        <w:t>采购项目内容</w:t>
      </w:r>
      <w:bookmarkEnd w:id="1"/>
      <w:r>
        <w:rPr>
          <w:rFonts w:hint="eastAsia" w:ascii="仿宋" w:hAnsi="仿宋" w:eastAsia="仿宋"/>
          <w:sz w:val="28"/>
          <w:szCs w:val="32"/>
        </w:rPr>
        <w:t>：服务供应商提供一年的广西党政机关综合办公平台运维服务，完成执法局14个下设机构全面推广部署广西</w:t>
      </w:r>
      <w:r>
        <w:rPr>
          <w:rFonts w:ascii="仿宋" w:hAnsi="仿宋" w:eastAsia="仿宋"/>
          <w:sz w:val="28"/>
          <w:szCs w:val="32"/>
        </w:rPr>
        <w:t>党政</w:t>
      </w:r>
      <w:r>
        <w:rPr>
          <w:rFonts w:hint="eastAsia" w:ascii="仿宋" w:hAnsi="仿宋" w:eastAsia="仿宋"/>
          <w:sz w:val="28"/>
          <w:szCs w:val="32"/>
        </w:rPr>
        <w:t>机关综合办公平台，实现三级部署，完成原OA系统数据迁移，提高行政办公效能。</w:t>
      </w:r>
      <w:r>
        <w:rPr>
          <w:rFonts w:hint="eastAsia" w:ascii="仿宋" w:hAnsi="仿宋" w:eastAsia="仿宋"/>
          <w:sz w:val="28"/>
          <w:szCs w:val="28"/>
        </w:rPr>
        <w:t>本次项目具体采购内容如下：</w:t>
      </w:r>
    </w:p>
    <w:p>
      <w:pPr>
        <w:rPr>
          <w:rFonts w:ascii="仿宋" w:hAnsi="仿宋" w:eastAsia="仿宋"/>
          <w:sz w:val="28"/>
          <w:szCs w:val="28"/>
        </w:rPr>
      </w:pPr>
    </w:p>
    <w:p>
      <w:pPr>
        <w:ind w:firstLine="560" w:firstLineChars="200"/>
        <w:rPr>
          <w:rFonts w:ascii="仿宋" w:hAnsi="仿宋" w:eastAsia="仿宋"/>
          <w:sz w:val="28"/>
          <w:szCs w:val="28"/>
        </w:rPr>
        <w:sectPr>
          <w:headerReference r:id="rId3" w:type="default"/>
          <w:pgSz w:w="11906" w:h="16838"/>
          <w:pgMar w:top="1440" w:right="1800" w:bottom="1440" w:left="1800" w:header="851" w:footer="992" w:gutter="0"/>
          <w:cols w:space="720" w:num="1"/>
          <w:docGrid w:type="lines" w:linePitch="312" w:charSpace="0"/>
        </w:sectPr>
      </w:pPr>
    </w:p>
    <w:tbl>
      <w:tblPr>
        <w:tblStyle w:val="11"/>
        <w:tblW w:w="13742" w:type="dxa"/>
        <w:tblInd w:w="258" w:type="dxa"/>
        <w:tblLayout w:type="fixed"/>
        <w:tblCellMar>
          <w:top w:w="0" w:type="dxa"/>
          <w:left w:w="108" w:type="dxa"/>
          <w:bottom w:w="0" w:type="dxa"/>
          <w:right w:w="108" w:type="dxa"/>
        </w:tblCellMar>
      </w:tblPr>
      <w:tblGrid>
        <w:gridCol w:w="843"/>
        <w:gridCol w:w="1275"/>
        <w:gridCol w:w="8789"/>
        <w:gridCol w:w="567"/>
        <w:gridCol w:w="567"/>
        <w:gridCol w:w="992"/>
        <w:gridCol w:w="709"/>
      </w:tblGrid>
      <w:tr>
        <w:trPr>
          <w:trHeight w:val="132" w:hRule="atLeast"/>
        </w:trPr>
        <w:tc>
          <w:tcPr>
            <w:tcW w:w="84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序号</w:t>
            </w:r>
          </w:p>
        </w:tc>
        <w:tc>
          <w:tcPr>
            <w:tcW w:w="12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项目</w:t>
            </w:r>
          </w:p>
        </w:tc>
        <w:tc>
          <w:tcPr>
            <w:tcW w:w="878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采购需求说明</w:t>
            </w:r>
          </w:p>
        </w:tc>
        <w:tc>
          <w:tcPr>
            <w:tcW w:w="56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等线" w:hAnsi="等线" w:eastAsia="等线" w:cs="等线"/>
                <w:sz w:val="22"/>
                <w:szCs w:val="22"/>
              </w:rPr>
            </w:pPr>
            <w:r>
              <w:rPr>
                <w:rFonts w:hint="eastAsia" w:ascii="等线" w:hAnsi="等线" w:eastAsia="等线" w:cs="等线"/>
                <w:kern w:val="0"/>
                <w:sz w:val="22"/>
                <w:szCs w:val="22"/>
              </w:rPr>
              <w:t>数量</w:t>
            </w:r>
          </w:p>
        </w:tc>
        <w:tc>
          <w:tcPr>
            <w:tcW w:w="56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等线" w:hAnsi="等线" w:eastAsia="等线" w:cs="等线"/>
                <w:sz w:val="22"/>
                <w:szCs w:val="22"/>
              </w:rPr>
            </w:pPr>
            <w:r>
              <w:rPr>
                <w:rFonts w:hint="eastAsia" w:ascii="等线" w:hAnsi="等线" w:eastAsia="等线" w:cs="等线"/>
                <w:kern w:val="0"/>
                <w:sz w:val="22"/>
                <w:szCs w:val="22"/>
              </w:rPr>
              <w:t>单位</w:t>
            </w:r>
          </w:p>
        </w:tc>
        <w:tc>
          <w:tcPr>
            <w:tcW w:w="99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等线" w:hAnsi="等线" w:eastAsia="等线" w:cs="等线"/>
                <w:sz w:val="22"/>
                <w:szCs w:val="22"/>
              </w:rPr>
            </w:pPr>
            <w:r>
              <w:rPr>
                <w:rFonts w:hint="eastAsia" w:ascii="等线" w:hAnsi="等线" w:eastAsia="等线" w:cs="等线"/>
                <w:sz w:val="22"/>
                <w:szCs w:val="22"/>
              </w:rPr>
              <w:t>报价</w:t>
            </w:r>
          </w:p>
          <w:p>
            <w:pPr>
              <w:widowControl/>
              <w:jc w:val="center"/>
              <w:textAlignment w:val="center"/>
              <w:rPr>
                <w:rFonts w:ascii="等线" w:hAnsi="等线" w:eastAsia="等线" w:cs="等线"/>
                <w:sz w:val="22"/>
                <w:szCs w:val="22"/>
              </w:rPr>
            </w:pPr>
            <w:r>
              <w:rPr>
                <w:rFonts w:hint="eastAsia" w:ascii="等线" w:hAnsi="等线" w:eastAsia="等线" w:cs="等线"/>
                <w:sz w:val="22"/>
                <w:szCs w:val="22"/>
              </w:rPr>
              <w:t>（万元）</w:t>
            </w:r>
          </w:p>
        </w:tc>
        <w:tc>
          <w:tcPr>
            <w:tcW w:w="70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等线" w:hAnsi="等线" w:eastAsia="等线" w:cs="等线"/>
                <w:sz w:val="22"/>
                <w:szCs w:val="22"/>
              </w:rPr>
            </w:pPr>
            <w:r>
              <w:rPr>
                <w:rFonts w:hint="eastAsia" w:ascii="等线" w:hAnsi="等线" w:eastAsia="等线" w:cs="等线"/>
                <w:sz w:val="22"/>
                <w:szCs w:val="22"/>
              </w:rPr>
              <w:t>响应情况</w:t>
            </w:r>
          </w:p>
        </w:tc>
      </w:tr>
      <w:tr>
        <w:tblPrEx>
          <w:tblCellMar>
            <w:top w:w="0" w:type="dxa"/>
            <w:left w:w="108" w:type="dxa"/>
            <w:bottom w:w="0" w:type="dxa"/>
            <w:right w:w="108" w:type="dxa"/>
          </w:tblCellMar>
        </w:tblPrEx>
        <w:trPr>
          <w:trHeight w:val="6960" w:hRule="atLeast"/>
        </w:trPr>
        <w:tc>
          <w:tcPr>
            <w:tcW w:w="843"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sz w:val="22"/>
              </w:rPr>
            </w:pPr>
            <w:bookmarkStart w:id="2" w:name="_Hlk129039039"/>
            <w:r>
              <w:rPr>
                <w:rFonts w:hint="eastAsia" w:ascii="宋体" w:hAnsi="宋体" w:cs="宋体"/>
                <w:sz w:val="22"/>
              </w:rPr>
              <w:t>1</w:t>
            </w:r>
          </w:p>
        </w:tc>
        <w:tc>
          <w:tcPr>
            <w:tcW w:w="127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 w:val="22"/>
              </w:rPr>
            </w:pPr>
            <w:r>
              <w:rPr>
                <w:rFonts w:hint="eastAsia" w:ascii="宋体" w:hAnsi="宋体" w:cs="宋体"/>
                <w:sz w:val="24"/>
                <w:szCs w:val="22"/>
              </w:rPr>
              <w:t>广西党政机关综合办公平台推广服务</w:t>
            </w:r>
          </w:p>
        </w:tc>
        <w:tc>
          <w:tcPr>
            <w:tcW w:w="8789" w:type="dxa"/>
            <w:tcBorders>
              <w:top w:val="single" w:color="auto" w:sz="4" w:space="0"/>
              <w:left w:val="single" w:color="000000" w:sz="4" w:space="0"/>
              <w:bottom w:val="single" w:color="auto" w:sz="4" w:space="0"/>
              <w:right w:val="single" w:color="000000" w:sz="4" w:space="0"/>
            </w:tcBorders>
            <w:shd w:val="clear" w:color="auto" w:fill="auto"/>
          </w:tcPr>
          <w:p>
            <w:pPr>
              <w:pStyle w:val="21"/>
              <w:ind w:firstLine="0" w:firstLineChars="0"/>
              <w:rPr>
                <w:rFonts w:ascii="宋体" w:hAnsi="宋体" w:cs="宋体"/>
                <w:sz w:val="24"/>
              </w:rPr>
            </w:pPr>
            <w:r>
              <w:rPr>
                <w:rFonts w:hint="eastAsia" w:ascii="宋体" w:hAnsi="宋体" w:cs="宋体"/>
                <w:sz w:val="24"/>
              </w:rPr>
              <w:t>一、实施推广</w:t>
            </w:r>
          </w:p>
          <w:p>
            <w:pPr>
              <w:pStyle w:val="21"/>
              <w:ind w:firstLine="0" w:firstLineChars="0"/>
              <w:rPr>
                <w:rFonts w:ascii="宋体" w:hAnsi="宋体" w:cs="宋体"/>
                <w:sz w:val="24"/>
              </w:rPr>
            </w:pPr>
            <w:r>
              <w:rPr>
                <w:rFonts w:hint="eastAsia" w:ascii="宋体" w:hAnsi="宋体" w:cs="宋体"/>
                <w:sz w:val="24"/>
              </w:rPr>
              <w:t>（一）前期工作：单位调研、网络调试、终端调试、信息收集及录入、UK</w:t>
            </w:r>
            <w:r>
              <w:rPr>
                <w:rFonts w:ascii="宋体" w:hAnsi="宋体" w:cs="宋体"/>
                <w:sz w:val="24"/>
              </w:rPr>
              <w:t>ey</w:t>
            </w:r>
            <w:r>
              <w:rPr>
                <w:rFonts w:hint="eastAsia" w:ascii="宋体" w:hAnsi="宋体" w:cs="宋体"/>
                <w:sz w:val="24"/>
              </w:rPr>
              <w:t>制作（数量约800个，根据实际用户数量确定）、移动办公平台VPDN业务开通、电子签章制作、短信接入等工作。</w:t>
            </w:r>
          </w:p>
          <w:p>
            <w:pPr>
              <w:pStyle w:val="21"/>
              <w:ind w:firstLine="0" w:firstLineChars="0"/>
              <w:rPr>
                <w:rFonts w:ascii="宋体" w:hAnsi="宋体" w:cs="宋体"/>
                <w:sz w:val="24"/>
              </w:rPr>
            </w:pPr>
            <w:r>
              <w:rPr>
                <w:rFonts w:hint="eastAsia" w:ascii="宋体" w:hAnsi="宋体" w:cs="宋体"/>
                <w:sz w:val="24"/>
              </w:rPr>
              <w:t>（二）系统初始化：针对资源分配、租户、交换箱、短信通道、统一待办、移动办公、单位域名、数据库等内容完成初始化工作，完成参数配置。</w:t>
            </w:r>
          </w:p>
          <w:p>
            <w:pPr>
              <w:pStyle w:val="21"/>
              <w:ind w:firstLine="0" w:firstLineChars="0"/>
              <w:rPr>
                <w:rFonts w:ascii="宋体" w:hAnsi="宋体" w:cs="宋体"/>
                <w:sz w:val="24"/>
              </w:rPr>
            </w:pPr>
            <w:r>
              <w:rPr>
                <w:rFonts w:hint="eastAsia" w:ascii="宋体" w:hAnsi="宋体" w:cs="宋体"/>
                <w:sz w:val="24"/>
              </w:rPr>
              <w:t>（三）应用初始化</w:t>
            </w:r>
          </w:p>
          <w:p>
            <w:pPr>
              <w:pStyle w:val="21"/>
              <w:ind w:firstLine="0" w:firstLineChars="0"/>
              <w:rPr>
                <w:rFonts w:ascii="宋体" w:hAnsi="宋体" w:cs="宋体"/>
                <w:sz w:val="24"/>
              </w:rPr>
            </w:pPr>
            <w:r>
              <w:rPr>
                <w:rFonts w:hint="eastAsia" w:ascii="宋体" w:hAnsi="宋体" w:cs="宋体"/>
                <w:sz w:val="24"/>
              </w:rPr>
              <w:t>1.统一门户：对角色、页面、页面布局、素材库、文库、宣传栏、意见栏、导航栏、权限、移动端首页、链接挂载等内容完成初始化工作，完成VPDN账号注册及初始化。</w:t>
            </w:r>
          </w:p>
          <w:p>
            <w:pPr>
              <w:pStyle w:val="21"/>
              <w:ind w:firstLine="0" w:firstLineChars="0"/>
              <w:rPr>
                <w:rFonts w:ascii="宋体" w:hAnsi="宋体" w:cs="宋体"/>
                <w:sz w:val="24"/>
              </w:rPr>
            </w:pPr>
            <w:r>
              <w:rPr>
                <w:rFonts w:hint="eastAsia" w:ascii="宋体" w:hAnsi="宋体" w:cs="宋体"/>
                <w:sz w:val="24"/>
              </w:rPr>
              <w:t>2.电子公文系统：包括角色、基础信息、PC端移动端模块、系统参数、收发文流程管理等初始化及配置。</w:t>
            </w:r>
          </w:p>
          <w:p>
            <w:pPr>
              <w:pStyle w:val="21"/>
              <w:ind w:firstLine="0" w:firstLineChars="0"/>
              <w:rPr>
                <w:rFonts w:ascii="宋体" w:hAnsi="宋体" w:cs="宋体"/>
                <w:sz w:val="24"/>
              </w:rPr>
            </w:pPr>
            <w:r>
              <w:rPr>
                <w:rFonts w:hint="eastAsia" w:ascii="宋体" w:hAnsi="宋体" w:cs="宋体"/>
                <w:sz w:val="24"/>
              </w:rPr>
              <w:t>4.系统调试：针对统一门户、电子公文系统、通知公告系统、移动端（政桂通）提供相关系统调试服务。</w:t>
            </w:r>
          </w:p>
          <w:p>
            <w:pPr>
              <w:pStyle w:val="21"/>
              <w:ind w:firstLine="0" w:firstLineChars="0"/>
              <w:rPr>
                <w:rFonts w:ascii="宋体" w:hAnsi="宋体" w:cs="宋体"/>
                <w:sz w:val="24"/>
              </w:rPr>
            </w:pPr>
            <w:r>
              <w:rPr>
                <w:rFonts w:hint="eastAsia" w:ascii="宋体" w:hAnsi="宋体" w:cs="宋体"/>
                <w:sz w:val="24"/>
              </w:rPr>
              <w:t>5.系统培训：提供综合办公平台系统操作、业务场景具体操作、常见问题判断处理、系统维护等培训服务。</w:t>
            </w:r>
          </w:p>
          <w:p>
            <w:pPr>
              <w:pStyle w:val="21"/>
              <w:ind w:firstLine="0" w:firstLineChars="0"/>
              <w:rPr>
                <w:rFonts w:ascii="宋体" w:hAnsi="宋体" w:cs="宋体"/>
                <w:sz w:val="24"/>
              </w:rPr>
            </w:pPr>
            <w:r>
              <w:rPr>
                <w:rFonts w:hint="eastAsia" w:ascii="宋体" w:hAnsi="宋体" w:cs="宋体"/>
                <w:sz w:val="24"/>
              </w:rPr>
              <w:t>二、运维服务</w:t>
            </w:r>
          </w:p>
          <w:p>
            <w:pPr>
              <w:pStyle w:val="21"/>
              <w:ind w:firstLine="480"/>
              <w:rPr>
                <w:rFonts w:ascii="宋体" w:hAnsi="宋体" w:cs="宋体"/>
                <w:sz w:val="24"/>
              </w:rPr>
            </w:pPr>
            <w:r>
              <w:rPr>
                <w:rFonts w:hint="eastAsia" w:ascii="宋体" w:hAnsi="宋体" w:cs="宋体"/>
                <w:sz w:val="24"/>
              </w:rPr>
              <w:t>运维服务保障涵盖了问题解决服务、运行保障服务、运行优化服务、业务培训服务等内容。在一年服务保障期内，运维保障团队提供7*24小时电话技术支持，运维服务保障以远程服务的方式开展工作，对于远程支持无法解决的故障问题，须1小时内做出明确响应和安排，并安排相关技术人员进行故障处理。具体包括以下远程服务内容：</w:t>
            </w:r>
          </w:p>
        </w:tc>
        <w:tc>
          <w:tcPr>
            <w:tcW w:w="5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等线" w:hAnsi="等线" w:eastAsia="等线" w:cs="等线"/>
                <w:kern w:val="0"/>
                <w:sz w:val="22"/>
                <w:szCs w:val="22"/>
              </w:rPr>
            </w:pPr>
            <w:r>
              <w:rPr>
                <w:rFonts w:hint="eastAsia" w:ascii="等线" w:hAnsi="等线" w:eastAsia="等线" w:cs="等线"/>
                <w:kern w:val="0"/>
                <w:sz w:val="22"/>
                <w:szCs w:val="22"/>
              </w:rPr>
              <w:t>1</w:t>
            </w:r>
          </w:p>
        </w:tc>
        <w:tc>
          <w:tcPr>
            <w:tcW w:w="56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等线" w:hAnsi="等线" w:eastAsia="等线" w:cs="等线"/>
                <w:kern w:val="0"/>
                <w:sz w:val="22"/>
                <w:szCs w:val="22"/>
              </w:rPr>
            </w:pPr>
            <w:r>
              <w:rPr>
                <w:rFonts w:hint="eastAsia" w:ascii="等线" w:hAnsi="等线" w:eastAsia="等线" w:cs="等线"/>
                <w:kern w:val="0"/>
                <w:sz w:val="22"/>
                <w:szCs w:val="22"/>
              </w:rPr>
              <w:t>项</w:t>
            </w:r>
          </w:p>
        </w:tc>
        <w:tc>
          <w:tcPr>
            <w:tcW w:w="99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等线" w:hAnsi="等线" w:eastAsia="等线" w:cs="等线"/>
                <w:kern w:val="0"/>
                <w:sz w:val="22"/>
                <w:szCs w:val="22"/>
              </w:rPr>
            </w:pPr>
          </w:p>
        </w:tc>
        <w:tc>
          <w:tcPr>
            <w:tcW w:w="70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等线" w:hAnsi="等线" w:eastAsia="等线" w:cs="等线"/>
                <w:kern w:val="0"/>
                <w:sz w:val="22"/>
                <w:szCs w:val="22"/>
              </w:rPr>
            </w:pPr>
          </w:p>
        </w:tc>
      </w:tr>
      <w:tr>
        <w:tblPrEx>
          <w:tblCellMar>
            <w:top w:w="0" w:type="dxa"/>
            <w:left w:w="108" w:type="dxa"/>
            <w:bottom w:w="0" w:type="dxa"/>
            <w:right w:w="108" w:type="dxa"/>
          </w:tblCellMar>
        </w:tblPrEx>
        <w:trPr>
          <w:trHeight w:val="6360" w:hRule="atLeast"/>
        </w:trPr>
        <w:tc>
          <w:tcPr>
            <w:tcW w:w="843"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cs="宋体"/>
                <w:sz w:val="22"/>
              </w:rPr>
            </w:pPr>
          </w:p>
        </w:tc>
        <w:tc>
          <w:tcPr>
            <w:tcW w:w="127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宋体" w:hAnsi="宋体" w:cs="宋体"/>
                <w:sz w:val="24"/>
                <w:szCs w:val="22"/>
              </w:rPr>
            </w:pPr>
          </w:p>
        </w:tc>
        <w:tc>
          <w:tcPr>
            <w:tcW w:w="8789" w:type="dxa"/>
            <w:tcBorders>
              <w:top w:val="single" w:color="auto" w:sz="4" w:space="0"/>
              <w:left w:val="single" w:color="000000" w:sz="4" w:space="0"/>
              <w:bottom w:val="single" w:color="auto" w:sz="4" w:space="0"/>
              <w:right w:val="single" w:color="000000" w:sz="4" w:space="0"/>
            </w:tcBorders>
            <w:shd w:val="clear" w:color="auto" w:fill="auto"/>
          </w:tcPr>
          <w:p>
            <w:pPr>
              <w:pStyle w:val="21"/>
              <w:ind w:firstLine="0" w:firstLineChars="0"/>
              <w:rPr>
                <w:rFonts w:ascii="宋体" w:hAnsi="宋体" w:cs="宋体"/>
                <w:sz w:val="24"/>
              </w:rPr>
            </w:pPr>
            <w:r>
              <w:rPr>
                <w:rFonts w:hint="eastAsia" w:ascii="宋体" w:hAnsi="宋体" w:cs="宋体"/>
                <w:sz w:val="24"/>
              </w:rPr>
              <w:t>（一）7*24小时电话技术支持，远程专家支持，服务器应用支持，数据库应用支持；</w:t>
            </w:r>
          </w:p>
          <w:p>
            <w:pPr>
              <w:pStyle w:val="21"/>
              <w:ind w:firstLine="0" w:firstLineChars="0"/>
              <w:rPr>
                <w:rFonts w:ascii="宋体" w:hAnsi="宋体" w:cs="宋体"/>
                <w:sz w:val="24"/>
              </w:rPr>
            </w:pPr>
            <w:r>
              <w:rPr>
                <w:rFonts w:hint="eastAsia" w:ascii="宋体" w:hAnsi="宋体" w:cs="宋体"/>
                <w:sz w:val="24"/>
              </w:rPr>
              <w:t>（二）系统应用巡检，每年度系统健康巡检服务；</w:t>
            </w:r>
          </w:p>
          <w:p>
            <w:pPr>
              <w:pStyle w:val="21"/>
              <w:ind w:firstLine="0" w:firstLineChars="0"/>
              <w:rPr>
                <w:rFonts w:ascii="宋体" w:hAnsi="宋体" w:cs="宋体"/>
                <w:sz w:val="24"/>
              </w:rPr>
            </w:pPr>
            <w:r>
              <w:rPr>
                <w:rFonts w:hint="eastAsia" w:ascii="宋体" w:hAnsi="宋体" w:cs="宋体"/>
                <w:sz w:val="24"/>
              </w:rPr>
              <w:t>（三）系统升级更新，系统应用维护，系统数据维护；</w:t>
            </w:r>
          </w:p>
          <w:p>
            <w:pPr>
              <w:pStyle w:val="21"/>
              <w:ind w:firstLine="0" w:firstLineChars="0"/>
              <w:rPr>
                <w:rFonts w:ascii="宋体" w:hAnsi="宋体" w:cs="宋体"/>
                <w:sz w:val="24"/>
              </w:rPr>
            </w:pPr>
            <w:r>
              <w:rPr>
                <w:rFonts w:hint="eastAsia" w:ascii="宋体" w:hAnsi="宋体" w:cs="宋体"/>
                <w:sz w:val="24"/>
              </w:rPr>
              <w:t>（四）系统培训指导，提供集中培训、专项培训、常态化培训使用指导及针对性的培训；</w:t>
            </w:r>
          </w:p>
          <w:p>
            <w:pPr>
              <w:pStyle w:val="21"/>
              <w:ind w:firstLine="0" w:firstLineChars="0"/>
              <w:rPr>
                <w:rFonts w:ascii="宋体" w:hAnsi="宋体" w:cs="宋体"/>
                <w:sz w:val="24"/>
              </w:rPr>
            </w:pPr>
            <w:r>
              <w:rPr>
                <w:rFonts w:hint="eastAsia" w:ascii="宋体" w:hAnsi="宋体" w:cs="宋体"/>
                <w:sz w:val="24"/>
              </w:rPr>
              <w:t>（五）提供技术咨询服务，提供系统数据分析、系统功能应用咨询、国产终端技术咨询、打印机技术咨询、其他技术支持服务（如系统扩展、迁移、改造等）。</w:t>
            </w:r>
          </w:p>
          <w:p>
            <w:pPr>
              <w:pStyle w:val="21"/>
              <w:ind w:firstLine="0" w:firstLineChars="0"/>
              <w:rPr>
                <w:rFonts w:ascii="宋体" w:hAnsi="宋体" w:cs="宋体"/>
                <w:sz w:val="24"/>
              </w:rPr>
            </w:pPr>
            <w:r>
              <w:rPr>
                <w:rFonts w:hint="eastAsia" w:ascii="宋体" w:hAnsi="宋体" w:cs="宋体"/>
                <w:sz w:val="24"/>
              </w:rPr>
              <w:t>三、数据迁移服务</w:t>
            </w:r>
          </w:p>
          <w:p>
            <w:pPr>
              <w:pStyle w:val="21"/>
              <w:ind w:firstLine="0" w:firstLineChars="0"/>
              <w:rPr>
                <w:rFonts w:ascii="宋体" w:hAnsi="宋体" w:cs="宋体"/>
                <w:sz w:val="24"/>
              </w:rPr>
            </w:pPr>
            <w:r>
              <w:rPr>
                <w:rFonts w:hint="eastAsia" w:ascii="宋体" w:hAnsi="宋体" w:cs="宋体"/>
                <w:sz w:val="24"/>
              </w:rPr>
              <w:t>（一）数据清洗，按照迁移标准清洗自建OA全量历史数据。</w:t>
            </w:r>
          </w:p>
          <w:p>
            <w:pPr>
              <w:pStyle w:val="21"/>
              <w:ind w:firstLine="0" w:firstLineChars="0"/>
              <w:rPr>
                <w:rFonts w:ascii="宋体" w:hAnsi="宋体" w:cs="宋体"/>
                <w:sz w:val="24"/>
              </w:rPr>
            </w:pPr>
            <w:r>
              <w:rPr>
                <w:rFonts w:hint="eastAsia" w:ascii="宋体" w:hAnsi="宋体" w:cs="宋体"/>
                <w:sz w:val="24"/>
              </w:rPr>
              <w:t>（二）OFD转版，对pdf、ceb、sep和gd文件进行OFD转版；对转版后的OFD文件进行抽查，并对异常文件进行处理。</w:t>
            </w:r>
          </w:p>
          <w:p>
            <w:pPr>
              <w:pStyle w:val="21"/>
              <w:ind w:firstLine="0" w:firstLineChars="0"/>
              <w:rPr>
                <w:rFonts w:ascii="宋体" w:hAnsi="宋体" w:cs="宋体"/>
                <w:sz w:val="24"/>
              </w:rPr>
            </w:pPr>
            <w:r>
              <w:rPr>
                <w:rFonts w:hint="eastAsia" w:ascii="宋体" w:hAnsi="宋体" w:cs="宋体"/>
                <w:sz w:val="24"/>
              </w:rPr>
              <w:t>（三）数据封装，把清洗后的结构化数据和OFD转版后的非结构化数据按照迁移标准进行数据封装。</w:t>
            </w:r>
          </w:p>
          <w:p>
            <w:pPr>
              <w:pStyle w:val="21"/>
              <w:ind w:firstLine="0" w:firstLineChars="0"/>
              <w:rPr>
                <w:rFonts w:ascii="宋体" w:hAnsi="宋体" w:cs="宋体"/>
                <w:sz w:val="24"/>
              </w:rPr>
            </w:pPr>
            <w:r>
              <w:rPr>
                <w:rFonts w:hint="eastAsia" w:ascii="宋体" w:hAnsi="宋体" w:cs="宋体"/>
                <w:sz w:val="24"/>
              </w:rPr>
              <w:t>（四）数据导入，把清洗后的自建OA全量历史数据导入到综合办公平台；把清洗后的旧综办历史数据导入到综合办公平台。</w:t>
            </w:r>
          </w:p>
          <w:p>
            <w:pPr>
              <w:pStyle w:val="21"/>
              <w:ind w:firstLine="0" w:firstLineChars="0"/>
              <w:rPr>
                <w:rFonts w:ascii="宋体" w:hAnsi="宋体" w:cs="宋体"/>
                <w:sz w:val="24"/>
              </w:rPr>
            </w:pPr>
            <w:r>
              <w:rPr>
                <w:rFonts w:hint="eastAsia" w:ascii="宋体" w:hAnsi="宋体" w:cs="宋体"/>
                <w:sz w:val="24"/>
              </w:rPr>
              <w:t>（五）数据验证</w:t>
            </w:r>
          </w:p>
          <w:p>
            <w:pPr>
              <w:pStyle w:val="21"/>
              <w:ind w:firstLine="0" w:firstLineChars="0"/>
              <w:rPr>
                <w:rFonts w:ascii="宋体" w:hAnsi="宋体" w:cs="宋体"/>
                <w:sz w:val="24"/>
              </w:rPr>
            </w:pPr>
            <w:r>
              <w:rPr>
                <w:rFonts w:hint="eastAsia" w:ascii="宋体" w:hAnsi="宋体" w:cs="宋体"/>
                <w:sz w:val="24"/>
              </w:rPr>
              <w:t>1.对导入后的数据进行验证，确保数据的完整性和有效性；</w:t>
            </w:r>
          </w:p>
          <w:p>
            <w:pPr>
              <w:pStyle w:val="21"/>
              <w:ind w:firstLine="0" w:firstLineChars="0"/>
              <w:rPr>
                <w:rFonts w:ascii="宋体" w:hAnsi="宋体" w:cs="宋体"/>
                <w:sz w:val="24"/>
              </w:rPr>
            </w:pPr>
            <w:r>
              <w:rPr>
                <w:rFonts w:hint="eastAsia" w:ascii="宋体" w:hAnsi="宋体" w:cs="宋体"/>
                <w:sz w:val="24"/>
              </w:rPr>
              <w:t>2.提供数据迁移报告；</w:t>
            </w:r>
          </w:p>
          <w:p>
            <w:pPr>
              <w:pStyle w:val="21"/>
              <w:ind w:firstLine="480"/>
              <w:rPr>
                <w:rFonts w:hint="eastAsia" w:ascii="宋体" w:hAnsi="宋体" w:cs="宋体"/>
                <w:sz w:val="24"/>
              </w:rPr>
            </w:pPr>
            <w:r>
              <w:rPr>
                <w:rFonts w:hint="eastAsia" w:ascii="宋体" w:hAnsi="宋体" w:cs="宋体"/>
                <w:sz w:val="24"/>
              </w:rPr>
              <w:t>3.对导入后的数据提供搜索和查询功能。</w:t>
            </w:r>
          </w:p>
        </w:tc>
        <w:tc>
          <w:tcPr>
            <w:tcW w:w="56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hint="eastAsia" w:ascii="等线" w:hAnsi="等线" w:eastAsia="等线" w:cs="等线"/>
                <w:kern w:val="0"/>
                <w:sz w:val="22"/>
                <w:szCs w:val="22"/>
              </w:rPr>
            </w:pPr>
          </w:p>
        </w:tc>
        <w:tc>
          <w:tcPr>
            <w:tcW w:w="56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hint="eastAsia" w:ascii="等线" w:hAnsi="等线" w:eastAsia="等线" w:cs="等线"/>
                <w:kern w:val="0"/>
                <w:sz w:val="22"/>
                <w:szCs w:val="22"/>
              </w:rPr>
            </w:pPr>
          </w:p>
        </w:tc>
        <w:tc>
          <w:tcPr>
            <w:tcW w:w="99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等线" w:hAnsi="等线" w:eastAsia="等线" w:cs="等线"/>
                <w:kern w:val="0"/>
                <w:sz w:val="22"/>
                <w:szCs w:val="22"/>
              </w:rPr>
            </w:pPr>
          </w:p>
        </w:tc>
        <w:tc>
          <w:tcPr>
            <w:tcW w:w="709"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等线" w:hAnsi="等线" w:eastAsia="等线" w:cs="等线"/>
                <w:kern w:val="0"/>
                <w:sz w:val="22"/>
                <w:szCs w:val="22"/>
              </w:rPr>
            </w:pPr>
          </w:p>
        </w:tc>
      </w:tr>
      <w:bookmarkEnd w:id="2"/>
      <w:tr>
        <w:tblPrEx>
          <w:tblCellMar>
            <w:top w:w="0" w:type="dxa"/>
            <w:left w:w="108" w:type="dxa"/>
            <w:bottom w:w="0" w:type="dxa"/>
            <w:right w:w="108" w:type="dxa"/>
          </w:tblCellMar>
        </w:tblPrEx>
        <w:trPr>
          <w:trHeight w:val="2410"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等线" w:hAnsi="等线" w:eastAsia="等线" w:cs="等线"/>
                <w:kern w:val="0"/>
                <w:sz w:val="22"/>
                <w:szCs w:val="22"/>
              </w:rPr>
            </w:pPr>
          </w:p>
          <w:p>
            <w:pPr>
              <w:jc w:val="center"/>
              <w:rPr>
                <w:rFonts w:ascii="等线" w:hAnsi="等线" w:eastAsia="等线" w:cs="等线"/>
                <w:sz w:val="22"/>
                <w:szCs w:val="22"/>
              </w:rPr>
            </w:pPr>
            <w:r>
              <w:rPr>
                <w:rFonts w:hint="eastAsia" w:ascii="等线" w:hAnsi="等线" w:eastAsia="等线" w:cs="等线"/>
                <w:sz w:val="22"/>
                <w:szCs w:val="22"/>
              </w:rPr>
              <w:t>商务要求</w:t>
            </w:r>
          </w:p>
        </w:tc>
        <w:tc>
          <w:tcPr>
            <w:tcW w:w="1289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一、报价人必须在报价文件中提供完整的服务方案。</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二、在综合办公平台升级和数据迁移期间所涉及的调试、测试不能影响办公平台的正常运行。</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三、要求供应商60个自然日内完成数据迁移，以采购方通知入场之日起计算。</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四、服务范围：广西区内14个地市。</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五、响应要求</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1.报价方应承诺投入本项目运维团队不少于8人。</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2.服务期：1年，自签订合同之日起计算。</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3.服务期内，成交方在接到采购方故障报修后，30分钟内实质响应，2小时内确认修复方案，如确需现场进行解决的，应在</w:t>
            </w:r>
            <w:r>
              <w:rPr>
                <w:rFonts w:ascii="等线" w:hAnsi="等线" w:eastAsia="等线" w:cs="等线"/>
                <w:kern w:val="0"/>
                <w:sz w:val="22"/>
                <w:szCs w:val="22"/>
              </w:rPr>
              <w:t>2</w:t>
            </w:r>
            <w:r>
              <w:rPr>
                <w:rFonts w:hint="eastAsia" w:ascii="等线" w:hAnsi="等线" w:eastAsia="等线" w:cs="等线"/>
                <w:kern w:val="0"/>
                <w:sz w:val="22"/>
                <w:szCs w:val="22"/>
              </w:rPr>
              <w:t>小时内实地修复。</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4.报价人在报价书中必须明确承诺达到用户的服务响应要求。</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5.服务期过后，报价人提供免费电话咨询服务，采购方需要继续由原报价人提供售后服务的，该报价人应以优惠价格提供售后服务。</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6.因成交方的原因，导致采购方系统出现安全事故，由成交方承担造成的所有损失。</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7.要求针对本次项目提供至少两次现场系统集中培训及不限次线上培训。</w:t>
            </w:r>
          </w:p>
          <w:p>
            <w:pPr>
              <w:widowControl/>
              <w:spacing w:line="500" w:lineRule="exact"/>
              <w:jc w:val="left"/>
              <w:textAlignment w:val="top"/>
              <w:rPr>
                <w:rFonts w:ascii="等线" w:hAnsi="等线" w:eastAsia="等线" w:cs="等线"/>
                <w:kern w:val="0"/>
                <w:sz w:val="22"/>
                <w:szCs w:val="22"/>
              </w:rPr>
            </w:pPr>
            <w:r>
              <w:rPr>
                <w:rFonts w:hint="eastAsia" w:ascii="等线" w:hAnsi="等线" w:eastAsia="等线" w:cs="等线"/>
                <w:kern w:val="0"/>
                <w:sz w:val="22"/>
                <w:szCs w:val="22"/>
              </w:rPr>
              <w:t>8.成交方必须签署相关保密协议，严格遵守协议及有关保密要求。</w:t>
            </w:r>
          </w:p>
          <w:p>
            <w:pPr>
              <w:widowControl/>
              <w:spacing w:line="500" w:lineRule="exact"/>
              <w:jc w:val="left"/>
              <w:textAlignment w:val="top"/>
              <w:rPr>
                <w:rFonts w:ascii="等线" w:hAnsi="等线" w:eastAsia="等线" w:cs="等线"/>
                <w:b/>
                <w:bCs/>
                <w:kern w:val="0"/>
                <w:sz w:val="22"/>
                <w:szCs w:val="22"/>
              </w:rPr>
            </w:pPr>
            <w:r>
              <w:rPr>
                <w:rFonts w:hint="eastAsia" w:ascii="等线" w:hAnsi="等线" w:eastAsia="等线" w:cs="等线"/>
                <w:kern w:val="0"/>
                <w:sz w:val="22"/>
                <w:szCs w:val="22"/>
              </w:rPr>
              <w:t>六、</w:t>
            </w:r>
            <w:r>
              <w:rPr>
                <w:rFonts w:hint="eastAsia" w:ascii="等线" w:hAnsi="等线" w:eastAsia="等线" w:cs="等线"/>
                <w:b/>
                <w:bCs/>
                <w:kern w:val="0"/>
                <w:sz w:val="22"/>
                <w:szCs w:val="22"/>
              </w:rPr>
              <w:t>报价人在报价书中必须明确响应本项目所有商务和技术要求，性能技术参数达到或优于需求说明，否则报价无效。</w:t>
            </w:r>
          </w:p>
        </w:tc>
      </w:tr>
    </w:tbl>
    <w:p>
      <w:pPr>
        <w:ind w:firstLine="560" w:firstLineChars="200"/>
        <w:rPr>
          <w:rFonts w:ascii="仿宋" w:hAnsi="仿宋" w:eastAsia="仿宋"/>
          <w:sz w:val="28"/>
          <w:szCs w:val="28"/>
        </w:rPr>
      </w:pPr>
    </w:p>
    <w:p>
      <w:pPr>
        <w:ind w:firstLine="560" w:firstLineChars="200"/>
        <w:rPr>
          <w:rFonts w:ascii="仿宋" w:hAnsi="仿宋" w:eastAsia="仿宋"/>
          <w:sz w:val="28"/>
          <w:szCs w:val="28"/>
        </w:rPr>
        <w:sectPr>
          <w:pgSz w:w="16838" w:h="11906" w:orient="landscape"/>
          <w:pgMar w:top="1800" w:right="1440" w:bottom="1800" w:left="1440" w:header="851" w:footer="992" w:gutter="0"/>
          <w:cols w:space="720" w:num="1"/>
          <w:docGrid w:type="lines" w:linePitch="312" w:charSpace="0"/>
        </w:sectPr>
      </w:pPr>
    </w:p>
    <w:p>
      <w:pPr>
        <w:pStyle w:val="3"/>
        <w:spacing w:before="0" w:after="0"/>
        <w:ind w:firstLine="562" w:firstLineChars="200"/>
        <w:rPr>
          <w:rFonts w:ascii="仿宋" w:hAnsi="仿宋" w:eastAsia="仿宋"/>
          <w:b w:val="0"/>
          <w:bCs w:val="0"/>
          <w:sz w:val="28"/>
          <w:szCs w:val="28"/>
        </w:rPr>
      </w:pPr>
      <w:r>
        <w:rPr>
          <w:rFonts w:ascii="仿宋" w:hAnsi="仿宋" w:eastAsia="仿宋"/>
          <w:sz w:val="28"/>
          <w:szCs w:val="28"/>
        </w:rPr>
        <w:t>三、商务条款</w:t>
      </w:r>
    </w:p>
    <w:p>
      <w:pPr>
        <w:ind w:firstLine="560" w:firstLineChars="200"/>
      </w:pPr>
      <w:r>
        <w:rPr>
          <w:rFonts w:ascii="仿宋" w:hAnsi="仿宋" w:eastAsia="仿宋"/>
          <w:sz w:val="28"/>
          <w:szCs w:val="28"/>
        </w:rPr>
        <w:t>（一）</w:t>
      </w:r>
      <w:r>
        <w:rPr>
          <w:rFonts w:hint="eastAsia" w:ascii="仿宋" w:hAnsi="仿宋" w:eastAsia="仿宋"/>
          <w:sz w:val="28"/>
          <w:szCs w:val="28"/>
        </w:rPr>
        <w:t>报价</w:t>
      </w:r>
      <w:r>
        <w:rPr>
          <w:rFonts w:ascii="仿宋" w:hAnsi="仿宋" w:eastAsia="仿宋"/>
          <w:sz w:val="28"/>
          <w:szCs w:val="28"/>
        </w:rPr>
        <w:t>方须有合法的经营资格，必须提供下列有效证照材料：营业执照、法人身份证（复印件）以及</w:t>
      </w:r>
      <w:r>
        <w:rPr>
          <w:rFonts w:hint="eastAsia" w:ascii="仿宋" w:hAnsi="仿宋" w:eastAsia="仿宋"/>
          <w:sz w:val="28"/>
          <w:szCs w:val="28"/>
        </w:rPr>
        <w:t>报价</w:t>
      </w:r>
      <w:r>
        <w:rPr>
          <w:rFonts w:ascii="仿宋" w:hAnsi="仿宋" w:eastAsia="仿宋"/>
          <w:sz w:val="28"/>
          <w:szCs w:val="28"/>
        </w:rPr>
        <w:t>方认为需要提供的资料</w:t>
      </w:r>
      <w:r>
        <w:rPr>
          <w:rFonts w:hint="eastAsia" w:ascii="仿宋" w:hAnsi="仿宋" w:eastAsia="仿宋"/>
          <w:sz w:val="28"/>
          <w:szCs w:val="28"/>
        </w:rPr>
        <w:t>,</w:t>
      </w:r>
      <w:r>
        <w:rPr>
          <w:rFonts w:hint="eastAsia" w:ascii="仿宋" w:hAnsi="仿宋" w:eastAsia="仿宋"/>
          <w:b/>
          <w:bCs/>
          <w:sz w:val="28"/>
          <w:szCs w:val="28"/>
        </w:rPr>
        <w:t>相关复印件需签“与原件相符”并盖单位公章（下同）</w:t>
      </w:r>
      <w:r>
        <w:rPr>
          <w:rFonts w:ascii="仿宋" w:hAnsi="仿宋" w:eastAsia="仿宋"/>
          <w:b/>
          <w:bCs/>
          <w:sz w:val="28"/>
          <w:szCs w:val="28"/>
        </w:rPr>
        <w:t>。</w:t>
      </w:r>
    </w:p>
    <w:p>
      <w:pPr>
        <w:numPr>
          <w:ilvl w:val="0"/>
          <w:numId w:val="1"/>
        </w:numPr>
        <w:ind w:firstLine="560" w:firstLineChars="200"/>
        <w:rPr>
          <w:rFonts w:ascii="仿宋" w:hAnsi="仿宋" w:eastAsia="仿宋"/>
          <w:sz w:val="28"/>
          <w:szCs w:val="28"/>
        </w:rPr>
      </w:pPr>
      <w:r>
        <w:rPr>
          <w:rFonts w:hint="eastAsia" w:ascii="仿宋" w:hAnsi="仿宋" w:eastAsia="仿宋"/>
          <w:sz w:val="28"/>
          <w:szCs w:val="28"/>
        </w:rPr>
        <w:t>报价方未被“信用中国”（www.creditchina.gov.cn）、中国政府采购网（www.ccgp.gov.cn）列入失信被执行人、重大税收违法案件当事人名单、政府采购严重违法失信行为记录名单。供应商需提供相关网页资料打印件等材料。</w:t>
      </w:r>
    </w:p>
    <w:p>
      <w:pPr>
        <w:numPr>
          <w:ilvl w:val="0"/>
          <w:numId w:val="1"/>
        </w:numPr>
        <w:ind w:firstLine="560" w:firstLineChars="200"/>
        <w:rPr>
          <w:rFonts w:ascii="仿宋" w:hAnsi="仿宋" w:eastAsia="仿宋"/>
          <w:sz w:val="28"/>
          <w:szCs w:val="28"/>
        </w:rPr>
      </w:pPr>
      <w:r>
        <w:rPr>
          <w:rFonts w:hint="eastAsia" w:ascii="仿宋" w:hAnsi="仿宋" w:eastAsia="仿宋"/>
          <w:sz w:val="28"/>
          <w:szCs w:val="28"/>
        </w:rPr>
        <w:t>报价</w:t>
      </w:r>
      <w:r>
        <w:rPr>
          <w:rFonts w:ascii="仿宋" w:hAnsi="仿宋" w:eastAsia="仿宋"/>
          <w:sz w:val="28"/>
          <w:szCs w:val="28"/>
        </w:rPr>
        <w:t>方必须至少提供</w:t>
      </w:r>
      <w:r>
        <w:rPr>
          <w:rFonts w:hint="eastAsia" w:ascii="仿宋" w:hAnsi="仿宋" w:eastAsia="仿宋"/>
          <w:sz w:val="28"/>
          <w:szCs w:val="28"/>
        </w:rPr>
        <w:t>3</w:t>
      </w:r>
      <w:r>
        <w:rPr>
          <w:rFonts w:ascii="仿宋" w:hAnsi="仿宋" w:eastAsia="仿宋"/>
          <w:sz w:val="28"/>
          <w:szCs w:val="28"/>
        </w:rPr>
        <w:t>份自202</w:t>
      </w:r>
      <w:r>
        <w:rPr>
          <w:rFonts w:hint="eastAsia" w:ascii="仿宋" w:hAnsi="仿宋" w:eastAsia="仿宋"/>
          <w:sz w:val="28"/>
          <w:szCs w:val="28"/>
        </w:rPr>
        <w:t>2</w:t>
      </w:r>
      <w:r>
        <w:rPr>
          <w:rFonts w:ascii="仿宋" w:hAnsi="仿宋" w:eastAsia="仿宋"/>
          <w:sz w:val="28"/>
          <w:szCs w:val="28"/>
        </w:rPr>
        <w:t>年（含）以来具有同类项目或服务内容的业绩证明</w:t>
      </w:r>
      <w:r>
        <w:rPr>
          <w:rFonts w:hint="eastAsia" w:ascii="仿宋" w:hAnsi="仿宋" w:eastAsia="仿宋"/>
          <w:sz w:val="28"/>
          <w:szCs w:val="28"/>
        </w:rPr>
        <w:t>（办公系统软件开发或办公系统运维服务），</w:t>
      </w:r>
      <w:r>
        <w:rPr>
          <w:rFonts w:ascii="仿宋" w:hAnsi="仿宋" w:eastAsia="仿宋"/>
          <w:sz w:val="28"/>
          <w:szCs w:val="28"/>
        </w:rPr>
        <w:t>以</w:t>
      </w:r>
      <w:r>
        <w:rPr>
          <w:rFonts w:hint="eastAsia" w:ascii="仿宋" w:hAnsi="仿宋" w:eastAsia="仿宋"/>
          <w:sz w:val="28"/>
          <w:szCs w:val="28"/>
        </w:rPr>
        <w:t>成交</w:t>
      </w:r>
      <w:r>
        <w:rPr>
          <w:rFonts w:ascii="仿宋" w:hAnsi="仿宋" w:eastAsia="仿宋"/>
          <w:sz w:val="28"/>
          <w:szCs w:val="28"/>
        </w:rPr>
        <w:t>通知书或合同复印件关键页为准（提供合同复印件，原件备查）。</w:t>
      </w:r>
    </w:p>
    <w:p>
      <w:pPr>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四</w:t>
      </w:r>
      <w:r>
        <w:rPr>
          <w:rFonts w:ascii="仿宋" w:hAnsi="仿宋" w:eastAsia="仿宋"/>
          <w:sz w:val="28"/>
          <w:szCs w:val="28"/>
        </w:rPr>
        <w:t>）</w:t>
      </w:r>
      <w:r>
        <w:rPr>
          <w:rFonts w:hint="eastAsia" w:ascii="仿宋" w:hAnsi="仿宋" w:eastAsia="仿宋"/>
          <w:sz w:val="28"/>
          <w:szCs w:val="28"/>
        </w:rPr>
        <w:t>成交方</w:t>
      </w:r>
      <w:r>
        <w:rPr>
          <w:rFonts w:ascii="仿宋" w:hAnsi="仿宋" w:eastAsia="仿宋"/>
          <w:sz w:val="28"/>
          <w:szCs w:val="28"/>
        </w:rPr>
        <w:t>须按照双方约定提供执法局</w:t>
      </w:r>
      <w:r>
        <w:rPr>
          <w:rFonts w:hint="eastAsia" w:ascii="仿宋" w:hAnsi="仿宋" w:eastAsia="仿宋"/>
          <w:sz w:val="28"/>
          <w:szCs w:val="28"/>
        </w:rPr>
        <w:t>广西党政机关综合办公平台推广服务</w:t>
      </w:r>
      <w:r>
        <w:rPr>
          <w:rFonts w:ascii="仿宋" w:hAnsi="仿宋" w:eastAsia="仿宋"/>
          <w:sz w:val="28"/>
          <w:szCs w:val="28"/>
        </w:rPr>
        <w:t>，未按</w:t>
      </w:r>
      <w:r>
        <w:rPr>
          <w:rFonts w:hint="eastAsia" w:ascii="仿宋" w:hAnsi="仿宋" w:eastAsia="仿宋"/>
          <w:sz w:val="28"/>
          <w:szCs w:val="28"/>
        </w:rPr>
        <w:t>合同</w:t>
      </w:r>
      <w:r>
        <w:rPr>
          <w:rFonts w:ascii="仿宋" w:hAnsi="仿宋" w:eastAsia="仿宋"/>
          <w:sz w:val="28"/>
          <w:szCs w:val="28"/>
        </w:rPr>
        <w:t>提供服务或服务内容、标准未达到合同约定要求的，采购方有权拒绝付款，并中止履行合同；造成采购方经济损失的，依法追究</w:t>
      </w:r>
      <w:r>
        <w:rPr>
          <w:rFonts w:hint="eastAsia" w:ascii="仿宋" w:hAnsi="仿宋" w:eastAsia="仿宋"/>
          <w:sz w:val="28"/>
          <w:szCs w:val="28"/>
        </w:rPr>
        <w:t>成交方</w:t>
      </w:r>
      <w:r>
        <w:rPr>
          <w:rFonts w:ascii="仿宋" w:hAnsi="仿宋" w:eastAsia="仿宋"/>
          <w:sz w:val="28"/>
          <w:szCs w:val="28"/>
        </w:rPr>
        <w:t>相关责任。</w:t>
      </w:r>
    </w:p>
    <w:p>
      <w:pPr>
        <w:ind w:firstLine="560" w:firstLineChars="200"/>
        <w:rPr>
          <w:rFonts w:ascii="仿宋" w:hAnsi="仿宋" w:eastAsia="仿宋"/>
          <w:sz w:val="28"/>
          <w:szCs w:val="28"/>
        </w:rPr>
      </w:pPr>
      <w:r>
        <w:rPr>
          <w:rFonts w:hint="eastAsia" w:ascii="仿宋" w:hAnsi="仿宋" w:eastAsia="仿宋"/>
          <w:sz w:val="28"/>
          <w:szCs w:val="28"/>
        </w:rPr>
        <w:t>（五）成交方</w:t>
      </w:r>
      <w:r>
        <w:rPr>
          <w:rFonts w:ascii="仿宋" w:hAnsi="仿宋" w:eastAsia="仿宋"/>
          <w:sz w:val="28"/>
          <w:szCs w:val="28"/>
        </w:rPr>
        <w:t>必须签署相关保密协议，严格遵守协议及有关保密要求。</w:t>
      </w:r>
    </w:p>
    <w:p>
      <w:pPr>
        <w:ind w:firstLine="560" w:firstLineChars="200"/>
        <w:rPr>
          <w:rFonts w:ascii="仿宋" w:hAnsi="仿宋" w:eastAsia="仿宋"/>
          <w:sz w:val="28"/>
          <w:szCs w:val="28"/>
        </w:rPr>
      </w:pPr>
      <w:r>
        <w:rPr>
          <w:rFonts w:hint="eastAsia" w:ascii="仿宋" w:hAnsi="仿宋" w:eastAsia="仿宋"/>
          <w:sz w:val="28"/>
          <w:szCs w:val="28"/>
        </w:rPr>
        <w:t>（六）</w:t>
      </w:r>
      <w:r>
        <w:rPr>
          <w:rFonts w:ascii="仿宋" w:hAnsi="仿宋" w:eastAsia="仿宋"/>
          <w:sz w:val="28"/>
          <w:szCs w:val="28"/>
        </w:rPr>
        <w:t>不可抗力：如因不可抗</w:t>
      </w:r>
      <w:r>
        <w:rPr>
          <w:rFonts w:hint="eastAsia" w:ascii="仿宋" w:hAnsi="仿宋" w:eastAsia="仿宋"/>
          <w:sz w:val="28"/>
          <w:szCs w:val="28"/>
        </w:rPr>
        <w:t>力</w:t>
      </w:r>
      <w:r>
        <w:rPr>
          <w:rFonts w:ascii="仿宋" w:hAnsi="仿宋" w:eastAsia="仿宋"/>
          <w:sz w:val="28"/>
          <w:szCs w:val="28"/>
        </w:rPr>
        <w:t>问题导致无法或延迟履行合同的，应在不可抗力事件发生后三天内通知对方，并协商寻求减少损失的办法或对双方都公正合理的另外安排。</w:t>
      </w:r>
    </w:p>
    <w:p>
      <w:pPr>
        <w:pStyle w:val="3"/>
        <w:spacing w:before="0" w:after="0"/>
        <w:ind w:firstLine="562" w:firstLineChars="200"/>
        <w:rPr>
          <w:rFonts w:ascii="仿宋" w:hAnsi="仿宋" w:eastAsia="仿宋"/>
          <w:b w:val="0"/>
          <w:bCs w:val="0"/>
          <w:sz w:val="28"/>
          <w:szCs w:val="28"/>
        </w:rPr>
      </w:pPr>
      <w:r>
        <w:rPr>
          <w:rFonts w:hint="eastAsia" w:ascii="仿宋" w:hAnsi="仿宋" w:eastAsia="仿宋"/>
          <w:sz w:val="28"/>
          <w:szCs w:val="28"/>
        </w:rPr>
        <w:t>四、验收标准</w:t>
      </w:r>
    </w:p>
    <w:p>
      <w:pPr>
        <w:ind w:firstLine="560" w:firstLineChars="200"/>
        <w:rPr>
          <w:rFonts w:ascii="仿宋" w:hAnsi="仿宋" w:eastAsia="仿宋"/>
          <w:sz w:val="28"/>
          <w:szCs w:val="28"/>
        </w:rPr>
      </w:pPr>
      <w:r>
        <w:rPr>
          <w:rFonts w:hint="eastAsia" w:ascii="仿宋" w:hAnsi="仿宋" w:eastAsia="仿宋"/>
          <w:sz w:val="28"/>
          <w:szCs w:val="28"/>
        </w:rPr>
        <w:t>成交方按合同要求完成广西党政机关综合办公平台推广及数据迁移服务，提交综合办公平台操作手册、平台试用报告及数据迁移报告，局本级及各下设机构综合办公平台使用正常，验收通过。</w:t>
      </w:r>
    </w:p>
    <w:p>
      <w:pPr>
        <w:pStyle w:val="3"/>
        <w:spacing w:before="0" w:after="0"/>
        <w:ind w:firstLine="562" w:firstLineChars="200"/>
        <w:rPr>
          <w:rFonts w:ascii="仿宋" w:hAnsi="仿宋" w:eastAsia="仿宋"/>
          <w:b w:val="0"/>
          <w:bCs w:val="0"/>
          <w:sz w:val="28"/>
          <w:szCs w:val="28"/>
        </w:rPr>
      </w:pPr>
      <w:r>
        <w:rPr>
          <w:rFonts w:hint="eastAsia" w:ascii="仿宋" w:hAnsi="仿宋" w:eastAsia="仿宋"/>
          <w:sz w:val="28"/>
          <w:szCs w:val="28"/>
        </w:rPr>
        <w:t>五、付款方式</w:t>
      </w:r>
    </w:p>
    <w:p>
      <w:pPr>
        <w:ind w:firstLine="560" w:firstLineChars="200"/>
        <w:rPr>
          <w:rFonts w:ascii="仿宋" w:hAnsi="仿宋" w:eastAsia="仿宋"/>
          <w:sz w:val="28"/>
          <w:szCs w:val="28"/>
        </w:rPr>
      </w:pPr>
      <w:r>
        <w:rPr>
          <w:rFonts w:hint="eastAsia" w:ascii="仿宋" w:hAnsi="仿宋" w:eastAsia="仿宋"/>
          <w:sz w:val="28"/>
          <w:szCs w:val="28"/>
        </w:rPr>
        <w:t>（一）履约保证金：成交方在签订合同时按合同金额的5%（小微企业按合同金额的2%）向采购方支付履约保证金（履约保证金作为违约金的一部分用于补偿采购方因成交方不能履行合同义务所蒙受的损失），服务期1年到期后，采购方接成交方来函10个工作日内采购方无息退还成交方。</w:t>
      </w:r>
    </w:p>
    <w:p>
      <w:pPr>
        <w:ind w:firstLine="560" w:firstLineChars="200"/>
        <w:rPr>
          <w:rFonts w:ascii="仿宋" w:hAnsi="仿宋" w:eastAsia="仿宋"/>
          <w:sz w:val="28"/>
          <w:szCs w:val="28"/>
        </w:rPr>
      </w:pPr>
      <w:r>
        <w:rPr>
          <w:rFonts w:hint="eastAsia" w:ascii="仿宋" w:hAnsi="仿宋" w:eastAsia="仿宋"/>
          <w:sz w:val="28"/>
          <w:szCs w:val="28"/>
        </w:rPr>
        <w:t>（二）采购方与成交方合同签订（含保密协议）并生效后10个工作日内，成交方提交项目服务方案，采购方向成交方支付合同总额的40%；成交方完成广西党政机关综合办公平台培训，提交综合办公平台操作手册、平台试用报告，采购方向成交方支付合同总额的4</w:t>
      </w:r>
      <w:r>
        <w:rPr>
          <w:rFonts w:ascii="仿宋" w:hAnsi="仿宋" w:eastAsia="仿宋"/>
          <w:sz w:val="28"/>
          <w:szCs w:val="28"/>
        </w:rPr>
        <w:t>0</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完成数据迁移并验收合格后，采购方向成交方支付合同总额的2</w:t>
      </w:r>
      <w:r>
        <w:rPr>
          <w:rFonts w:ascii="仿宋" w:hAnsi="仿宋" w:eastAsia="仿宋"/>
          <w:sz w:val="28"/>
          <w:szCs w:val="28"/>
        </w:rPr>
        <w:t>0</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（三）成交方申请支付合同价款前，应开具相应金额合规发票给采购方。</w:t>
      </w:r>
    </w:p>
    <w:p>
      <w:pPr>
        <w:ind w:firstLine="560" w:firstLineChars="200"/>
        <w:rPr>
          <w:rFonts w:ascii="仿宋" w:hAnsi="仿宋" w:eastAsia="仿宋"/>
          <w:sz w:val="28"/>
          <w:szCs w:val="28"/>
        </w:rPr>
      </w:pPr>
      <w:r>
        <w:rPr>
          <w:rFonts w:hint="eastAsia" w:ascii="仿宋" w:hAnsi="仿宋" w:eastAsia="仿宋"/>
          <w:sz w:val="28"/>
          <w:szCs w:val="28"/>
        </w:rPr>
        <w:t>（四）本项目报价为总包干价，报价必须包括实施和完成该项目所需的设备和服务、税费等一切费用，以及合同明示所有责任、义务和一般风险，采购方不再支付任何费用。</w:t>
      </w:r>
    </w:p>
    <w:p>
      <w:pPr>
        <w:pStyle w:val="3"/>
        <w:spacing w:before="0" w:after="0"/>
        <w:ind w:firstLine="562" w:firstLineChars="200"/>
        <w:rPr>
          <w:rFonts w:ascii="仿宋" w:hAnsi="仿宋" w:eastAsia="仿宋"/>
          <w:b w:val="0"/>
          <w:bCs w:val="0"/>
          <w:sz w:val="28"/>
          <w:szCs w:val="28"/>
        </w:rPr>
      </w:pPr>
      <w:r>
        <w:rPr>
          <w:rFonts w:hint="eastAsia" w:ascii="仿宋" w:hAnsi="仿宋" w:eastAsia="仿宋"/>
          <w:sz w:val="28"/>
          <w:szCs w:val="28"/>
        </w:rPr>
        <w:t>六、评审和推荐成交候选人</w:t>
      </w:r>
    </w:p>
    <w:p>
      <w:pPr>
        <w:ind w:firstLine="560" w:firstLineChars="200"/>
        <w:rPr>
          <w:rFonts w:ascii="仿宋" w:hAnsi="仿宋" w:eastAsia="仿宋"/>
          <w:sz w:val="28"/>
          <w:szCs w:val="28"/>
        </w:rPr>
      </w:pPr>
      <w:r>
        <w:rPr>
          <w:rFonts w:hint="eastAsia" w:ascii="仿宋" w:hAnsi="仿宋" w:eastAsia="仿宋"/>
          <w:sz w:val="28"/>
          <w:szCs w:val="28"/>
        </w:rPr>
        <w:t>（一）“评审委员会”构成：本采购项目的“评审委员会”由执法局根据有关要求抽取3人及以上单数作为评委和1名监督员构成。</w:t>
      </w:r>
    </w:p>
    <w:p>
      <w:pPr>
        <w:ind w:firstLine="560" w:firstLineChars="200"/>
        <w:rPr>
          <w:rFonts w:ascii="仿宋" w:hAnsi="仿宋" w:eastAsia="仿宋"/>
          <w:sz w:val="28"/>
          <w:szCs w:val="28"/>
        </w:rPr>
      </w:pPr>
      <w:r>
        <w:rPr>
          <w:rFonts w:hint="eastAsia" w:ascii="仿宋" w:hAnsi="仿宋" w:eastAsia="仿宋"/>
          <w:sz w:val="28"/>
          <w:szCs w:val="28"/>
        </w:rPr>
        <w:t>（二）评审条件：“评审委员会”将以采购文件、报价文件为评审依据，对报价方的报价最终报价、产品质量、服务质量、资质条件等开展评审工作。</w:t>
      </w:r>
    </w:p>
    <w:p>
      <w:pPr>
        <w:ind w:firstLine="560" w:firstLineChars="200"/>
        <w:rPr>
          <w:rFonts w:ascii="仿宋" w:hAnsi="仿宋" w:eastAsia="仿宋"/>
          <w:sz w:val="28"/>
          <w:szCs w:val="28"/>
        </w:rPr>
      </w:pPr>
      <w:r>
        <w:rPr>
          <w:rFonts w:hint="eastAsia" w:ascii="仿宋" w:hAnsi="仿宋" w:eastAsia="仿宋"/>
          <w:sz w:val="28"/>
          <w:szCs w:val="28"/>
        </w:rPr>
        <w:t>（三）评审采用综合评分法，即报价方的报价文件完全响应采购文件的前提下，综合评分最高者推荐为第一成交候选人。</w:t>
      </w:r>
    </w:p>
    <w:p>
      <w:pPr>
        <w:pStyle w:val="3"/>
        <w:spacing w:before="0" w:after="0"/>
        <w:ind w:firstLine="562" w:firstLineChars="200"/>
        <w:rPr>
          <w:rFonts w:ascii="仿宋" w:hAnsi="仿宋" w:eastAsia="仿宋"/>
          <w:sz w:val="28"/>
          <w:szCs w:val="28"/>
        </w:rPr>
      </w:pPr>
      <w:r>
        <w:rPr>
          <w:rFonts w:hint="eastAsia" w:ascii="仿宋" w:hAnsi="仿宋" w:eastAsia="仿宋"/>
          <w:sz w:val="28"/>
          <w:szCs w:val="28"/>
        </w:rPr>
        <w:t>七、评分方法及标准</w:t>
      </w:r>
    </w:p>
    <w:tbl>
      <w:tblPr>
        <w:tblStyle w:val="11"/>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51"/>
        <w:gridCol w:w="623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0" w:type="dxa"/>
            <w:noWrap/>
            <w:vAlign w:val="center"/>
          </w:tcPr>
          <w:p>
            <w:pPr>
              <w:widowControl/>
              <w:spacing w:line="360" w:lineRule="auto"/>
              <w:jc w:val="center"/>
              <w:rPr>
                <w:rFonts w:ascii="宋体" w:hAnsi="宋体" w:cs="Tahoma"/>
                <w:b/>
                <w:bCs/>
                <w:kern w:val="0"/>
                <w:szCs w:val="21"/>
              </w:rPr>
            </w:pPr>
            <w:bookmarkStart w:id="3" w:name="PO_TDCUS_ITEM_SM_TABLE_1"/>
            <w:r>
              <w:rPr>
                <w:rFonts w:hint="eastAsia" w:ascii="宋体" w:hAnsi="宋体" w:cs="Tahoma"/>
                <w:b/>
                <w:bCs/>
                <w:kern w:val="0"/>
                <w:szCs w:val="21"/>
              </w:rPr>
              <w:t>序号</w:t>
            </w:r>
          </w:p>
        </w:tc>
        <w:tc>
          <w:tcPr>
            <w:tcW w:w="1251" w:type="dxa"/>
            <w:noWrap/>
            <w:vAlign w:val="center"/>
          </w:tcPr>
          <w:p>
            <w:pPr>
              <w:widowControl/>
              <w:spacing w:line="360" w:lineRule="auto"/>
              <w:jc w:val="center"/>
              <w:rPr>
                <w:rFonts w:ascii="宋体" w:hAnsi="宋体" w:cs="Tahoma"/>
                <w:b/>
                <w:bCs/>
                <w:kern w:val="0"/>
                <w:szCs w:val="21"/>
              </w:rPr>
            </w:pPr>
            <w:r>
              <w:rPr>
                <w:rFonts w:hint="eastAsia" w:ascii="宋体" w:hAnsi="宋体" w:cs="Tahoma"/>
                <w:b/>
                <w:bCs/>
                <w:kern w:val="0"/>
                <w:szCs w:val="21"/>
              </w:rPr>
              <w:t>评审因素</w:t>
            </w:r>
          </w:p>
        </w:tc>
        <w:tc>
          <w:tcPr>
            <w:tcW w:w="6238" w:type="dxa"/>
            <w:noWrap/>
            <w:vAlign w:val="center"/>
          </w:tcPr>
          <w:p>
            <w:pPr>
              <w:widowControl/>
              <w:spacing w:line="360" w:lineRule="auto"/>
              <w:jc w:val="center"/>
              <w:rPr>
                <w:rFonts w:ascii="宋体" w:hAnsi="宋体" w:cs="Tahoma"/>
                <w:b/>
                <w:bCs/>
                <w:kern w:val="0"/>
                <w:szCs w:val="21"/>
              </w:rPr>
            </w:pPr>
            <w:r>
              <w:rPr>
                <w:rFonts w:hint="eastAsia" w:ascii="宋体" w:hAnsi="宋体" w:cs="Tahoma"/>
                <w:b/>
                <w:bCs/>
                <w:kern w:val="0"/>
                <w:szCs w:val="21"/>
              </w:rPr>
              <w:t>评审因素具体内容</w:t>
            </w:r>
          </w:p>
        </w:tc>
        <w:tc>
          <w:tcPr>
            <w:tcW w:w="901" w:type="dxa"/>
            <w:noWrap/>
            <w:vAlign w:val="center"/>
          </w:tcPr>
          <w:p>
            <w:pPr>
              <w:widowControl/>
              <w:spacing w:line="360" w:lineRule="auto"/>
              <w:jc w:val="center"/>
              <w:rPr>
                <w:rFonts w:ascii="宋体" w:hAnsi="宋体" w:cs="Tahoma"/>
                <w:b/>
                <w:bCs/>
                <w:kern w:val="0"/>
                <w:szCs w:val="21"/>
              </w:rPr>
            </w:pPr>
            <w:r>
              <w:rPr>
                <w:rFonts w:hint="eastAsia" w:ascii="宋体" w:hAnsi="宋体" w:cs="Tahoma"/>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0" w:type="dxa"/>
            <w:noWrap/>
            <w:vAlign w:val="center"/>
          </w:tcPr>
          <w:p>
            <w:pPr>
              <w:widowControl/>
              <w:spacing w:line="360" w:lineRule="auto"/>
              <w:jc w:val="center"/>
              <w:rPr>
                <w:rFonts w:ascii="宋体" w:hAnsi="宋体" w:cs="Tahoma"/>
                <w:kern w:val="0"/>
                <w:szCs w:val="21"/>
              </w:rPr>
            </w:pPr>
            <w:r>
              <w:rPr>
                <w:rFonts w:hint="eastAsia" w:ascii="宋体" w:hAnsi="宋体" w:cs="Tahoma"/>
                <w:kern w:val="0"/>
                <w:szCs w:val="21"/>
              </w:rPr>
              <w:t>1</w:t>
            </w:r>
          </w:p>
        </w:tc>
        <w:tc>
          <w:tcPr>
            <w:tcW w:w="1251" w:type="dxa"/>
            <w:noWrap/>
            <w:vAlign w:val="center"/>
          </w:tcPr>
          <w:p>
            <w:pPr>
              <w:widowControl/>
              <w:spacing w:line="360" w:lineRule="auto"/>
              <w:jc w:val="center"/>
              <w:rPr>
                <w:rFonts w:ascii="宋体" w:hAnsi="宋体" w:cs="Tahoma"/>
                <w:kern w:val="0"/>
                <w:szCs w:val="21"/>
              </w:rPr>
            </w:pPr>
            <w:r>
              <w:rPr>
                <w:rFonts w:hint="eastAsia" w:ascii="宋体" w:hAnsi="宋体" w:cs="Tahoma"/>
                <w:kern w:val="0"/>
                <w:szCs w:val="21"/>
              </w:rPr>
              <w:t>价格分</w:t>
            </w:r>
          </w:p>
        </w:tc>
        <w:tc>
          <w:tcPr>
            <w:tcW w:w="6238" w:type="dxa"/>
            <w:noWrap/>
          </w:tcPr>
          <w:p>
            <w:pPr>
              <w:spacing w:line="360" w:lineRule="auto"/>
              <w:ind w:firstLine="420" w:firstLineChars="200"/>
              <w:rPr>
                <w:rFonts w:ascii="宋体" w:hAnsi="宋体"/>
                <w:szCs w:val="21"/>
              </w:rPr>
            </w:pPr>
            <w:r>
              <w:rPr>
                <w:rFonts w:hint="eastAsia" w:ascii="宋体" w:hAnsi="宋体"/>
                <w:szCs w:val="21"/>
              </w:rPr>
              <w:t>（1）评审价为供应商的最后报价进行政策性扣除后的价格，评审价只是作为评审时使用。最终成交供应商的成交金额等于最后报价（如有修正，以确认修正后的最后报价为准）。</w:t>
            </w:r>
          </w:p>
          <w:p>
            <w:pPr>
              <w:spacing w:line="360" w:lineRule="auto"/>
              <w:ind w:firstLine="420" w:firstLineChars="200"/>
              <w:rPr>
                <w:rFonts w:ascii="宋体" w:hAnsi="宋体"/>
                <w:szCs w:val="21"/>
              </w:rPr>
            </w:pPr>
            <w:r>
              <w:rPr>
                <w:rFonts w:hint="eastAsia" w:ascii="宋体" w:hAnsi="宋体"/>
                <w:szCs w:val="21"/>
              </w:rPr>
              <w:t>（2）政府采购政策性扣除计算方法</w:t>
            </w:r>
          </w:p>
          <w:p>
            <w:pPr>
              <w:spacing w:line="360" w:lineRule="auto"/>
              <w:ind w:firstLine="420" w:firstLineChars="200"/>
              <w:rPr>
                <w:rFonts w:ascii="宋体" w:hAnsi="宋体"/>
                <w:szCs w:val="21"/>
              </w:rPr>
            </w:pPr>
            <w:r>
              <w:rPr>
                <w:rFonts w:hint="eastAsia" w:ascii="宋体" w:hAnsi="宋体"/>
                <w:szCs w:val="21"/>
              </w:rPr>
              <w:t>根据《政府采购促进中小企业发展管理办法》（财库〔2020〕46号）及《广西壮族自治区财政厅关于进一步发挥政府采购政策功能促进企业发展的通知》（桂财采〔2022〕30号）的规定，供应商在其响应文件中提供《中小企业声明函》，且服务全部由小微企业承接，对供应商的竞标报价给予</w:t>
            </w:r>
            <w:r>
              <w:rPr>
                <w:rFonts w:ascii="宋体" w:hAnsi="宋体"/>
                <w:szCs w:val="21"/>
              </w:rPr>
              <w:t>2</w:t>
            </w:r>
            <w:r>
              <w:rPr>
                <w:rFonts w:hint="eastAsia" w:ascii="宋体" w:hAnsi="宋体"/>
                <w:szCs w:val="21"/>
              </w:rPr>
              <w:t>0%的扣除，扣除后的价格为评审价，即评审价=竞标报价×（1-</w:t>
            </w:r>
            <w:r>
              <w:rPr>
                <w:rFonts w:ascii="宋体" w:hAnsi="宋体"/>
                <w:szCs w:val="21"/>
              </w:rPr>
              <w:t>2</w:t>
            </w:r>
            <w:r>
              <w:rPr>
                <w:rFonts w:hint="eastAsia" w:ascii="宋体" w:hAnsi="宋体"/>
                <w:szCs w:val="21"/>
              </w:rPr>
              <w:t xml:space="preserve">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 </w:t>
            </w:r>
            <w:r>
              <w:rPr>
                <w:rFonts w:ascii="宋体" w:hAnsi="宋体"/>
                <w:szCs w:val="21"/>
              </w:rPr>
              <w:t>4</w:t>
            </w:r>
            <w:r>
              <w:rPr>
                <w:rFonts w:hint="eastAsia" w:ascii="宋体" w:hAnsi="宋体"/>
                <w:szCs w:val="21"/>
              </w:rPr>
              <w:t xml:space="preserve"> %的扣除，用扣除后的价格参加评审，扣除后的价格为评审价，即评审价=竞标报价×（1- </w:t>
            </w:r>
            <w:r>
              <w:rPr>
                <w:rFonts w:ascii="宋体" w:hAnsi="宋体"/>
                <w:szCs w:val="21"/>
              </w:rPr>
              <w:t>4</w:t>
            </w:r>
            <w:r>
              <w:rPr>
                <w:rFonts w:hint="eastAsia" w:ascii="宋体" w:hAnsi="宋体"/>
                <w:szCs w:val="21"/>
              </w:rPr>
              <w:t xml:space="preserve"> %）。除上述情况外，评审价=竞标报价。</w:t>
            </w:r>
          </w:p>
          <w:p>
            <w:pPr>
              <w:spacing w:line="360" w:lineRule="auto"/>
              <w:ind w:firstLine="420" w:firstLineChars="200"/>
              <w:rPr>
                <w:rFonts w:ascii="宋体" w:hAnsi="宋体"/>
                <w:szCs w:val="21"/>
              </w:rPr>
            </w:pPr>
            <w:r>
              <w:rPr>
                <w:rFonts w:hint="eastAsia" w:ascii="宋体" w:hAnsi="宋体"/>
                <w:szCs w:val="21"/>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监狱企业属于小型、微型企业的，不重复享受政策。</w:t>
            </w:r>
          </w:p>
          <w:p>
            <w:pPr>
              <w:spacing w:line="360" w:lineRule="auto"/>
              <w:ind w:firstLine="420" w:firstLineChars="200"/>
              <w:rPr>
                <w:rFonts w:ascii="宋体" w:hAnsi="宋体"/>
                <w:szCs w:val="21"/>
              </w:rPr>
            </w:pPr>
            <w:r>
              <w:rPr>
                <w:rFonts w:hint="eastAsia" w:ascii="宋体" w:hAnsi="宋体"/>
                <w:szCs w:val="21"/>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360" w:lineRule="auto"/>
              <w:ind w:firstLine="420" w:firstLineChars="200"/>
              <w:rPr>
                <w:rFonts w:ascii="宋体" w:hAnsi="宋体" w:cs="Courier New"/>
                <w:bCs/>
                <w:szCs w:val="21"/>
              </w:rPr>
            </w:pPr>
            <w:r>
              <w:rPr>
                <w:rFonts w:hint="eastAsia" w:ascii="宋体" w:hAnsi="宋体" w:cs="Courier New"/>
                <w:bCs/>
                <w:szCs w:val="21"/>
              </w:rPr>
              <w:t>（5）价格分计算公式：</w:t>
            </w:r>
          </w:p>
          <w:p>
            <w:pPr>
              <w:spacing w:line="360" w:lineRule="auto"/>
              <w:ind w:firstLine="404" w:firstLineChars="200"/>
              <w:rPr>
                <w:rFonts w:ascii="宋体" w:hAnsi="宋体"/>
                <w:color w:val="000000"/>
                <w:spacing w:val="-4"/>
                <w:szCs w:val="20"/>
              </w:rPr>
            </w:pPr>
            <w:r>
              <w:rPr>
                <w:rFonts w:hint="eastAsia" w:ascii="宋体" w:hAnsi="宋体"/>
                <w:color w:val="000000"/>
                <w:spacing w:val="-4"/>
                <w:szCs w:val="20"/>
              </w:rPr>
              <w:t>　                 供应商最低评标价金额</w:t>
            </w:r>
          </w:p>
          <w:p>
            <w:pPr>
              <w:spacing w:line="300" w:lineRule="exact"/>
              <w:ind w:firstLine="420" w:firstLineChars="200"/>
              <w:rPr>
                <w:rFonts w:ascii="宋体" w:hAnsi="宋体"/>
                <w:color w:val="000000"/>
                <w:spacing w:val="-4"/>
                <w:szCs w:val="20"/>
              </w:rPr>
            </w:pPr>
            <w:r>
              <w:pict>
                <v:line id="_x0000_s1026" o:spid="_x0000_s1026" o:spt="20" style="position:absolute;left:0pt;margin-left:110.25pt;margin-top:8.4pt;height:0pt;width:126pt;z-index:251659264;mso-width-relative:page;mso-height-relative:page;" coordsize="21600,21600" o:gfxdata="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RQN7HVAAAACQEAAA8AAAAAAAAAAQAgAAAAIgAAAGRycy9kb3ducmV2LnhtbFBLAQIUABQAAAAI&#10;AIdO4kCAKLXg8AEAAOYDAAAOAAAAAAAAAAEAIAAAACQBAABkcnMvZTJvRG9jLnhtbFBLBQYAAAAA&#10;BgAGAFkBAACGBQAAAAA=&#10;">
                  <v:path arrowok="t"/>
                  <v:fill focussize="0,0"/>
                  <v:stroke/>
                  <v:imagedata o:title=""/>
                  <o:lock v:ext="edit"/>
                </v:line>
              </w:pict>
            </w:r>
            <w:r>
              <w:rPr>
                <w:rFonts w:hint="eastAsia" w:ascii="宋体" w:hAnsi="宋体"/>
                <w:color w:val="000000"/>
                <w:spacing w:val="-4"/>
                <w:szCs w:val="20"/>
              </w:rPr>
              <w:t>某供应商价格分 ＝                            ×　</w:t>
            </w:r>
            <w:r>
              <w:rPr>
                <w:rFonts w:hint="eastAsia" w:ascii="宋体" w:hAnsi="宋体"/>
                <w:b/>
                <w:color w:val="000000"/>
                <w:spacing w:val="-4"/>
                <w:szCs w:val="20"/>
              </w:rPr>
              <w:t>1</w:t>
            </w:r>
            <w:r>
              <w:rPr>
                <w:rFonts w:ascii="宋体" w:hAnsi="宋体"/>
                <w:b/>
                <w:color w:val="000000"/>
                <w:spacing w:val="-4"/>
                <w:szCs w:val="20"/>
              </w:rPr>
              <w:t>0</w:t>
            </w:r>
            <w:r>
              <w:rPr>
                <w:rFonts w:hint="eastAsia" w:ascii="宋体" w:hAnsi="宋体"/>
                <w:b/>
                <w:color w:val="000000"/>
                <w:spacing w:val="-4"/>
                <w:szCs w:val="20"/>
              </w:rPr>
              <w:t>分</w:t>
            </w:r>
          </w:p>
          <w:p>
            <w:pPr>
              <w:spacing w:line="300" w:lineRule="exact"/>
              <w:ind w:firstLine="404" w:firstLineChars="200"/>
              <w:rPr>
                <w:rFonts w:ascii="宋体" w:hAnsi="宋体"/>
                <w:color w:val="000000"/>
                <w:spacing w:val="-4"/>
                <w:szCs w:val="20"/>
              </w:rPr>
            </w:pPr>
            <w:r>
              <w:rPr>
                <w:rFonts w:hint="eastAsia" w:ascii="宋体" w:hAnsi="宋体"/>
                <w:color w:val="000000"/>
                <w:spacing w:val="-4"/>
                <w:szCs w:val="20"/>
              </w:rPr>
              <w:t xml:space="preserve">                   　某供应商评标价金额</w:t>
            </w:r>
          </w:p>
          <w:p>
            <w:pPr>
              <w:spacing w:line="360" w:lineRule="auto"/>
              <w:ind w:firstLine="420" w:firstLineChars="200"/>
              <w:rPr>
                <w:rFonts w:ascii="宋体" w:hAnsi="宋体" w:cs="Courier New"/>
                <w:bCs/>
                <w:szCs w:val="21"/>
              </w:rPr>
            </w:pPr>
            <w:r>
              <w:rPr>
                <w:rFonts w:hint="eastAsia" w:ascii="宋体" w:hAnsi="宋体" w:cs="Courier New"/>
                <w:bCs/>
                <w:szCs w:val="21"/>
              </w:rPr>
              <w:t xml:space="preserve"> </w:t>
            </w:r>
          </w:p>
        </w:tc>
        <w:tc>
          <w:tcPr>
            <w:tcW w:w="901" w:type="dxa"/>
            <w:noWrap/>
            <w:vAlign w:val="center"/>
          </w:tcPr>
          <w:p>
            <w:pPr>
              <w:widowControl/>
              <w:spacing w:line="360" w:lineRule="auto"/>
              <w:jc w:val="center"/>
              <w:rPr>
                <w:rFonts w:ascii="宋体" w:hAnsi="宋体" w:cs="Tahoma"/>
                <w:kern w:val="0"/>
                <w:szCs w:val="21"/>
              </w:rPr>
            </w:pPr>
            <w:r>
              <w:rPr>
                <w:rFonts w:hint="eastAsia" w:ascii="宋体" w:hAnsi="宋体" w:cs="Tahoma"/>
                <w:kern w:val="0"/>
                <w:szCs w:val="21"/>
              </w:rPr>
              <w:t>1</w:t>
            </w:r>
            <w:r>
              <w:rPr>
                <w:rFonts w:ascii="宋体" w:hAnsi="宋体" w:cs="Tahoma"/>
                <w:kern w:val="0"/>
                <w:szCs w:val="21"/>
              </w:rPr>
              <w:t>0</w:t>
            </w:r>
            <w:r>
              <w:rPr>
                <w:rFonts w:hint="eastAsia" w:ascii="宋体" w:hAnsi="宋体" w:cs="Tahoma"/>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00" w:type="dxa"/>
            <w:noWrap/>
            <w:vAlign w:val="center"/>
          </w:tcPr>
          <w:p>
            <w:pPr>
              <w:widowControl/>
              <w:spacing w:line="360" w:lineRule="auto"/>
              <w:jc w:val="center"/>
              <w:rPr>
                <w:rFonts w:ascii="宋体" w:hAnsi="宋体" w:cs="Tahoma"/>
                <w:kern w:val="0"/>
                <w:szCs w:val="21"/>
              </w:rPr>
            </w:pPr>
            <w:r>
              <w:rPr>
                <w:rFonts w:hint="eastAsia" w:ascii="宋体" w:hAnsi="宋体"/>
                <w:bCs/>
                <w:kern w:val="0"/>
                <w:szCs w:val="21"/>
              </w:rPr>
              <w:t>2</w:t>
            </w:r>
          </w:p>
        </w:tc>
        <w:tc>
          <w:tcPr>
            <w:tcW w:w="1251" w:type="dxa"/>
            <w:noWrap/>
            <w:vAlign w:val="center"/>
          </w:tcPr>
          <w:p>
            <w:pPr>
              <w:widowControl/>
              <w:spacing w:line="360" w:lineRule="auto"/>
              <w:jc w:val="center"/>
              <w:rPr>
                <w:rFonts w:ascii="宋体" w:hAnsi="宋体"/>
                <w:bCs/>
                <w:kern w:val="0"/>
                <w:szCs w:val="21"/>
              </w:rPr>
            </w:pPr>
            <w:r>
              <w:rPr>
                <w:rFonts w:hint="eastAsia" w:ascii="宋体" w:hAnsi="宋体"/>
                <w:bCs/>
                <w:kern w:val="0"/>
                <w:szCs w:val="21"/>
              </w:rPr>
              <w:t>技术分</w:t>
            </w:r>
          </w:p>
        </w:tc>
        <w:tc>
          <w:tcPr>
            <w:tcW w:w="6238" w:type="dxa"/>
            <w:noWrap/>
            <w:vAlign w:val="center"/>
          </w:tcPr>
          <w:p>
            <w:pPr>
              <w:widowControl/>
              <w:spacing w:line="360" w:lineRule="auto"/>
              <w:jc w:val="center"/>
              <w:rPr>
                <w:rFonts w:ascii="宋体" w:hAnsi="宋体" w:cs="Tahoma"/>
                <w:kern w:val="0"/>
                <w:szCs w:val="21"/>
              </w:rPr>
            </w:pPr>
            <w:r>
              <w:rPr>
                <w:rFonts w:hint="eastAsia" w:ascii="宋体" w:hAnsi="宋体" w:cs="Tahoma"/>
                <w:kern w:val="0"/>
                <w:szCs w:val="21"/>
              </w:rPr>
              <w:t>评审因素</w:t>
            </w:r>
          </w:p>
        </w:tc>
        <w:tc>
          <w:tcPr>
            <w:tcW w:w="901" w:type="dxa"/>
            <w:vAlign w:val="center"/>
          </w:tcPr>
          <w:p>
            <w:pPr>
              <w:widowControl/>
              <w:spacing w:line="360" w:lineRule="auto"/>
              <w:jc w:val="center"/>
              <w:rPr>
                <w:rFonts w:ascii="宋体" w:hAnsi="宋体" w:cs="Tahoma"/>
                <w:kern w:val="0"/>
                <w:szCs w:val="21"/>
              </w:rPr>
            </w:pPr>
            <w:r>
              <w:rPr>
                <w:rFonts w:ascii="宋体" w:hAnsi="宋体"/>
                <w:bCs/>
                <w:kern w:val="0"/>
                <w:szCs w:val="21"/>
              </w:rPr>
              <w:t>6</w:t>
            </w:r>
            <w:r>
              <w:rPr>
                <w:rFonts w:hint="eastAsia" w:ascii="宋体" w:hAnsi="宋体"/>
                <w:bCs/>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00" w:type="dxa"/>
            <w:noWrap/>
            <w:vAlign w:val="center"/>
          </w:tcPr>
          <w:p>
            <w:pPr>
              <w:adjustRightInd w:val="0"/>
              <w:spacing w:line="360" w:lineRule="auto"/>
              <w:ind w:left="-105" w:leftChars="-50" w:right="-105" w:rightChars="-50"/>
              <w:jc w:val="center"/>
              <w:textAlignment w:val="baseline"/>
              <w:rPr>
                <w:rFonts w:ascii="宋体" w:hAnsi="宋体"/>
                <w:bCs/>
                <w:kern w:val="0"/>
                <w:szCs w:val="21"/>
              </w:rPr>
            </w:pPr>
            <w:r>
              <w:rPr>
                <w:rFonts w:hint="eastAsia" w:ascii="宋体" w:hAnsi="宋体"/>
                <w:bCs/>
                <w:kern w:val="0"/>
                <w:szCs w:val="21"/>
              </w:rPr>
              <w:t>2</w:t>
            </w:r>
            <w:r>
              <w:rPr>
                <w:rFonts w:ascii="宋体" w:hAnsi="宋体"/>
                <w:bCs/>
                <w:kern w:val="0"/>
                <w:szCs w:val="21"/>
              </w:rPr>
              <w:t>.</w:t>
            </w:r>
            <w:r>
              <w:rPr>
                <w:rFonts w:hint="eastAsia" w:ascii="宋体" w:hAnsi="宋体"/>
                <w:bCs/>
                <w:kern w:val="0"/>
                <w:szCs w:val="21"/>
              </w:rPr>
              <w:t>1</w:t>
            </w:r>
          </w:p>
        </w:tc>
        <w:tc>
          <w:tcPr>
            <w:tcW w:w="1251" w:type="dxa"/>
            <w:noWrap/>
            <w:vAlign w:val="center"/>
          </w:tcPr>
          <w:p>
            <w:pPr>
              <w:adjustRightInd w:val="0"/>
              <w:spacing w:line="360" w:lineRule="auto"/>
              <w:jc w:val="center"/>
              <w:textAlignment w:val="baseline"/>
              <w:rPr>
                <w:rFonts w:ascii="宋体" w:hAnsi="宋体"/>
                <w:bCs/>
                <w:kern w:val="0"/>
                <w:szCs w:val="21"/>
              </w:rPr>
            </w:pPr>
            <w:r>
              <w:rPr>
                <w:rFonts w:hint="eastAsia" w:ascii="宋体" w:hAnsi="宋体"/>
                <w:bCs/>
                <w:kern w:val="0"/>
                <w:szCs w:val="21"/>
              </w:rPr>
              <w:t>技术服务方案分</w:t>
            </w:r>
          </w:p>
        </w:tc>
        <w:tc>
          <w:tcPr>
            <w:tcW w:w="6238" w:type="dxa"/>
            <w:noWrap/>
            <w:vAlign w:val="center"/>
          </w:tcPr>
          <w:p>
            <w:pPr>
              <w:spacing w:line="360" w:lineRule="auto"/>
              <w:ind w:firstLine="420" w:firstLineChars="200"/>
              <w:rPr>
                <w:rFonts w:ascii="宋体" w:hAnsi="宋体" w:cs="Courier New"/>
                <w:bCs/>
                <w:szCs w:val="21"/>
              </w:rPr>
            </w:pPr>
            <w:r>
              <w:rPr>
                <w:rFonts w:hint="eastAsia" w:ascii="宋体" w:hAnsi="宋体" w:cs="Courier New"/>
                <w:bCs/>
                <w:szCs w:val="21"/>
              </w:rPr>
              <w:t>一档（</w:t>
            </w:r>
            <w:r>
              <w:rPr>
                <w:rFonts w:ascii="宋体" w:hAnsi="宋体" w:cs="Courier New"/>
                <w:bCs/>
                <w:szCs w:val="21"/>
              </w:rPr>
              <w:t>1</w:t>
            </w:r>
            <w:r>
              <w:rPr>
                <w:rFonts w:hint="eastAsia" w:ascii="宋体" w:hAnsi="宋体" w:cs="Courier New"/>
                <w:bCs/>
                <w:szCs w:val="21"/>
              </w:rPr>
              <w:t>1分）：基本能够理解本项目的建设背景、建设目标、建设范围，技术方案能满足招标文件要求。</w:t>
            </w:r>
          </w:p>
          <w:p>
            <w:pPr>
              <w:spacing w:line="360" w:lineRule="auto"/>
              <w:ind w:firstLine="420" w:firstLineChars="200"/>
              <w:rPr>
                <w:rFonts w:ascii="宋体" w:hAnsi="宋体" w:cs="Courier New"/>
                <w:bCs/>
                <w:szCs w:val="21"/>
              </w:rPr>
            </w:pPr>
            <w:r>
              <w:rPr>
                <w:rFonts w:hint="eastAsia" w:ascii="宋体" w:hAnsi="宋体" w:cs="Courier New"/>
                <w:bCs/>
                <w:szCs w:val="21"/>
              </w:rPr>
              <w:t>二档（1</w:t>
            </w:r>
            <w:r>
              <w:rPr>
                <w:rFonts w:ascii="宋体" w:hAnsi="宋体" w:cs="Courier New"/>
                <w:bCs/>
                <w:szCs w:val="21"/>
              </w:rPr>
              <w:t>4</w:t>
            </w:r>
            <w:r>
              <w:rPr>
                <w:rFonts w:hint="eastAsia" w:ascii="宋体" w:hAnsi="宋体" w:cs="Courier New"/>
                <w:bCs/>
                <w:szCs w:val="21"/>
              </w:rPr>
              <w:t>分）：较准确理解本项目的建设背景、建设目标、建设范围，能够对系统现状、业务需求进行较好的分析，技术方案能满足招标文件要求。提出较完整的数据迁移技术方案，并提出了适合采购人的系统适配的技术方案及实现方式。</w:t>
            </w:r>
          </w:p>
          <w:p>
            <w:pPr>
              <w:spacing w:line="360" w:lineRule="auto"/>
              <w:ind w:firstLine="420" w:firstLineChars="200"/>
              <w:rPr>
                <w:rFonts w:ascii="宋体" w:hAnsi="宋体" w:cs="Courier New"/>
                <w:bCs/>
                <w:szCs w:val="21"/>
              </w:rPr>
            </w:pPr>
            <w:r>
              <w:rPr>
                <w:rFonts w:hint="eastAsia" w:ascii="宋体" w:hAnsi="宋体" w:cs="Courier New"/>
                <w:bCs/>
                <w:szCs w:val="21"/>
              </w:rPr>
              <w:t>三档（1</w:t>
            </w:r>
            <w:r>
              <w:rPr>
                <w:rFonts w:ascii="宋体" w:hAnsi="宋体" w:cs="Courier New"/>
                <w:bCs/>
                <w:szCs w:val="21"/>
              </w:rPr>
              <w:t>7</w:t>
            </w:r>
            <w:r>
              <w:rPr>
                <w:rFonts w:hint="eastAsia" w:ascii="宋体" w:hAnsi="宋体" w:cs="Courier New"/>
                <w:bCs/>
                <w:szCs w:val="21"/>
              </w:rPr>
              <w:t>分）：能准确理解本项目的建设背景、建设目标、建设范围，能够对系统现状、业务需求、性能需求进行详细分析，技术方案能满足招标文件要求。对现有采购人的服务器环境及网络环境、系统功能进行详细的分析及具体描述，提出详细的数据迁移技术方案，并提出了适合采购人的系统适配的技术方案及实现方式。</w:t>
            </w:r>
          </w:p>
        </w:tc>
        <w:tc>
          <w:tcPr>
            <w:tcW w:w="901" w:type="dxa"/>
            <w:noWrap/>
            <w:vAlign w:val="center"/>
          </w:tcPr>
          <w:p>
            <w:pPr>
              <w:spacing w:line="360" w:lineRule="auto"/>
              <w:jc w:val="center"/>
              <w:rPr>
                <w:rFonts w:ascii="宋体" w:hAnsi="宋体" w:cs="Tahoma"/>
                <w:kern w:val="0"/>
                <w:szCs w:val="21"/>
              </w:rPr>
            </w:pPr>
            <w:r>
              <w:rPr>
                <w:rFonts w:hint="eastAsia" w:ascii="宋体" w:hAnsi="宋体" w:cs="Tahoma"/>
                <w:kern w:val="0"/>
                <w:szCs w:val="21"/>
              </w:rPr>
              <w:t>1</w:t>
            </w:r>
            <w:r>
              <w:rPr>
                <w:rFonts w:ascii="宋体" w:hAnsi="宋体" w:cs="Tahoma"/>
                <w:kern w:val="0"/>
                <w:szCs w:val="21"/>
              </w:rPr>
              <w:t>7</w:t>
            </w:r>
            <w:r>
              <w:rPr>
                <w:rFonts w:hint="eastAsia" w:ascii="宋体" w:hAnsi="宋体" w:cs="Tahoma"/>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00" w:type="dxa"/>
            <w:noWrap/>
            <w:vAlign w:val="center"/>
          </w:tcPr>
          <w:p>
            <w:pPr>
              <w:adjustRightInd w:val="0"/>
              <w:spacing w:line="360" w:lineRule="auto"/>
              <w:ind w:left="-105" w:leftChars="-50" w:right="-105" w:rightChars="-50"/>
              <w:jc w:val="center"/>
              <w:textAlignment w:val="baseline"/>
              <w:rPr>
                <w:rFonts w:ascii="宋体" w:hAnsi="宋体"/>
                <w:bCs/>
                <w:kern w:val="0"/>
                <w:szCs w:val="21"/>
              </w:rPr>
            </w:pPr>
            <w:r>
              <w:rPr>
                <w:rFonts w:hint="eastAsia" w:ascii="宋体" w:hAnsi="宋体"/>
                <w:bCs/>
                <w:kern w:val="0"/>
                <w:szCs w:val="21"/>
              </w:rPr>
              <w:t>2.2</w:t>
            </w:r>
          </w:p>
        </w:tc>
        <w:tc>
          <w:tcPr>
            <w:tcW w:w="1251" w:type="dxa"/>
            <w:noWrap/>
            <w:vAlign w:val="center"/>
          </w:tcPr>
          <w:p>
            <w:pPr>
              <w:adjustRightInd w:val="0"/>
              <w:spacing w:line="360" w:lineRule="auto"/>
              <w:jc w:val="center"/>
              <w:textAlignment w:val="baseline"/>
              <w:rPr>
                <w:rFonts w:ascii="宋体" w:hAnsi="宋体"/>
                <w:bCs/>
                <w:kern w:val="0"/>
                <w:szCs w:val="21"/>
              </w:rPr>
            </w:pPr>
            <w:r>
              <w:rPr>
                <w:rFonts w:hint="eastAsia" w:ascii="宋体" w:hAnsi="宋体"/>
                <w:bCs/>
                <w:kern w:val="0"/>
                <w:szCs w:val="21"/>
              </w:rPr>
              <w:t>实施方案分</w:t>
            </w:r>
          </w:p>
        </w:tc>
        <w:tc>
          <w:tcPr>
            <w:tcW w:w="6238" w:type="dxa"/>
            <w:noWrap/>
            <w:vAlign w:val="center"/>
          </w:tcPr>
          <w:p>
            <w:pPr>
              <w:spacing w:line="360" w:lineRule="auto"/>
              <w:ind w:firstLine="420" w:firstLineChars="200"/>
              <w:rPr>
                <w:rFonts w:ascii="宋体" w:hAnsi="宋体" w:cs="Courier New"/>
                <w:bCs/>
                <w:szCs w:val="21"/>
              </w:rPr>
            </w:pPr>
            <w:r>
              <w:rPr>
                <w:rFonts w:hint="eastAsia" w:ascii="宋体" w:hAnsi="宋体" w:cs="Courier New"/>
                <w:bCs/>
                <w:szCs w:val="21"/>
              </w:rPr>
              <w:t>一档（8分）：供应商提供有实施管理、实施组织方案、质量保证措施、系统测试、试运行、验收等内容，基本可行，实施过程中安排了相关实施团队人员；本次项目拟安排的实施团队人员不少于8人。</w:t>
            </w:r>
          </w:p>
          <w:p>
            <w:pPr>
              <w:spacing w:line="360" w:lineRule="auto"/>
              <w:ind w:firstLine="420" w:firstLineChars="200"/>
              <w:rPr>
                <w:rFonts w:ascii="宋体" w:hAnsi="宋体" w:cs="Courier New"/>
                <w:bCs/>
                <w:szCs w:val="21"/>
              </w:rPr>
            </w:pPr>
            <w:r>
              <w:rPr>
                <w:rFonts w:hint="eastAsia" w:ascii="宋体" w:hAnsi="宋体" w:cs="Courier New"/>
                <w:bCs/>
                <w:szCs w:val="21"/>
              </w:rPr>
              <w:t>二档（12分）：供应商提供可行的实施管理、实施组织方案、质量保证、测试、试运行、验收等内容；提供有实施思路，进度安排较为合理全面；且本次项目安排的实施团队人员不少于12人，投入人员中具有网络工程师证书、数据库系统工程师证书。</w:t>
            </w:r>
          </w:p>
          <w:p>
            <w:pPr>
              <w:spacing w:line="360" w:lineRule="auto"/>
              <w:ind w:firstLine="420" w:firstLineChars="200"/>
              <w:rPr>
                <w:rFonts w:ascii="宋体" w:hAnsi="宋体" w:cs="Courier New"/>
                <w:bCs/>
                <w:szCs w:val="21"/>
              </w:rPr>
            </w:pPr>
            <w:r>
              <w:rPr>
                <w:rFonts w:hint="eastAsia" w:ascii="宋体" w:hAnsi="宋体" w:cs="Courier New"/>
                <w:bCs/>
                <w:szCs w:val="21"/>
              </w:rPr>
              <w:t>三档（16分）：供应商提供科学合理的实施管理、实施组织方案、质量保证、测试、试运行、验收等内容；实施思路清晰、进度安排合理全面；且本次项目安排的实施团队人员不少于</w:t>
            </w:r>
            <w:r>
              <w:rPr>
                <w:rFonts w:ascii="宋体" w:hAnsi="宋体" w:cs="Courier New"/>
                <w:bCs/>
                <w:szCs w:val="21"/>
              </w:rPr>
              <w:t>1</w:t>
            </w:r>
            <w:r>
              <w:rPr>
                <w:rFonts w:hint="eastAsia" w:ascii="宋体" w:hAnsi="宋体" w:cs="Courier New"/>
                <w:bCs/>
                <w:szCs w:val="21"/>
              </w:rPr>
              <w:t>8人，要求投入人员中具有高级工程师职称证书、系统集成项目管理工程师、网络工程师证书、数据库系统工程师证书、高级软件测试工程师。</w:t>
            </w:r>
          </w:p>
          <w:p>
            <w:pPr>
              <w:spacing w:line="360" w:lineRule="auto"/>
              <w:ind w:firstLine="420" w:firstLineChars="200"/>
              <w:rPr>
                <w:rFonts w:ascii="宋体" w:hAnsi="宋体" w:cs="Courier New"/>
                <w:bCs/>
                <w:szCs w:val="21"/>
              </w:rPr>
            </w:pPr>
            <w:r>
              <w:rPr>
                <w:rFonts w:hint="eastAsia" w:ascii="宋体" w:hAnsi="宋体" w:cs="Courier New"/>
                <w:bCs/>
                <w:szCs w:val="21"/>
              </w:rPr>
              <w:t>注：拟投入人员须提供身份证和证书复印件，提供半年内连续3个月社保缴纳明细及相关证明材料并加盖单位公章。</w:t>
            </w:r>
          </w:p>
        </w:tc>
        <w:tc>
          <w:tcPr>
            <w:tcW w:w="901" w:type="dxa"/>
            <w:noWrap/>
            <w:vAlign w:val="center"/>
          </w:tcPr>
          <w:p>
            <w:pPr>
              <w:spacing w:line="360" w:lineRule="auto"/>
              <w:jc w:val="center"/>
              <w:rPr>
                <w:rFonts w:ascii="宋体" w:hAnsi="宋体" w:cs="Tahoma"/>
                <w:kern w:val="0"/>
                <w:szCs w:val="21"/>
              </w:rPr>
            </w:pPr>
            <w:r>
              <w:rPr>
                <w:rFonts w:hint="eastAsia" w:ascii="宋体" w:hAnsi="宋体" w:cs="Tahoma"/>
                <w:kern w:val="0"/>
                <w:szCs w:val="21"/>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00" w:type="dxa"/>
            <w:noWrap/>
            <w:vAlign w:val="center"/>
          </w:tcPr>
          <w:p>
            <w:pPr>
              <w:adjustRightInd w:val="0"/>
              <w:spacing w:line="360" w:lineRule="auto"/>
              <w:ind w:left="-105" w:leftChars="-50" w:right="-105" w:rightChars="-50"/>
              <w:jc w:val="center"/>
              <w:textAlignment w:val="baseline"/>
              <w:rPr>
                <w:rFonts w:ascii="宋体" w:hAnsi="宋体"/>
                <w:bCs/>
                <w:kern w:val="0"/>
                <w:szCs w:val="21"/>
              </w:rPr>
            </w:pPr>
            <w:r>
              <w:rPr>
                <w:rFonts w:hint="eastAsia" w:ascii="宋体" w:hAnsi="宋体"/>
                <w:bCs/>
                <w:kern w:val="0"/>
                <w:szCs w:val="21"/>
              </w:rPr>
              <w:t>2.</w:t>
            </w:r>
            <w:r>
              <w:rPr>
                <w:rFonts w:ascii="宋体" w:hAnsi="宋体"/>
                <w:bCs/>
                <w:kern w:val="0"/>
                <w:szCs w:val="21"/>
              </w:rPr>
              <w:t>3</w:t>
            </w:r>
          </w:p>
        </w:tc>
        <w:tc>
          <w:tcPr>
            <w:tcW w:w="1251" w:type="dxa"/>
            <w:noWrap/>
            <w:vAlign w:val="center"/>
          </w:tcPr>
          <w:p>
            <w:pPr>
              <w:widowControl/>
              <w:spacing w:line="360" w:lineRule="auto"/>
              <w:jc w:val="center"/>
              <w:rPr>
                <w:rFonts w:ascii="宋体" w:hAnsi="宋体"/>
                <w:bCs/>
                <w:szCs w:val="21"/>
              </w:rPr>
            </w:pPr>
            <w:r>
              <w:rPr>
                <w:rFonts w:hint="eastAsia" w:ascii="宋体" w:hAnsi="宋体"/>
                <w:bCs/>
                <w:szCs w:val="21"/>
              </w:rPr>
              <w:t>售后服务方案分</w:t>
            </w:r>
          </w:p>
        </w:tc>
        <w:tc>
          <w:tcPr>
            <w:tcW w:w="6238" w:type="dxa"/>
            <w:noWrap/>
            <w:vAlign w:val="center"/>
          </w:tcPr>
          <w:p>
            <w:pPr>
              <w:spacing w:line="360" w:lineRule="auto"/>
              <w:ind w:firstLine="420" w:firstLineChars="200"/>
              <w:rPr>
                <w:rFonts w:ascii="宋体" w:hAnsi="宋体" w:cs="Courier New"/>
                <w:bCs/>
                <w:szCs w:val="21"/>
              </w:rPr>
            </w:pPr>
            <w:r>
              <w:rPr>
                <w:rFonts w:hint="eastAsia" w:ascii="宋体" w:hAnsi="宋体" w:cs="Courier New"/>
                <w:bCs/>
                <w:szCs w:val="21"/>
              </w:rPr>
              <w:t>一档（1</w:t>
            </w:r>
            <w:r>
              <w:rPr>
                <w:rFonts w:ascii="宋体" w:hAnsi="宋体" w:cs="Courier New"/>
                <w:bCs/>
                <w:szCs w:val="21"/>
              </w:rPr>
              <w:t>2</w:t>
            </w:r>
            <w:r>
              <w:rPr>
                <w:rFonts w:hint="eastAsia" w:ascii="宋体" w:hAnsi="宋体" w:cs="Courier New"/>
                <w:bCs/>
                <w:szCs w:val="21"/>
              </w:rPr>
              <w:t>分）：售后服务方案内容包括服务内容、响应时间、故障处理、服务质量保证，方案内容描述简单、工作目标模糊、措施基本合理、方法得当，符合项目要求。</w:t>
            </w:r>
          </w:p>
          <w:p>
            <w:pPr>
              <w:spacing w:line="360" w:lineRule="auto"/>
              <w:ind w:firstLine="420" w:firstLineChars="200"/>
              <w:rPr>
                <w:rFonts w:ascii="宋体" w:hAnsi="宋体" w:cs="Courier New"/>
                <w:bCs/>
                <w:szCs w:val="21"/>
              </w:rPr>
            </w:pPr>
            <w:r>
              <w:rPr>
                <w:rFonts w:hint="eastAsia" w:ascii="宋体" w:hAnsi="宋体" w:cs="Courier New"/>
                <w:bCs/>
                <w:szCs w:val="21"/>
              </w:rPr>
              <w:t>二档（1</w:t>
            </w:r>
            <w:r>
              <w:rPr>
                <w:rFonts w:ascii="宋体" w:hAnsi="宋体" w:cs="Courier New"/>
                <w:bCs/>
                <w:szCs w:val="21"/>
              </w:rPr>
              <w:t>6</w:t>
            </w:r>
            <w:r>
              <w:rPr>
                <w:rFonts w:hint="eastAsia" w:ascii="宋体" w:hAnsi="宋体" w:cs="Courier New"/>
                <w:bCs/>
                <w:szCs w:val="21"/>
              </w:rPr>
              <w:t>分）：售后服务方案内容包括服务内容、响应时间、故障处理、服务质量保证，方案内容描述较为明确、工作目标较为清晰、措施较为合理、方法较为得当，符合项目要求。</w:t>
            </w:r>
          </w:p>
          <w:p>
            <w:pPr>
              <w:spacing w:line="360" w:lineRule="auto"/>
              <w:ind w:firstLine="420" w:firstLineChars="200"/>
              <w:rPr>
                <w:rFonts w:ascii="宋体" w:hAnsi="宋体" w:cs="Courier New"/>
                <w:bCs/>
                <w:szCs w:val="21"/>
              </w:rPr>
            </w:pPr>
            <w:r>
              <w:rPr>
                <w:rFonts w:hint="eastAsia" w:ascii="宋体" w:hAnsi="宋体" w:cs="Courier New"/>
                <w:bCs/>
                <w:szCs w:val="21"/>
              </w:rPr>
              <w:t>三档（</w:t>
            </w:r>
            <w:r>
              <w:rPr>
                <w:rFonts w:ascii="宋体" w:hAnsi="宋体" w:cs="Courier New"/>
                <w:bCs/>
                <w:szCs w:val="21"/>
              </w:rPr>
              <w:t>20</w:t>
            </w:r>
            <w:r>
              <w:rPr>
                <w:rFonts w:hint="eastAsia" w:ascii="宋体" w:hAnsi="宋体" w:cs="Courier New"/>
                <w:bCs/>
                <w:szCs w:val="21"/>
              </w:rPr>
              <w:t>分）：售后服务方案内容包括服务内容、响应时间、故障处理、服务质量保证，方案内容描述明确、工作目标清晰、措施合理、方法得当，完全符合项目要求；可通过网络提供24小时远程技术支持及故障检测等服务，供应商具有满足项目对各层机构运用对接服务能力，可为本次项目投入售后团队人员至少</w:t>
            </w:r>
            <w:r>
              <w:rPr>
                <w:rFonts w:ascii="宋体" w:hAnsi="宋体" w:cs="Courier New"/>
                <w:bCs/>
                <w:szCs w:val="21"/>
              </w:rPr>
              <w:t>14</w:t>
            </w:r>
            <w:r>
              <w:rPr>
                <w:rFonts w:hint="eastAsia" w:ascii="宋体" w:hAnsi="宋体" w:cs="Courier New"/>
                <w:bCs/>
                <w:szCs w:val="21"/>
              </w:rPr>
              <w:t>人，1</w:t>
            </w:r>
            <w:r>
              <w:rPr>
                <w:rFonts w:ascii="宋体" w:hAnsi="宋体" w:cs="Courier New"/>
                <w:bCs/>
                <w:szCs w:val="21"/>
              </w:rPr>
              <w:t>4</w:t>
            </w:r>
            <w:r>
              <w:rPr>
                <w:rFonts w:hint="eastAsia" w:ascii="宋体" w:hAnsi="宋体" w:cs="Courier New"/>
                <w:bCs/>
                <w:szCs w:val="21"/>
              </w:rPr>
              <w:t>个</w:t>
            </w:r>
            <w:r>
              <w:rPr>
                <w:rFonts w:ascii="宋体" w:hAnsi="宋体" w:cs="Courier New"/>
                <w:bCs/>
                <w:szCs w:val="21"/>
              </w:rPr>
              <w:t>下设机构</w:t>
            </w:r>
            <w:r>
              <w:rPr>
                <w:rFonts w:hint="eastAsia" w:ascii="宋体" w:hAnsi="宋体" w:cs="Courier New"/>
                <w:bCs/>
                <w:szCs w:val="21"/>
              </w:rPr>
              <w:t>至少各安排1人对应负责售后服务。</w:t>
            </w:r>
          </w:p>
          <w:p>
            <w:pPr>
              <w:spacing w:line="360" w:lineRule="auto"/>
              <w:rPr>
                <w:rFonts w:ascii="宋体" w:hAnsi="宋体"/>
                <w:szCs w:val="21"/>
              </w:rPr>
            </w:pPr>
            <w:r>
              <w:rPr>
                <w:rFonts w:hint="eastAsia" w:ascii="宋体" w:hAnsi="宋体" w:cs="Courier New"/>
                <w:bCs/>
                <w:szCs w:val="21"/>
              </w:rPr>
              <w:t>（拟投入售后人员须提供半年内连续3个月社保缴纳明细及相关证明材料并加盖单位公章）</w:t>
            </w:r>
          </w:p>
        </w:tc>
        <w:tc>
          <w:tcPr>
            <w:tcW w:w="901" w:type="dxa"/>
            <w:noWrap/>
            <w:vAlign w:val="center"/>
          </w:tcPr>
          <w:p>
            <w:pPr>
              <w:spacing w:line="360" w:lineRule="auto"/>
              <w:jc w:val="center"/>
              <w:rPr>
                <w:rFonts w:ascii="宋体" w:hAnsi="宋体" w:cs="Tahoma"/>
                <w:kern w:val="0"/>
                <w:szCs w:val="21"/>
              </w:rPr>
            </w:pPr>
            <w:r>
              <w:rPr>
                <w:rFonts w:ascii="宋体" w:hAnsi="宋体" w:cs="Tahoma"/>
                <w:kern w:val="0"/>
                <w:szCs w:val="21"/>
              </w:rPr>
              <w:t>20</w:t>
            </w:r>
            <w:r>
              <w:rPr>
                <w:rFonts w:hint="eastAsia" w:ascii="宋体" w:hAnsi="宋体" w:cs="Tahoma"/>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0" w:type="dxa"/>
            <w:noWrap/>
            <w:vAlign w:val="center"/>
          </w:tcPr>
          <w:p>
            <w:pPr>
              <w:adjustRightInd w:val="0"/>
              <w:spacing w:line="360" w:lineRule="auto"/>
              <w:ind w:left="-105" w:leftChars="-50" w:right="-105" w:rightChars="-50"/>
              <w:jc w:val="center"/>
              <w:textAlignment w:val="baseline"/>
              <w:rPr>
                <w:rFonts w:ascii="宋体" w:hAnsi="宋体"/>
                <w:bCs/>
                <w:kern w:val="0"/>
                <w:szCs w:val="21"/>
              </w:rPr>
            </w:pPr>
            <w:r>
              <w:rPr>
                <w:rFonts w:ascii="宋体" w:hAnsi="宋体"/>
                <w:bCs/>
                <w:kern w:val="0"/>
                <w:szCs w:val="21"/>
              </w:rPr>
              <w:t>2.4</w:t>
            </w:r>
          </w:p>
        </w:tc>
        <w:tc>
          <w:tcPr>
            <w:tcW w:w="1251" w:type="dxa"/>
            <w:noWrap/>
            <w:vAlign w:val="center"/>
          </w:tcPr>
          <w:p>
            <w:pPr>
              <w:adjustRightInd w:val="0"/>
              <w:spacing w:line="360" w:lineRule="auto"/>
              <w:jc w:val="center"/>
              <w:textAlignment w:val="baseline"/>
              <w:rPr>
                <w:rFonts w:ascii="宋体" w:hAnsi="宋体"/>
                <w:bCs/>
                <w:kern w:val="0"/>
                <w:szCs w:val="21"/>
              </w:rPr>
            </w:pPr>
            <w:r>
              <w:rPr>
                <w:rFonts w:hint="eastAsia" w:ascii="宋体" w:hAnsi="宋体"/>
                <w:bCs/>
                <w:kern w:val="0"/>
                <w:szCs w:val="21"/>
              </w:rPr>
              <w:t>本地化服务分</w:t>
            </w:r>
          </w:p>
        </w:tc>
        <w:tc>
          <w:tcPr>
            <w:tcW w:w="6238" w:type="dxa"/>
            <w:noWrap/>
            <w:vAlign w:val="center"/>
          </w:tcPr>
          <w:p>
            <w:pPr>
              <w:spacing w:line="380" w:lineRule="exact"/>
              <w:rPr>
                <w:rFonts w:ascii="宋体" w:hAnsi="宋体"/>
                <w:szCs w:val="21"/>
              </w:rPr>
            </w:pPr>
            <w:r>
              <w:rPr>
                <w:rFonts w:hint="eastAsia" w:ascii="宋体" w:hAnsi="宋体"/>
                <w:szCs w:val="21"/>
              </w:rPr>
              <w:t>供应商承诺成交后按要求配备本地化专职服务及专业技术人员14人及以上的，当系统出现问题时，供应商及其下属机构（或合作机构）所在地市市区内可安排技术服务人员在</w:t>
            </w:r>
            <w:r>
              <w:rPr>
                <w:rFonts w:ascii="宋体" w:hAnsi="宋体"/>
                <w:szCs w:val="21"/>
              </w:rPr>
              <w:t>1</w:t>
            </w:r>
            <w:r>
              <w:rPr>
                <w:rFonts w:hint="eastAsia" w:ascii="宋体" w:hAnsi="宋体"/>
                <w:szCs w:val="21"/>
              </w:rPr>
              <w:t>小时内到达现场解决问题的，得7分，满分7分。报价文件中须提供拟派本地化专职服务人员名单，否则不得分。（须提供相关专业技术人员半年内连续3个月加盖社保部门公章的社保缴纳明细及相关证明材料的扫描件并加盖单位公章，下属机构或合作机构应提供售后服务能力证明并加盖公章）</w:t>
            </w:r>
          </w:p>
        </w:tc>
        <w:tc>
          <w:tcPr>
            <w:tcW w:w="901" w:type="dxa"/>
            <w:noWrap/>
            <w:vAlign w:val="center"/>
          </w:tcPr>
          <w:p>
            <w:pPr>
              <w:spacing w:line="360" w:lineRule="auto"/>
              <w:jc w:val="center"/>
              <w:rPr>
                <w:rFonts w:ascii="宋体" w:hAnsi="宋体" w:cs="Tahoma"/>
                <w:kern w:val="0"/>
                <w:szCs w:val="21"/>
              </w:rPr>
            </w:pPr>
            <w:r>
              <w:rPr>
                <w:rFonts w:hint="eastAsia" w:ascii="宋体" w:hAnsi="宋体" w:cs="Tahoma"/>
                <w:kern w:val="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00" w:type="dxa"/>
            <w:noWrap/>
            <w:vAlign w:val="center"/>
          </w:tcPr>
          <w:p>
            <w:pPr>
              <w:widowControl/>
              <w:spacing w:line="360" w:lineRule="auto"/>
              <w:jc w:val="center"/>
              <w:rPr>
                <w:rFonts w:ascii="宋体" w:hAnsi="宋体" w:cs="Tahoma"/>
                <w:kern w:val="0"/>
                <w:szCs w:val="21"/>
              </w:rPr>
            </w:pPr>
            <w:r>
              <w:rPr>
                <w:rFonts w:hint="eastAsia" w:ascii="宋体" w:hAnsi="宋体" w:cs="Tahoma"/>
                <w:kern w:val="0"/>
                <w:szCs w:val="21"/>
              </w:rPr>
              <w:t>3</w:t>
            </w:r>
          </w:p>
        </w:tc>
        <w:tc>
          <w:tcPr>
            <w:tcW w:w="1251" w:type="dxa"/>
            <w:noWrap/>
            <w:vAlign w:val="center"/>
          </w:tcPr>
          <w:p>
            <w:pPr>
              <w:widowControl/>
              <w:spacing w:line="360" w:lineRule="auto"/>
              <w:jc w:val="center"/>
              <w:rPr>
                <w:rFonts w:ascii="宋体" w:hAnsi="宋体" w:cs="Courier New"/>
                <w:bCs/>
                <w:szCs w:val="21"/>
              </w:rPr>
            </w:pPr>
            <w:r>
              <w:rPr>
                <w:rFonts w:hint="eastAsia" w:ascii="宋体" w:hAnsi="宋体" w:cs="Courier New"/>
                <w:bCs/>
                <w:szCs w:val="21"/>
              </w:rPr>
              <w:t>商务分</w:t>
            </w:r>
          </w:p>
        </w:tc>
        <w:tc>
          <w:tcPr>
            <w:tcW w:w="6238" w:type="dxa"/>
            <w:noWrap/>
            <w:vAlign w:val="center"/>
          </w:tcPr>
          <w:p>
            <w:pPr>
              <w:widowControl/>
              <w:spacing w:line="360" w:lineRule="auto"/>
              <w:jc w:val="center"/>
              <w:rPr>
                <w:rFonts w:ascii="宋体" w:hAnsi="宋体" w:cs="宋体"/>
                <w:kern w:val="0"/>
                <w:szCs w:val="21"/>
              </w:rPr>
            </w:pPr>
            <w:r>
              <w:rPr>
                <w:rFonts w:hint="eastAsia" w:ascii="宋体" w:hAnsi="宋体" w:cs="宋体"/>
                <w:kern w:val="0"/>
                <w:szCs w:val="21"/>
              </w:rPr>
              <w:t>评审因素</w:t>
            </w:r>
          </w:p>
        </w:tc>
        <w:tc>
          <w:tcPr>
            <w:tcW w:w="901" w:type="dxa"/>
            <w:vAlign w:val="center"/>
          </w:tcPr>
          <w:p>
            <w:pPr>
              <w:widowControl/>
              <w:spacing w:line="360" w:lineRule="auto"/>
              <w:jc w:val="center"/>
              <w:rPr>
                <w:rFonts w:ascii="宋体" w:hAnsi="宋体" w:cs="宋体"/>
                <w:kern w:val="0"/>
                <w:szCs w:val="21"/>
              </w:rPr>
            </w:pPr>
            <w:r>
              <w:rPr>
                <w:rFonts w:hint="eastAsia" w:ascii="宋体" w:hAnsi="宋体" w:cs="Courier New"/>
                <w:bCs/>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0" w:type="dxa"/>
            <w:noWrap/>
            <w:vAlign w:val="center"/>
          </w:tcPr>
          <w:p>
            <w:pPr>
              <w:widowControl/>
              <w:spacing w:line="360" w:lineRule="auto"/>
              <w:jc w:val="center"/>
              <w:rPr>
                <w:rFonts w:ascii="宋体" w:hAnsi="宋体" w:cs="Tahoma"/>
                <w:kern w:val="0"/>
                <w:szCs w:val="21"/>
              </w:rPr>
            </w:pPr>
            <w:r>
              <w:rPr>
                <w:rFonts w:ascii="宋体" w:hAnsi="宋体" w:cs="Tahoma"/>
                <w:kern w:val="0"/>
                <w:szCs w:val="21"/>
              </w:rPr>
              <w:t>3.1</w:t>
            </w:r>
          </w:p>
        </w:tc>
        <w:tc>
          <w:tcPr>
            <w:tcW w:w="1251" w:type="dxa"/>
            <w:noWrap/>
            <w:vAlign w:val="center"/>
          </w:tcPr>
          <w:p>
            <w:pPr>
              <w:widowControl/>
              <w:jc w:val="center"/>
              <w:textAlignment w:val="center"/>
              <w:rPr>
                <w:rFonts w:ascii="宋体" w:hAnsi="宋体" w:cs="宋体"/>
                <w:szCs w:val="21"/>
              </w:rPr>
            </w:pPr>
            <w:r>
              <w:rPr>
                <w:rFonts w:hint="eastAsia" w:ascii="宋体" w:hAnsi="宋体" w:cs="Courier New"/>
                <w:bCs/>
                <w:szCs w:val="21"/>
              </w:rPr>
              <w:t>信誉分</w:t>
            </w:r>
          </w:p>
        </w:tc>
        <w:tc>
          <w:tcPr>
            <w:tcW w:w="6238" w:type="dxa"/>
            <w:noWrap/>
            <w:vAlign w:val="center"/>
          </w:tcPr>
          <w:p>
            <w:pPr>
              <w:spacing w:line="380" w:lineRule="exact"/>
              <w:rPr>
                <w:rFonts w:ascii="宋体" w:hAnsi="宋体"/>
                <w:szCs w:val="21"/>
              </w:rPr>
            </w:pPr>
            <w:r>
              <w:rPr>
                <w:rFonts w:hint="eastAsia" w:ascii="宋体" w:hAnsi="宋体"/>
                <w:szCs w:val="21"/>
              </w:rPr>
              <w:t>（1）供应商具备ITSS信息技术服务标准符合性证书三级及以上的得2分，否则得0分。</w:t>
            </w:r>
          </w:p>
          <w:p>
            <w:pPr>
              <w:spacing w:line="380" w:lineRule="exact"/>
              <w:rPr>
                <w:rFonts w:ascii="宋体" w:hAnsi="宋体"/>
                <w:szCs w:val="21"/>
              </w:rPr>
            </w:pPr>
            <w:r>
              <w:rPr>
                <w:rFonts w:hint="eastAsia" w:ascii="宋体" w:hAnsi="宋体"/>
                <w:szCs w:val="21"/>
              </w:rPr>
              <w:t>（2）供应商具有有效的质量管理体系认证证书、服务管理体系认证证书、信息安全管理体系认证证书、职业健康安全管理体系证书、环境管理体系认证证书，每提供1项得2分 ，本项满分8分。</w:t>
            </w:r>
            <w:r>
              <w:rPr>
                <w:rFonts w:hint="eastAsia" w:ascii="宋体" w:hAnsi="宋体"/>
                <w:szCs w:val="21"/>
              </w:rPr>
              <w:br w:type="textWrapping"/>
            </w:r>
            <w:r>
              <w:rPr>
                <w:rFonts w:hint="eastAsia" w:ascii="宋体" w:hAnsi="宋体"/>
                <w:szCs w:val="21"/>
              </w:rPr>
              <w:t>（3）供应商具备同类业务平台推广服务优秀经验，提供相关荣誉证书、表彰等证明材料，每提供1项，得0.5分，本项满分4分。</w:t>
            </w:r>
          </w:p>
          <w:p>
            <w:pPr>
              <w:spacing w:line="380" w:lineRule="exact"/>
              <w:rPr>
                <w:rFonts w:ascii="宋体" w:hAnsi="宋体"/>
                <w:szCs w:val="21"/>
              </w:rPr>
            </w:pPr>
            <w:r>
              <w:rPr>
                <w:rFonts w:hint="eastAsia" w:ascii="宋体" w:hAnsi="宋体"/>
                <w:szCs w:val="21"/>
              </w:rPr>
              <w:t>注：上述证书</w:t>
            </w:r>
            <w:r>
              <w:rPr>
                <w:rFonts w:ascii="宋体" w:hAnsi="宋体"/>
                <w:szCs w:val="21"/>
              </w:rPr>
              <w:t>须提供证书</w:t>
            </w:r>
            <w:r>
              <w:rPr>
                <w:rFonts w:hint="eastAsia" w:ascii="宋体" w:hAnsi="宋体"/>
                <w:szCs w:val="21"/>
              </w:rPr>
              <w:t>扫描件并加盖单位公章。</w:t>
            </w:r>
          </w:p>
        </w:tc>
        <w:tc>
          <w:tcPr>
            <w:tcW w:w="901" w:type="dxa"/>
            <w:noWrap/>
            <w:vAlign w:val="center"/>
          </w:tcPr>
          <w:p>
            <w:pPr>
              <w:widowControl/>
              <w:spacing w:line="360" w:lineRule="auto"/>
              <w:jc w:val="center"/>
              <w:rPr>
                <w:rFonts w:ascii="宋体" w:hAnsi="宋体" w:cs="Tahoma"/>
                <w:kern w:val="0"/>
                <w:szCs w:val="21"/>
              </w:rPr>
            </w:pPr>
            <w:r>
              <w:rPr>
                <w:rFonts w:hint="eastAsia" w:ascii="宋体" w:hAnsi="宋体" w:cs="Tahoma"/>
                <w:kern w:val="0"/>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700" w:type="dxa"/>
            <w:noWrap/>
            <w:vAlign w:val="center"/>
          </w:tcPr>
          <w:p>
            <w:pPr>
              <w:widowControl/>
              <w:spacing w:line="360" w:lineRule="auto"/>
              <w:jc w:val="center"/>
              <w:rPr>
                <w:rFonts w:ascii="宋体" w:hAnsi="宋体" w:cs="Tahoma"/>
                <w:kern w:val="0"/>
                <w:szCs w:val="21"/>
              </w:rPr>
            </w:pPr>
            <w:r>
              <w:rPr>
                <w:rFonts w:ascii="宋体" w:hAnsi="宋体" w:cs="Tahoma"/>
                <w:kern w:val="0"/>
                <w:szCs w:val="21"/>
              </w:rPr>
              <w:t>3.2</w:t>
            </w:r>
          </w:p>
        </w:tc>
        <w:tc>
          <w:tcPr>
            <w:tcW w:w="1251" w:type="dxa"/>
            <w:noWrap/>
            <w:vAlign w:val="center"/>
          </w:tcPr>
          <w:p>
            <w:pPr>
              <w:widowControl/>
              <w:jc w:val="center"/>
              <w:textAlignment w:val="center"/>
              <w:rPr>
                <w:rFonts w:ascii="宋体" w:hAnsi="宋体" w:cs="宋体"/>
                <w:szCs w:val="21"/>
              </w:rPr>
            </w:pPr>
            <w:r>
              <w:rPr>
                <w:rFonts w:hint="eastAsia" w:ascii="宋体" w:hAnsi="宋体" w:cs="Courier New"/>
                <w:bCs/>
                <w:szCs w:val="21"/>
              </w:rPr>
              <w:t>项目业绩分</w:t>
            </w:r>
          </w:p>
        </w:tc>
        <w:tc>
          <w:tcPr>
            <w:tcW w:w="6238" w:type="dxa"/>
            <w:noWrap/>
            <w:vAlign w:val="center"/>
          </w:tcPr>
          <w:p>
            <w:pPr>
              <w:spacing w:line="380" w:lineRule="exact"/>
              <w:rPr>
                <w:rFonts w:ascii="宋体" w:hAnsi="宋体"/>
                <w:szCs w:val="21"/>
              </w:rPr>
            </w:pPr>
            <w:r>
              <w:rPr>
                <w:rFonts w:hint="eastAsia" w:ascii="宋体" w:hAnsi="宋体"/>
                <w:szCs w:val="21"/>
              </w:rPr>
              <w:t>自2023年1月1日以来，供应商具有同类业务平台实施或运维服务合同（包括封面页、合同内容关键页、签字盖章页）。每提供1个得2分，不按要求提供不得分，本项满分16分</w:t>
            </w:r>
            <w:r>
              <w:rPr>
                <w:rFonts w:ascii="宋体" w:hAnsi="宋体"/>
                <w:szCs w:val="21"/>
              </w:rPr>
              <w:t>。</w:t>
            </w:r>
          </w:p>
          <w:p>
            <w:pPr>
              <w:spacing w:line="380" w:lineRule="exact"/>
              <w:rPr>
                <w:rFonts w:ascii="宋体" w:hAnsi="宋体"/>
                <w:szCs w:val="21"/>
              </w:rPr>
            </w:pPr>
            <w:r>
              <w:rPr>
                <w:rFonts w:hint="eastAsia" w:ascii="宋体" w:hAnsi="宋体"/>
                <w:szCs w:val="21"/>
              </w:rPr>
              <w:t>注：供应商需同时提供中标/成交通知书扫描件或合同扫描件并加盖</w:t>
            </w:r>
            <w:r>
              <w:rPr>
                <w:rFonts w:hint="eastAsia" w:hAnsi="宋体" w:cs="Courier New"/>
                <w:bCs/>
              </w:rPr>
              <w:t>单位公章</w:t>
            </w:r>
            <w:r>
              <w:rPr>
                <w:rFonts w:hint="eastAsia" w:ascii="宋体" w:hAnsi="宋体"/>
                <w:szCs w:val="21"/>
              </w:rPr>
              <w:t>。</w:t>
            </w:r>
          </w:p>
        </w:tc>
        <w:tc>
          <w:tcPr>
            <w:tcW w:w="901" w:type="dxa"/>
            <w:noWrap/>
            <w:vAlign w:val="center"/>
          </w:tcPr>
          <w:p>
            <w:pPr>
              <w:widowControl/>
              <w:spacing w:line="360" w:lineRule="auto"/>
              <w:jc w:val="center"/>
              <w:rPr>
                <w:rFonts w:ascii="宋体" w:hAnsi="宋体" w:cs="Tahoma"/>
                <w:kern w:val="0"/>
                <w:szCs w:val="21"/>
              </w:rPr>
            </w:pPr>
            <w:r>
              <w:rPr>
                <w:rFonts w:hint="eastAsia" w:ascii="宋体" w:hAnsi="宋体" w:cs="Tahoma"/>
                <w:kern w:val="0"/>
                <w:szCs w:val="21"/>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090" w:type="dxa"/>
            <w:gridSpan w:val="4"/>
            <w:noWrap/>
          </w:tcPr>
          <w:p>
            <w:pPr>
              <w:widowControl/>
              <w:jc w:val="center"/>
              <w:rPr>
                <w:rFonts w:ascii="宋体" w:hAnsi="宋体" w:cs="宋体"/>
                <w:kern w:val="0"/>
                <w:szCs w:val="21"/>
              </w:rPr>
            </w:pPr>
            <w:r>
              <w:rPr>
                <w:rFonts w:hint="eastAsia" w:ascii="宋体" w:hAnsi="宋体" w:cs="宋体"/>
                <w:b/>
                <w:sz w:val="24"/>
              </w:rPr>
              <w:t>总得分＝1＋2＋3</w:t>
            </w:r>
          </w:p>
        </w:tc>
      </w:tr>
      <w:bookmarkEnd w:id="3"/>
    </w:tbl>
    <w:p/>
    <w:p>
      <w:pPr>
        <w:ind w:firstLine="560"/>
      </w:pPr>
    </w:p>
    <w:p>
      <w:pPr>
        <w:pStyle w:val="6"/>
      </w:pPr>
    </w:p>
    <w:p>
      <w:pPr>
        <w:ind w:firstLine="560" w:firstLineChars="200"/>
        <w:rPr>
          <w:rFonts w:ascii="仿宋" w:hAnsi="仿宋" w:eastAsia="仿宋"/>
          <w:sz w:val="28"/>
          <w:szCs w:val="28"/>
        </w:rPr>
      </w:pPr>
      <w:r>
        <w:rPr>
          <w:rFonts w:hint="eastAsia" w:ascii="仿宋" w:hAnsi="仿宋" w:eastAsia="仿宋"/>
          <w:sz w:val="28"/>
          <w:szCs w:val="28"/>
        </w:rPr>
        <w:t xml:space="preserve">                       </w:t>
      </w:r>
    </w:p>
    <w:p>
      <w:pPr>
        <w:ind w:left="3639" w:leftChars="266" w:hanging="3080" w:hangingChars="1100"/>
        <w:jc w:val="right"/>
        <w:rPr>
          <w:rFonts w:ascii="仿宋_GB2312" w:eastAsia="仿宋_GB2312"/>
          <w:b/>
          <w:sz w:val="28"/>
          <w:szCs w:val="28"/>
        </w:rPr>
      </w:pPr>
      <w:r>
        <w:rPr>
          <w:rFonts w:hint="eastAsia" w:ascii="仿宋" w:hAnsi="仿宋" w:eastAsia="仿宋"/>
          <w:sz w:val="28"/>
          <w:szCs w:val="28"/>
        </w:rPr>
        <w:t xml:space="preserve">                广西壮族自治区交通运输综合行政执法局2024年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11</w:t>
      </w:r>
      <w:bookmarkStart w:id="4" w:name="_GoBack"/>
      <w:bookmarkEnd w:id="4"/>
      <w:r>
        <w:rPr>
          <w:rFonts w:hint="eastAsia" w:ascii="仿宋" w:hAnsi="仿宋" w:eastAsia="仿宋"/>
          <w:sz w:val="28"/>
          <w:szCs w:val="28"/>
        </w:rPr>
        <w:t>日</w:t>
      </w:r>
      <w:r>
        <w:rPr>
          <w:rFonts w:ascii="仿宋_GB2312" w:eastAsia="仿宋_GB2312"/>
          <w:b/>
          <w:sz w:val="28"/>
          <w:szCs w:val="28"/>
        </w:rPr>
        <w:br w:type="page"/>
      </w:r>
    </w:p>
    <w:p>
      <w:pPr>
        <w:jc w:val="center"/>
        <w:rPr>
          <w:rFonts w:ascii="仿宋_GB2312" w:eastAsia="仿宋_GB2312"/>
          <w:b/>
          <w:sz w:val="28"/>
          <w:szCs w:val="28"/>
        </w:rPr>
      </w:pPr>
      <w:r>
        <w:rPr>
          <w:rFonts w:hint="eastAsia" w:ascii="仿宋_GB2312" w:eastAsia="仿宋_GB2312"/>
          <w:b/>
          <w:sz w:val="28"/>
          <w:szCs w:val="28"/>
        </w:rPr>
        <w:t>报价文件格式</w:t>
      </w:r>
    </w:p>
    <w:p>
      <w:pPr>
        <w:rPr>
          <w:rFonts w:ascii="仿宋_GB2312" w:hAnsi="宋体" w:eastAsia="仿宋_GB2312"/>
          <w:b/>
          <w:sz w:val="28"/>
          <w:szCs w:val="21"/>
        </w:rPr>
      </w:pPr>
      <w:r>
        <w:rPr>
          <w:rFonts w:hint="eastAsia" w:ascii="仿宋_GB2312" w:hAnsi="宋体" w:eastAsia="仿宋_GB2312"/>
          <w:b/>
          <w:sz w:val="28"/>
          <w:szCs w:val="21"/>
        </w:rPr>
        <w:t>一、声明书</w:t>
      </w:r>
    </w:p>
    <w:p>
      <w:pPr>
        <w:rPr>
          <w:rFonts w:ascii="仿宋_GB2312" w:hAnsi="宋体" w:eastAsia="仿宋_GB2312"/>
          <w:b/>
          <w:sz w:val="28"/>
          <w:szCs w:val="21"/>
        </w:rPr>
      </w:pPr>
      <w:r>
        <w:rPr>
          <w:rFonts w:hint="eastAsia" w:ascii="仿宋_GB2312" w:hAnsi="宋体" w:eastAsia="仿宋_GB2312"/>
          <w:b/>
          <w:sz w:val="28"/>
          <w:szCs w:val="21"/>
        </w:rPr>
        <w:t>二、服务方案</w:t>
      </w:r>
    </w:p>
    <w:p>
      <w:pPr>
        <w:rPr>
          <w:rFonts w:ascii="仿宋_GB2312" w:hAnsi="宋体" w:eastAsia="仿宋_GB2312"/>
          <w:b/>
          <w:sz w:val="28"/>
          <w:szCs w:val="21"/>
        </w:rPr>
      </w:pPr>
      <w:r>
        <w:rPr>
          <w:rFonts w:hint="eastAsia" w:ascii="仿宋_GB2312" w:hAnsi="宋体" w:eastAsia="仿宋_GB2312"/>
          <w:b/>
          <w:sz w:val="28"/>
          <w:szCs w:val="21"/>
        </w:rPr>
        <w:t>三、报价表</w:t>
      </w:r>
    </w:p>
    <w:p>
      <w:pPr>
        <w:rPr>
          <w:rFonts w:ascii="仿宋_GB2312" w:hAnsi="宋体" w:eastAsia="仿宋_GB2312"/>
          <w:b/>
          <w:sz w:val="28"/>
          <w:szCs w:val="21"/>
        </w:rPr>
      </w:pPr>
      <w:r>
        <w:rPr>
          <w:rFonts w:hint="eastAsia" w:ascii="仿宋_GB2312" w:hAnsi="宋体" w:eastAsia="仿宋_GB2312"/>
          <w:b/>
          <w:sz w:val="28"/>
          <w:szCs w:val="21"/>
        </w:rPr>
        <w:t>四</w:t>
      </w:r>
      <w:r>
        <w:rPr>
          <w:rFonts w:ascii="仿宋_GB2312" w:hAnsi="宋体" w:eastAsia="仿宋_GB2312"/>
          <w:b/>
          <w:sz w:val="28"/>
          <w:szCs w:val="21"/>
        </w:rPr>
        <w:t>、</w:t>
      </w:r>
      <w:r>
        <w:rPr>
          <w:rFonts w:hint="eastAsia" w:ascii="仿宋_GB2312" w:hAnsi="宋体" w:eastAsia="仿宋_GB2312"/>
          <w:b/>
          <w:sz w:val="28"/>
          <w:szCs w:val="21"/>
        </w:rPr>
        <w:t>营业执照复印件</w:t>
      </w:r>
    </w:p>
    <w:p>
      <w:pPr>
        <w:rPr>
          <w:rFonts w:ascii="仿宋_GB2312" w:hAnsi="宋体" w:eastAsia="仿宋_GB2312"/>
          <w:b/>
          <w:sz w:val="28"/>
          <w:szCs w:val="21"/>
        </w:rPr>
      </w:pPr>
      <w:r>
        <w:rPr>
          <w:rFonts w:hint="eastAsia" w:ascii="仿宋_GB2312" w:hAnsi="宋体" w:eastAsia="仿宋_GB2312"/>
          <w:b/>
          <w:sz w:val="28"/>
          <w:szCs w:val="21"/>
        </w:rPr>
        <w:t>五、法定代表人授权书（如非法定代表人报价请提供）</w:t>
      </w:r>
    </w:p>
    <w:p>
      <w:pPr>
        <w:rPr>
          <w:rFonts w:ascii="仿宋_GB2312" w:hAnsi="宋体" w:eastAsia="仿宋_GB2312"/>
          <w:b/>
          <w:sz w:val="28"/>
          <w:szCs w:val="21"/>
        </w:rPr>
      </w:pPr>
      <w:r>
        <w:rPr>
          <w:rFonts w:hint="eastAsia" w:ascii="仿宋_GB2312" w:hAnsi="宋体" w:eastAsia="仿宋_GB2312"/>
          <w:b/>
          <w:sz w:val="28"/>
          <w:szCs w:val="21"/>
        </w:rPr>
        <w:t>六、相关业绩证明材料</w:t>
      </w:r>
    </w:p>
    <w:p>
      <w:pPr>
        <w:rPr>
          <w:rFonts w:ascii="仿宋_GB2312" w:hAnsi="宋体" w:eastAsia="仿宋_GB2312"/>
          <w:b/>
          <w:sz w:val="28"/>
          <w:szCs w:val="21"/>
        </w:rPr>
      </w:pPr>
      <w:r>
        <w:rPr>
          <w:rFonts w:hint="eastAsia" w:ascii="仿宋_GB2312" w:hAnsi="宋体" w:eastAsia="仿宋_GB2312"/>
          <w:b/>
          <w:sz w:val="28"/>
          <w:szCs w:val="21"/>
        </w:rPr>
        <w:t>七、其他需要提供的材料</w:t>
      </w:r>
    </w:p>
    <w:p>
      <w:pPr>
        <w:rPr>
          <w:rFonts w:ascii="仿宋_GB2312" w:hAnsi="宋体" w:eastAsia="仿宋_GB2312"/>
          <w:b/>
          <w:sz w:val="28"/>
          <w:szCs w:val="21"/>
        </w:rPr>
      </w:pPr>
    </w:p>
    <w:p>
      <w:pPr>
        <w:rPr>
          <w:rFonts w:ascii="仿宋_GB2312" w:hAnsi="宋体" w:eastAsia="仿宋_GB2312"/>
          <w:b/>
          <w:sz w:val="28"/>
          <w:szCs w:val="21"/>
        </w:rPr>
      </w:pPr>
    </w:p>
    <w:p>
      <w:pPr>
        <w:rPr>
          <w:rFonts w:ascii="仿宋_GB2312" w:hAnsi="宋体" w:eastAsia="仿宋_GB2312"/>
          <w:b/>
          <w:sz w:val="28"/>
          <w:szCs w:val="21"/>
        </w:rPr>
      </w:pPr>
    </w:p>
    <w:p>
      <w:pPr>
        <w:rPr>
          <w:rFonts w:ascii="仿宋_GB2312" w:hAnsi="宋体" w:eastAsia="仿宋_GB2312"/>
          <w:b/>
          <w:sz w:val="28"/>
          <w:szCs w:val="21"/>
        </w:rPr>
      </w:pPr>
    </w:p>
    <w:p>
      <w:pPr>
        <w:rPr>
          <w:rFonts w:ascii="仿宋_GB2312" w:hAnsi="宋体" w:eastAsia="仿宋_GB2312"/>
          <w:b/>
          <w:sz w:val="28"/>
          <w:szCs w:val="21"/>
        </w:rPr>
      </w:pPr>
    </w:p>
    <w:p>
      <w:pPr>
        <w:rPr>
          <w:rFonts w:ascii="仿宋_GB2312" w:hAnsi="宋体" w:eastAsia="仿宋_GB2312"/>
          <w:b/>
          <w:sz w:val="28"/>
          <w:szCs w:val="21"/>
        </w:rPr>
      </w:pPr>
    </w:p>
    <w:p>
      <w:pPr>
        <w:rPr>
          <w:rFonts w:ascii="仿宋_GB2312" w:hAnsi="宋体" w:eastAsia="仿宋_GB2312"/>
          <w:b/>
          <w:sz w:val="28"/>
          <w:szCs w:val="21"/>
        </w:rPr>
      </w:pPr>
    </w:p>
    <w:p>
      <w:pPr>
        <w:rPr>
          <w:rFonts w:ascii="仿宋_GB2312" w:hAnsi="宋体" w:eastAsia="仿宋_GB2312"/>
          <w:b/>
          <w:sz w:val="28"/>
          <w:szCs w:val="21"/>
        </w:rPr>
      </w:pPr>
    </w:p>
    <w:p>
      <w:pPr>
        <w:rPr>
          <w:rFonts w:ascii="仿宋_GB2312" w:hAnsi="宋体" w:eastAsia="仿宋_GB2312"/>
          <w:b/>
          <w:sz w:val="28"/>
          <w:szCs w:val="21"/>
        </w:rPr>
      </w:pPr>
    </w:p>
    <w:p>
      <w:pPr>
        <w:rPr>
          <w:rFonts w:ascii="仿宋_GB2312" w:hAnsi="宋体" w:eastAsia="仿宋_GB2312"/>
          <w:b/>
          <w:sz w:val="28"/>
          <w:szCs w:val="21"/>
        </w:rPr>
      </w:pPr>
    </w:p>
    <w:p>
      <w:pPr>
        <w:rPr>
          <w:rFonts w:ascii="仿宋_GB2312" w:hAnsi="宋体" w:eastAsia="仿宋_GB2312"/>
          <w:b/>
          <w:sz w:val="28"/>
          <w:szCs w:val="21"/>
        </w:rPr>
      </w:pPr>
    </w:p>
    <w:p>
      <w:pPr>
        <w:rPr>
          <w:rFonts w:ascii="仿宋_GB2312" w:hAnsi="宋体" w:eastAsia="仿宋_GB2312"/>
          <w:b/>
          <w:sz w:val="28"/>
          <w:szCs w:val="21"/>
        </w:rPr>
      </w:pPr>
    </w:p>
    <w:p>
      <w:pPr>
        <w:rPr>
          <w:rFonts w:ascii="仿宋_GB2312" w:hAnsi="宋体" w:eastAsia="仿宋_GB2312"/>
          <w:b/>
          <w:sz w:val="28"/>
          <w:szCs w:val="21"/>
        </w:rPr>
      </w:pPr>
    </w:p>
    <w:p>
      <w:pPr>
        <w:widowControl/>
        <w:jc w:val="left"/>
        <w:rPr>
          <w:rFonts w:ascii="仿宋_GB2312" w:hAnsi="楷体" w:eastAsia="仿宋_GB2312"/>
          <w:b/>
          <w:sz w:val="32"/>
          <w:szCs w:val="32"/>
        </w:rPr>
      </w:pPr>
      <w:r>
        <w:rPr>
          <w:rFonts w:ascii="仿宋_GB2312" w:hAnsi="楷体" w:eastAsia="仿宋_GB2312"/>
          <w:b/>
          <w:sz w:val="32"/>
          <w:szCs w:val="32"/>
        </w:rPr>
        <w:br w:type="page"/>
      </w:r>
    </w:p>
    <w:p>
      <w:pPr>
        <w:spacing w:line="240" w:lineRule="atLeast"/>
        <w:ind w:right="-317" w:rightChars="-151"/>
        <w:jc w:val="center"/>
        <w:rPr>
          <w:rFonts w:ascii="仿宋_GB2312" w:hAnsi="楷体" w:eastAsia="仿宋_GB2312"/>
          <w:b/>
          <w:sz w:val="32"/>
          <w:szCs w:val="32"/>
        </w:rPr>
      </w:pPr>
      <w:r>
        <w:rPr>
          <w:rFonts w:hint="eastAsia" w:ascii="仿宋_GB2312" w:hAnsi="楷体" w:eastAsia="仿宋_GB2312"/>
          <w:b/>
          <w:sz w:val="32"/>
          <w:szCs w:val="32"/>
        </w:rPr>
        <w:t>声明书</w:t>
      </w:r>
    </w:p>
    <w:p>
      <w:pPr>
        <w:spacing w:line="360" w:lineRule="auto"/>
        <w:rPr>
          <w:rFonts w:ascii="仿宋_GB2312" w:hAnsi="宋体" w:eastAsia="仿宋_GB2312"/>
          <w:sz w:val="24"/>
        </w:rPr>
      </w:pPr>
      <w:r>
        <w:rPr>
          <w:rFonts w:hint="eastAsia" w:ascii="仿宋_GB2312" w:hAnsi="宋体" w:eastAsia="仿宋_GB2312"/>
          <w:sz w:val="24"/>
        </w:rPr>
        <w:t>广西壮族自治区交通运输综合行政执法局：</w:t>
      </w:r>
    </w:p>
    <w:p>
      <w:pPr>
        <w:spacing w:line="360" w:lineRule="auto"/>
        <w:ind w:firstLine="480" w:firstLineChars="200"/>
        <w:rPr>
          <w:rFonts w:ascii="仿宋_GB2312" w:hAnsi="宋体" w:eastAsia="仿宋_GB2312" w:cs="仿宋_GB2312"/>
          <w:sz w:val="24"/>
          <w:u w:val="single"/>
        </w:rPr>
      </w:pPr>
      <w:r>
        <w:rPr>
          <w:rFonts w:hint="eastAsia" w:ascii="仿宋_GB2312" w:hAnsi="宋体" w:eastAsia="仿宋_GB2312" w:cs="仿宋_GB2312"/>
          <w:sz w:val="24"/>
        </w:rPr>
        <w:t>依据贵方</w:t>
      </w:r>
      <w:r>
        <w:rPr>
          <w:rFonts w:hint="eastAsia" w:ascii="仿宋_GB2312" w:hAnsi="宋体" w:eastAsia="仿宋_GB2312" w:cs="仿宋_GB2312"/>
          <w:sz w:val="24"/>
          <w:u w:val="single"/>
        </w:rPr>
        <w:t>广西党政机关综合办公平台推广服务项目</w:t>
      </w:r>
      <w:r>
        <w:rPr>
          <w:rFonts w:hint="eastAsia" w:ascii="仿宋_GB2312" w:hAnsi="宋体" w:eastAsia="仿宋_GB2312" w:cs="仿宋_GB2312"/>
          <w:sz w:val="24"/>
        </w:rPr>
        <w:t>的询价采购邀请，我方</w:t>
      </w:r>
      <w:r>
        <w:rPr>
          <w:rFonts w:hint="eastAsia" w:ascii="仿宋_GB2312" w:hAnsi="宋体" w:eastAsia="仿宋_GB2312" w:cs="仿宋_GB2312"/>
          <w:sz w:val="24"/>
          <w:u w:val="single"/>
        </w:rPr>
        <w:t xml:space="preserve">（委托代理人名字）    </w:t>
      </w:r>
      <w:r>
        <w:rPr>
          <w:rFonts w:hint="eastAsia" w:ascii="仿宋_GB2312" w:hAnsi="宋体" w:eastAsia="仿宋_GB2312" w:cs="仿宋_GB2312"/>
          <w:sz w:val="24"/>
        </w:rPr>
        <w:t>经正式授权并代表报价方</w:t>
      </w:r>
      <w:r>
        <w:rPr>
          <w:rFonts w:hint="eastAsia" w:ascii="仿宋_GB2312" w:hAnsi="宋体" w:eastAsia="仿宋_GB2312" w:cs="仿宋_GB2312"/>
          <w:sz w:val="24"/>
          <w:u w:val="single"/>
        </w:rPr>
        <w:t xml:space="preserve">      （名称）</w:t>
      </w:r>
      <w:r>
        <w:rPr>
          <w:rFonts w:hint="eastAsia" w:ascii="仿宋_GB2312" w:hAnsi="宋体" w:eastAsia="仿宋_GB2312"/>
          <w:sz w:val="24"/>
        </w:rPr>
        <w:t>提交“报价文件”正本一份，副本两份。</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在此，授权代表宣布同意如下：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1.报价方已详细审查“采购文件”，已经了解我方对于采购文件、采购过程、采购结果有依法进行询问、质疑、投诉的权利及相关渠道和要求。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2.报价方在报价之前已经与采购方进行了充分的沟通，完全理解并接受采购文件的各项规定和要求，对采购文件的合理性、合法性不再有异议。</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3.本报价有效期自开标日起</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rPr>
        <w:t>个自然日。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4.如成交，本报价文件至本项目合同履行完毕止均保持有效，报价方将按“采购文件”及政府采购法律、法规的规定履行合同责任和义务。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5.报价方同意按照采购方要求提供与报价有关的一切数据或资料。</w:t>
      </w:r>
    </w:p>
    <w:p>
      <w:pPr>
        <w:ind w:firstLine="5400" w:firstLineChars="2250"/>
        <w:rPr>
          <w:rFonts w:ascii="仿宋_GB2312" w:hAnsi="宋体" w:eastAsia="仿宋_GB2312"/>
          <w:sz w:val="24"/>
        </w:rPr>
      </w:pPr>
    </w:p>
    <w:p>
      <w:pPr>
        <w:ind w:firstLine="5400" w:firstLineChars="2250"/>
        <w:rPr>
          <w:rFonts w:ascii="仿宋_GB2312" w:hAnsi="宋体" w:eastAsia="仿宋_GB2312"/>
          <w:sz w:val="24"/>
        </w:rPr>
      </w:pPr>
    </w:p>
    <w:p>
      <w:pPr>
        <w:ind w:firstLine="5400" w:firstLineChars="2250"/>
        <w:rPr>
          <w:rFonts w:ascii="仿宋_GB2312" w:hAnsi="宋体" w:eastAsia="仿宋_GB2312"/>
          <w:sz w:val="24"/>
        </w:rPr>
      </w:pPr>
    </w:p>
    <w:p>
      <w:pPr>
        <w:ind w:firstLine="5400" w:firstLineChars="2250"/>
        <w:rPr>
          <w:rFonts w:ascii="仿宋_GB2312" w:hAnsi="宋体" w:eastAsia="仿宋_GB2312"/>
          <w:sz w:val="24"/>
        </w:rPr>
      </w:pPr>
      <w:r>
        <w:rPr>
          <w:rFonts w:hint="eastAsia" w:ascii="仿宋_GB2312" w:hAnsi="宋体" w:eastAsia="仿宋_GB2312"/>
          <w:sz w:val="24"/>
        </w:rPr>
        <w:t>日期：        年   月  日</w:t>
      </w: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报价方法定代表人或委托代理人签字：</w:t>
      </w:r>
    </w:p>
    <w:p>
      <w:pPr>
        <w:spacing w:line="360" w:lineRule="auto"/>
        <w:rPr>
          <w:rFonts w:ascii="仿宋_GB2312" w:hAnsi="宋体" w:eastAsia="仿宋_GB2312"/>
          <w:sz w:val="24"/>
          <w:u w:val="single"/>
        </w:rPr>
      </w:pPr>
      <w:r>
        <w:rPr>
          <w:rFonts w:hint="eastAsia" w:ascii="仿宋_GB2312" w:hAnsi="宋体" w:eastAsia="仿宋_GB2312"/>
          <w:sz w:val="24"/>
        </w:rPr>
        <w:t>报价方名称（公章）：</w:t>
      </w:r>
    </w:p>
    <w:p>
      <w:pPr>
        <w:spacing w:line="360" w:lineRule="auto"/>
        <w:rPr>
          <w:rFonts w:ascii="仿宋_GB2312" w:hAnsi="宋体" w:eastAsia="仿宋_GB2312"/>
          <w:sz w:val="24"/>
          <w:u w:val="single"/>
        </w:rPr>
      </w:pPr>
      <w:r>
        <w:rPr>
          <w:rFonts w:hint="eastAsia" w:ascii="仿宋_GB2312" w:hAnsi="宋体" w:eastAsia="仿宋_GB2312"/>
          <w:sz w:val="24"/>
        </w:rPr>
        <w:t>开户名称：</w:t>
      </w:r>
    </w:p>
    <w:p>
      <w:pPr>
        <w:pStyle w:val="7"/>
        <w:spacing w:line="360" w:lineRule="auto"/>
        <w:rPr>
          <w:rFonts w:ascii="仿宋_GB2312" w:hAnsi="宋体" w:eastAsia="仿宋_GB2312" w:cs="宋体"/>
          <w:sz w:val="24"/>
          <w:szCs w:val="24"/>
          <w:u w:val="single"/>
        </w:rPr>
      </w:pPr>
      <w:r>
        <w:rPr>
          <w:rFonts w:hint="eastAsia" w:ascii="仿宋_GB2312" w:hAnsi="宋体" w:eastAsia="仿宋_GB2312"/>
          <w:sz w:val="24"/>
          <w:szCs w:val="24"/>
        </w:rPr>
        <w:t>开户银行：</w:t>
      </w:r>
    </w:p>
    <w:p>
      <w:pPr>
        <w:spacing w:line="240" w:lineRule="atLeast"/>
        <w:ind w:right="-317" w:rightChars="-151"/>
        <w:rPr>
          <w:rFonts w:ascii="仿宋_GB2312" w:hAnsi="宋体" w:eastAsia="仿宋_GB2312"/>
          <w:b/>
          <w:sz w:val="28"/>
          <w:szCs w:val="21"/>
        </w:rPr>
      </w:pPr>
      <w:r>
        <w:rPr>
          <w:rFonts w:hint="eastAsia" w:ascii="仿宋_GB2312" w:hAnsi="宋体" w:eastAsia="仿宋_GB2312"/>
          <w:sz w:val="24"/>
        </w:rPr>
        <w:t>账    号：</w:t>
      </w:r>
      <w:r>
        <w:rPr>
          <w:rFonts w:hint="eastAsia" w:ascii="仿宋_GB2312" w:hAnsi="宋体" w:eastAsia="仿宋_GB2312"/>
          <w:b/>
          <w:sz w:val="28"/>
          <w:szCs w:val="21"/>
        </w:rPr>
        <w:t xml:space="preserve"> </w:t>
      </w:r>
    </w:p>
    <w:p>
      <w:pPr>
        <w:spacing w:line="240" w:lineRule="atLeast"/>
        <w:ind w:right="-317" w:rightChars="-151"/>
        <w:jc w:val="center"/>
        <w:rPr>
          <w:rFonts w:ascii="仿宋_GB2312" w:hAnsi="宋体" w:eastAsia="仿宋_GB2312"/>
          <w:b/>
          <w:sz w:val="28"/>
          <w:szCs w:val="21"/>
        </w:rPr>
      </w:pPr>
    </w:p>
    <w:p>
      <w:pPr>
        <w:spacing w:line="240" w:lineRule="atLeast"/>
        <w:ind w:right="-317" w:rightChars="-151"/>
        <w:jc w:val="center"/>
        <w:rPr>
          <w:rFonts w:ascii="仿宋_GB2312" w:hAnsi="宋体" w:eastAsia="仿宋_GB2312"/>
          <w:b/>
          <w:sz w:val="28"/>
          <w:szCs w:val="21"/>
        </w:rPr>
      </w:pPr>
    </w:p>
    <w:p>
      <w:pPr>
        <w:spacing w:line="240" w:lineRule="atLeast"/>
        <w:ind w:right="-317" w:rightChars="-151"/>
        <w:jc w:val="center"/>
        <w:rPr>
          <w:rFonts w:ascii="仿宋_GB2312" w:hAnsi="宋体" w:eastAsia="仿宋_GB2312"/>
          <w:b/>
          <w:sz w:val="28"/>
          <w:szCs w:val="21"/>
        </w:rPr>
      </w:pPr>
    </w:p>
    <w:p>
      <w:pPr>
        <w:spacing w:line="240" w:lineRule="atLeast"/>
        <w:ind w:right="-317" w:rightChars="-151"/>
        <w:rPr>
          <w:rFonts w:ascii="仿宋_GB2312" w:hAnsi="宋体" w:eastAsia="仿宋_GB2312"/>
          <w:b/>
          <w:sz w:val="28"/>
          <w:szCs w:val="21"/>
        </w:rPr>
      </w:pPr>
    </w:p>
    <w:p>
      <w:pPr>
        <w:spacing w:line="240" w:lineRule="atLeast"/>
        <w:ind w:right="-317" w:rightChars="-151"/>
        <w:jc w:val="center"/>
        <w:rPr>
          <w:rFonts w:ascii="仿宋_GB2312" w:hAnsi="楷体" w:eastAsia="仿宋_GB2312"/>
          <w:b/>
          <w:sz w:val="32"/>
          <w:szCs w:val="32"/>
        </w:rPr>
      </w:pPr>
      <w:r>
        <w:rPr>
          <w:rFonts w:hint="eastAsia" w:ascii="仿宋_GB2312" w:hAnsi="楷体" w:eastAsia="仿宋_GB2312"/>
          <w:b/>
          <w:sz w:val="32"/>
          <w:szCs w:val="32"/>
        </w:rPr>
        <w:t>服务方案</w:t>
      </w: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b/>
          <w:sz w:val="32"/>
          <w:szCs w:val="32"/>
        </w:rPr>
      </w:pPr>
    </w:p>
    <w:p>
      <w:pPr>
        <w:spacing w:line="240" w:lineRule="atLeast"/>
        <w:ind w:right="-317" w:rightChars="-151"/>
        <w:jc w:val="center"/>
        <w:rPr>
          <w:rFonts w:ascii="仿宋_GB2312" w:hAnsi="楷体" w:eastAsia="仿宋_GB2312"/>
          <w:sz w:val="32"/>
          <w:szCs w:val="32"/>
        </w:rPr>
      </w:pPr>
      <w:r>
        <w:rPr>
          <w:rFonts w:hint="eastAsia" w:ascii="仿宋_GB2312" w:hAnsi="楷体" w:eastAsia="仿宋_GB2312"/>
          <w:b/>
          <w:sz w:val="32"/>
          <w:szCs w:val="32"/>
        </w:rPr>
        <w:t>报价表</w:t>
      </w:r>
    </w:p>
    <w:p>
      <w:pPr>
        <w:spacing w:line="240" w:lineRule="atLeast"/>
        <w:rPr>
          <w:rFonts w:ascii="仿宋_GB2312" w:hAnsi="宋体" w:eastAsia="仿宋_GB2312"/>
          <w:szCs w:val="21"/>
        </w:rPr>
      </w:pPr>
    </w:p>
    <w:tbl>
      <w:tblPr>
        <w:tblStyle w:val="11"/>
        <w:tblW w:w="7899" w:type="dxa"/>
        <w:jc w:val="center"/>
        <w:tblLayout w:type="autofit"/>
        <w:tblCellMar>
          <w:top w:w="0" w:type="dxa"/>
          <w:left w:w="108" w:type="dxa"/>
          <w:bottom w:w="0" w:type="dxa"/>
          <w:right w:w="108" w:type="dxa"/>
        </w:tblCellMar>
      </w:tblPr>
      <w:tblGrid>
        <w:gridCol w:w="836"/>
        <w:gridCol w:w="1266"/>
        <w:gridCol w:w="3932"/>
        <w:gridCol w:w="1865"/>
      </w:tblGrid>
      <w:tr>
        <w:tblPrEx>
          <w:tblCellMar>
            <w:top w:w="0" w:type="dxa"/>
            <w:left w:w="108" w:type="dxa"/>
            <w:bottom w:w="0" w:type="dxa"/>
            <w:right w:w="108" w:type="dxa"/>
          </w:tblCellMar>
        </w:tblPrEx>
        <w:trPr>
          <w:trHeight w:val="1135"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项目名称</w:t>
            </w:r>
          </w:p>
        </w:tc>
        <w:tc>
          <w:tcPr>
            <w:tcW w:w="3932" w:type="dxa"/>
            <w:tcBorders>
              <w:top w:val="single" w:color="000000" w:sz="4" w:space="0"/>
              <w:left w:val="nil"/>
              <w:bottom w:val="nil"/>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采购需求</w:t>
            </w:r>
          </w:p>
        </w:tc>
        <w:tc>
          <w:tcPr>
            <w:tcW w:w="186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4"/>
                <w:szCs w:val="20"/>
              </w:rPr>
              <w:t>合计（人民币，元）</w:t>
            </w:r>
          </w:p>
        </w:tc>
      </w:tr>
      <w:tr>
        <w:tblPrEx>
          <w:tblCellMar>
            <w:top w:w="0" w:type="dxa"/>
            <w:left w:w="108" w:type="dxa"/>
            <w:bottom w:w="0" w:type="dxa"/>
            <w:right w:w="108" w:type="dxa"/>
          </w:tblCellMar>
        </w:tblPrEx>
        <w:trPr>
          <w:trHeight w:val="1980" w:hRule="atLeast"/>
          <w:jc w:val="center"/>
        </w:trPr>
        <w:tc>
          <w:tcPr>
            <w:tcW w:w="836"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26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广西党政机关综合办公平台推广服务</w:t>
            </w:r>
          </w:p>
        </w:tc>
        <w:tc>
          <w:tcPr>
            <w:tcW w:w="3932" w:type="dxa"/>
            <w:tcBorders>
              <w:top w:val="single" w:color="auto" w:sz="4" w:space="0"/>
              <w:left w:val="nil"/>
              <w:bottom w:val="single" w:color="auto" w:sz="4" w:space="0"/>
              <w:right w:val="single" w:color="auto" w:sz="4" w:space="0"/>
            </w:tcBorders>
            <w:shd w:val="clear" w:color="auto" w:fill="auto"/>
          </w:tcPr>
          <w:p>
            <w:pPr>
              <w:pStyle w:val="21"/>
              <w:ind w:firstLine="0" w:firstLineChars="0"/>
              <w:rPr>
                <w:rFonts w:ascii="宋体" w:hAnsi="宋体" w:cs="宋体"/>
                <w:sz w:val="24"/>
              </w:rPr>
            </w:pPr>
          </w:p>
        </w:tc>
        <w:tc>
          <w:tcPr>
            <w:tcW w:w="18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bl>
    <w:p>
      <w:pPr>
        <w:spacing w:line="360" w:lineRule="auto"/>
        <w:rPr>
          <w:rFonts w:ascii="仿宋_GB2312" w:hAnsi="宋体" w:eastAsia="仿宋_GB2312"/>
          <w:szCs w:val="21"/>
          <w:u w:val="single"/>
        </w:rPr>
      </w:pPr>
      <w:r>
        <w:rPr>
          <w:rFonts w:hint="eastAsia" w:ascii="仿宋_GB2312" w:hAnsi="宋体" w:eastAsia="仿宋_GB2312"/>
          <w:szCs w:val="21"/>
        </w:rPr>
        <w:t>法定代表人或委托代理人（签字）：</w:t>
      </w:r>
    </w:p>
    <w:p>
      <w:pPr>
        <w:spacing w:line="360" w:lineRule="auto"/>
        <w:rPr>
          <w:rFonts w:ascii="仿宋_GB2312" w:hAnsi="宋体" w:eastAsia="仿宋_GB2312"/>
          <w:szCs w:val="21"/>
        </w:rPr>
      </w:pPr>
      <w:r>
        <w:rPr>
          <w:rFonts w:hint="eastAsia" w:ascii="仿宋_GB2312" w:hAnsi="宋体" w:eastAsia="仿宋_GB2312"/>
          <w:szCs w:val="21"/>
        </w:rPr>
        <w:t>报价方（盖章）：</w:t>
      </w:r>
    </w:p>
    <w:p>
      <w:pPr>
        <w:spacing w:line="360" w:lineRule="auto"/>
        <w:rPr>
          <w:rFonts w:ascii="仿宋_GB2312" w:hAnsi="宋体" w:eastAsia="仿宋_GB2312"/>
          <w:szCs w:val="21"/>
        </w:rPr>
      </w:pPr>
      <w:r>
        <w:rPr>
          <w:rFonts w:hint="eastAsia" w:ascii="仿宋_GB2312" w:hAnsi="宋体" w:eastAsia="仿宋_GB2312"/>
          <w:szCs w:val="21"/>
        </w:rPr>
        <w:t>报价时间：     年    月   日</w:t>
      </w:r>
    </w:p>
    <w:p>
      <w:pPr>
        <w:spacing w:line="240" w:lineRule="atLeast"/>
        <w:rPr>
          <w:rFonts w:ascii="仿宋_GB2312" w:hAnsi="仿宋" w:eastAsia="仿宋_GB2312"/>
          <w:sz w:val="32"/>
          <w:szCs w:val="32"/>
        </w:rPr>
      </w:pPr>
    </w:p>
    <w:p>
      <w:pPr>
        <w:widowControl/>
        <w:jc w:val="left"/>
        <w:rPr>
          <w:rFonts w:ascii="仿宋_GB2312" w:hAnsi="楷体" w:eastAsia="仿宋_GB2312"/>
          <w:b/>
          <w:sz w:val="32"/>
          <w:szCs w:val="32"/>
        </w:rPr>
      </w:pPr>
      <w:r>
        <w:rPr>
          <w:rFonts w:ascii="仿宋_GB2312" w:hAnsi="楷体" w:eastAsia="仿宋_GB2312"/>
          <w:b/>
          <w:sz w:val="32"/>
          <w:szCs w:val="32"/>
        </w:rPr>
        <w:br w:type="page"/>
      </w:r>
    </w:p>
    <w:p>
      <w:pPr>
        <w:pStyle w:val="16"/>
        <w:ind w:firstLine="0" w:firstLineChars="0"/>
        <w:jc w:val="center"/>
        <w:rPr>
          <w:rFonts w:ascii="仿宋_GB2312" w:hAnsi="楷体" w:eastAsia="仿宋_GB2312"/>
          <w:b/>
          <w:sz w:val="32"/>
          <w:szCs w:val="32"/>
        </w:rPr>
      </w:pPr>
      <w:r>
        <w:rPr>
          <w:rFonts w:hint="eastAsia" w:ascii="仿宋_GB2312" w:hAnsi="楷体" w:eastAsia="仿宋_GB2312"/>
          <w:b/>
          <w:sz w:val="32"/>
          <w:szCs w:val="32"/>
        </w:rPr>
        <w:t>营业执照复印件</w:t>
      </w:r>
    </w:p>
    <w:p>
      <w:pPr>
        <w:pStyle w:val="16"/>
        <w:ind w:firstLine="0" w:firstLineChars="0"/>
        <w:jc w:val="center"/>
        <w:rPr>
          <w:rFonts w:ascii="仿宋_GB2312" w:hAnsi="宋体" w:eastAsia="仿宋_GB2312"/>
          <w:sz w:val="28"/>
          <w:szCs w:val="28"/>
        </w:rPr>
      </w:pPr>
    </w:p>
    <w:p>
      <w:pPr>
        <w:rPr>
          <w:rFonts w:ascii="仿宋_GB2312" w:hAnsi="楷体" w:eastAsia="仿宋_GB2312"/>
          <w:b/>
          <w:sz w:val="32"/>
          <w:szCs w:val="32"/>
        </w:rPr>
      </w:pPr>
    </w:p>
    <w:p>
      <w:pPr>
        <w:widowControl/>
        <w:jc w:val="left"/>
        <w:rPr>
          <w:rFonts w:ascii="仿宋_GB2312" w:hAnsi="楷体" w:eastAsia="仿宋_GB2312"/>
          <w:b/>
          <w:sz w:val="32"/>
          <w:szCs w:val="32"/>
        </w:rPr>
      </w:pPr>
      <w:r>
        <w:rPr>
          <w:rFonts w:ascii="仿宋_GB2312" w:hAnsi="楷体" w:eastAsia="仿宋_GB2312"/>
          <w:b/>
          <w:sz w:val="32"/>
          <w:szCs w:val="32"/>
        </w:rPr>
        <w:br w:type="page"/>
      </w:r>
    </w:p>
    <w:p>
      <w:pPr>
        <w:jc w:val="center"/>
        <w:rPr>
          <w:rFonts w:ascii="仿宋_GB2312" w:hAnsi="楷体" w:eastAsia="仿宋_GB2312"/>
          <w:b/>
          <w:sz w:val="32"/>
          <w:szCs w:val="32"/>
        </w:rPr>
      </w:pPr>
      <w:r>
        <w:rPr>
          <w:rFonts w:hint="eastAsia" w:ascii="仿宋_GB2312" w:hAnsi="楷体" w:eastAsia="仿宋_GB2312"/>
          <w:b/>
          <w:sz w:val="32"/>
          <w:szCs w:val="32"/>
        </w:rPr>
        <w:t>法定代表人授权书</w:t>
      </w:r>
    </w:p>
    <w:p>
      <w:pPr>
        <w:pStyle w:val="21"/>
        <w:spacing w:line="360" w:lineRule="auto"/>
        <w:ind w:firstLine="0" w:firstLineChars="0"/>
        <w:rPr>
          <w:rFonts w:ascii="仿宋_GB2312" w:hAnsi="宋体" w:eastAsia="仿宋_GB2312"/>
          <w:sz w:val="24"/>
          <w:szCs w:val="24"/>
        </w:rPr>
      </w:pPr>
    </w:p>
    <w:p>
      <w:pPr>
        <w:pStyle w:val="21"/>
        <w:spacing w:line="360" w:lineRule="auto"/>
        <w:ind w:firstLine="0" w:firstLineChars="0"/>
        <w:rPr>
          <w:rFonts w:ascii="仿宋_GB2312" w:hAnsi="宋体" w:eastAsia="仿宋_GB2312"/>
          <w:sz w:val="24"/>
          <w:szCs w:val="24"/>
        </w:rPr>
      </w:pPr>
      <w:r>
        <w:rPr>
          <w:rFonts w:hint="eastAsia" w:ascii="仿宋_GB2312" w:hAnsi="宋体" w:eastAsia="仿宋_GB2312"/>
          <w:sz w:val="24"/>
          <w:szCs w:val="24"/>
        </w:rPr>
        <w:t>广西壮族自治区交通运输综合行政执法局：</w:t>
      </w:r>
    </w:p>
    <w:p>
      <w:pPr>
        <w:spacing w:line="360" w:lineRule="auto"/>
        <w:ind w:firstLine="480" w:firstLineChars="200"/>
        <w:rPr>
          <w:rFonts w:ascii="仿宋_GB2312" w:hAnsi="宋体" w:eastAsia="仿宋_GB2312" w:cs="宋体"/>
          <w:kern w:val="0"/>
          <w:sz w:val="24"/>
        </w:rPr>
      </w:pPr>
      <w:r>
        <w:rPr>
          <w:rFonts w:hint="eastAsia" w:ascii="仿宋_GB2312" w:hAnsi="宋体" w:eastAsia="仿宋_GB2312"/>
          <w:sz w:val="24"/>
        </w:rPr>
        <w:t>兹授权</w:t>
      </w:r>
      <w:r>
        <w:rPr>
          <w:rFonts w:hint="eastAsia" w:ascii="仿宋_GB2312" w:hAnsi="宋体" w:eastAsia="仿宋_GB2312"/>
          <w:sz w:val="24"/>
          <w:u w:val="single"/>
        </w:rPr>
        <w:t xml:space="preserve">    </w:t>
      </w:r>
      <w:r>
        <w:rPr>
          <w:rFonts w:hint="eastAsia" w:ascii="仿宋_GB2312" w:hAnsi="宋体" w:eastAsia="仿宋_GB2312"/>
          <w:sz w:val="24"/>
        </w:rPr>
        <w:t>同志为我公司参加贵单位组织的</w:t>
      </w:r>
      <w:r>
        <w:rPr>
          <w:rFonts w:hint="eastAsia" w:ascii="仿宋_GB2312" w:hAnsi="宋体" w:eastAsia="仿宋_GB2312"/>
          <w:sz w:val="24"/>
          <w:u w:val="single"/>
        </w:rPr>
        <w:t>广西党政机关综合办公平台推广服务项目</w:t>
      </w:r>
      <w:r>
        <w:rPr>
          <w:rFonts w:hint="eastAsia" w:ascii="仿宋_GB2312" w:hAnsi="宋体" w:eastAsia="仿宋_GB2312" w:cs="仿宋_GB2312"/>
          <w:sz w:val="24"/>
        </w:rPr>
        <w:t>采购</w:t>
      </w:r>
      <w:r>
        <w:rPr>
          <w:rFonts w:hint="eastAsia" w:ascii="仿宋_GB2312" w:hAnsi="宋体" w:eastAsia="仿宋_GB2312"/>
          <w:sz w:val="24"/>
        </w:rPr>
        <w:t>活动的委托代理人，全权代表我公司处理在该项目活动中的一切事宜。代理期限从   年  月  日起至   年  月  日止。</w:t>
      </w:r>
    </w:p>
    <w:p>
      <w:pPr>
        <w:pStyle w:val="21"/>
        <w:spacing w:line="360" w:lineRule="auto"/>
        <w:ind w:firstLine="480"/>
        <w:rPr>
          <w:rFonts w:ascii="仿宋_GB2312" w:hAnsi="宋体" w:eastAsia="仿宋_GB2312"/>
          <w:sz w:val="24"/>
          <w:szCs w:val="24"/>
          <w:u w:val="single"/>
        </w:rPr>
      </w:pPr>
      <w:r>
        <w:rPr>
          <w:rFonts w:hint="eastAsia" w:ascii="仿宋_GB2312" w:hAnsi="宋体" w:eastAsia="仿宋_GB2312"/>
          <w:sz w:val="24"/>
          <w:szCs w:val="24"/>
        </w:rPr>
        <w:t>授权单位（盖章）：</w:t>
      </w:r>
    </w:p>
    <w:p>
      <w:pPr>
        <w:pStyle w:val="21"/>
        <w:spacing w:line="360" w:lineRule="auto"/>
        <w:ind w:firstLine="480"/>
        <w:rPr>
          <w:rFonts w:ascii="仿宋_GB2312" w:hAnsi="宋体" w:eastAsia="仿宋_GB2312"/>
          <w:sz w:val="24"/>
          <w:szCs w:val="24"/>
          <w:u w:val="single"/>
        </w:rPr>
      </w:pPr>
      <w:r>
        <w:rPr>
          <w:rFonts w:hint="eastAsia" w:ascii="仿宋_GB2312" w:hAnsi="宋体" w:eastAsia="仿宋_GB2312"/>
          <w:sz w:val="24"/>
          <w:szCs w:val="24"/>
        </w:rPr>
        <w:t>法定代表人(签字或盖章)：</w:t>
      </w:r>
    </w:p>
    <w:p>
      <w:pPr>
        <w:pStyle w:val="21"/>
        <w:spacing w:line="360" w:lineRule="auto"/>
        <w:ind w:firstLine="480"/>
        <w:rPr>
          <w:rFonts w:ascii="仿宋_GB2312" w:hAnsi="宋体" w:eastAsia="仿宋_GB2312"/>
          <w:sz w:val="24"/>
          <w:szCs w:val="24"/>
        </w:rPr>
      </w:pPr>
      <w:r>
        <w:rPr>
          <w:rFonts w:hint="eastAsia" w:ascii="仿宋_GB2312" w:hAnsi="宋体" w:eastAsia="仿宋_GB2312"/>
          <w:sz w:val="24"/>
          <w:szCs w:val="24"/>
        </w:rPr>
        <w:t>签发日期：   年  月  日</w:t>
      </w:r>
    </w:p>
    <w:p>
      <w:pPr>
        <w:pStyle w:val="21"/>
        <w:spacing w:line="360" w:lineRule="auto"/>
        <w:ind w:firstLine="480"/>
        <w:rPr>
          <w:rFonts w:ascii="仿宋_GB2312" w:hAnsi="宋体" w:eastAsia="仿宋_GB2312" w:cs="仿宋_GB2312"/>
          <w:sz w:val="24"/>
          <w:szCs w:val="24"/>
          <w:u w:val="single"/>
        </w:rPr>
      </w:pPr>
      <w:r>
        <w:rPr>
          <w:rFonts w:hint="eastAsia" w:ascii="仿宋_GB2312" w:hAnsi="宋体" w:eastAsia="仿宋_GB2312"/>
          <w:sz w:val="24"/>
          <w:szCs w:val="24"/>
        </w:rPr>
        <w:t>委托代理人工作单位：</w:t>
      </w:r>
    </w:p>
    <w:p>
      <w:pPr>
        <w:pStyle w:val="21"/>
        <w:spacing w:line="360" w:lineRule="auto"/>
        <w:ind w:firstLine="480"/>
        <w:rPr>
          <w:rFonts w:ascii="仿宋_GB2312" w:hAnsi="宋体" w:eastAsia="仿宋_GB2312"/>
          <w:sz w:val="24"/>
          <w:szCs w:val="24"/>
          <w:u w:val="single"/>
        </w:rPr>
      </w:pPr>
      <w:r>
        <w:rPr>
          <w:rFonts w:hint="eastAsia" w:ascii="仿宋_GB2312" w:hAnsi="宋体" w:eastAsia="仿宋_GB2312"/>
          <w:sz w:val="24"/>
          <w:szCs w:val="24"/>
        </w:rPr>
        <w:t>职务：        性别：</w:t>
      </w:r>
    </w:p>
    <w:p>
      <w:pPr>
        <w:pStyle w:val="21"/>
        <w:spacing w:line="360" w:lineRule="auto"/>
        <w:ind w:firstLine="480"/>
        <w:rPr>
          <w:rFonts w:ascii="仿宋_GB2312" w:hAnsi="宋体" w:eastAsia="仿宋_GB2312"/>
          <w:sz w:val="24"/>
          <w:szCs w:val="24"/>
          <w:u w:val="single"/>
        </w:rPr>
      </w:pPr>
      <w:r>
        <w:rPr>
          <w:rFonts w:hint="eastAsia" w:ascii="仿宋_GB2312" w:hAnsi="宋体" w:eastAsia="仿宋_GB2312"/>
          <w:sz w:val="24"/>
          <w:szCs w:val="24"/>
        </w:rPr>
        <w:t>身份证号码：</w:t>
      </w:r>
    </w:p>
    <w:p>
      <w:pPr>
        <w:pStyle w:val="16"/>
        <w:ind w:firstLine="0" w:firstLineChars="0"/>
        <w:rPr>
          <w:rFonts w:ascii="仿宋_GB2312" w:hAnsi="宋体" w:eastAsia="仿宋_GB2312"/>
          <w:sz w:val="24"/>
          <w:szCs w:val="24"/>
        </w:rPr>
      </w:pPr>
    </w:p>
    <w:p>
      <w:pPr>
        <w:rPr>
          <w:rFonts w:ascii="仿宋_GB2312" w:hAnsi="宋体" w:eastAsia="仿宋_GB2312"/>
          <w:sz w:val="24"/>
        </w:rPr>
      </w:pPr>
      <w:r>
        <w:rPr>
          <w:rFonts w:hint="eastAsia" w:ascii="仿宋_GB2312" w:hAnsi="宋体" w:eastAsia="仿宋_GB2312"/>
          <w:sz w:val="24"/>
        </w:rPr>
        <w:t>附：法定代表人身份证复印件、委托代理人身份证复印件</w:t>
      </w:r>
    </w:p>
    <w:p>
      <w:pPr>
        <w:pStyle w:val="16"/>
        <w:ind w:firstLine="0" w:firstLineChars="0"/>
        <w:rPr>
          <w:rFonts w:ascii="仿宋_GB2312" w:hAnsi="宋体" w:eastAsia="仿宋_GB2312"/>
          <w:sz w:val="28"/>
          <w:szCs w:val="36"/>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jc w:val="center"/>
        <w:rPr>
          <w:rFonts w:ascii="仿宋_GB2312" w:eastAsia="仿宋_GB2312"/>
          <w:sz w:val="28"/>
          <w:szCs w:val="28"/>
        </w:rPr>
      </w:pPr>
      <w:r>
        <w:rPr>
          <w:rFonts w:hint="eastAsia" w:ascii="仿宋_GB2312" w:hAnsi="宋体" w:eastAsia="仿宋_GB2312"/>
          <w:b/>
          <w:sz w:val="28"/>
          <w:szCs w:val="21"/>
        </w:rPr>
        <w:t>相关业绩证明材料（成交通知书、项目合同等）</w:t>
      </w: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hAnsi="宋体" w:eastAsia="仿宋_GB2312"/>
          <w:b/>
          <w:sz w:val="28"/>
          <w:szCs w:val="21"/>
        </w:rPr>
      </w:pPr>
    </w:p>
    <w:p>
      <w:pPr>
        <w:jc w:val="center"/>
        <w:rPr>
          <w:rFonts w:ascii="仿宋_GB2312" w:eastAsia="仿宋_GB2312"/>
          <w:sz w:val="28"/>
          <w:szCs w:val="28"/>
        </w:rPr>
      </w:pPr>
      <w:r>
        <w:rPr>
          <w:rFonts w:hint="eastAsia" w:ascii="仿宋_GB2312" w:hAnsi="宋体" w:eastAsia="仿宋_GB2312"/>
          <w:b/>
          <w:sz w:val="28"/>
          <w:szCs w:val="21"/>
        </w:rPr>
        <w:t>其他需要提供的材料</w:t>
      </w:r>
    </w:p>
    <w:p>
      <w:pPr>
        <w:rPr>
          <w:rFonts w:ascii="仿宋_GB2312" w:hAnsi="宋体" w:eastAsia="仿宋_GB2312"/>
          <w:b/>
          <w:sz w:val="28"/>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28CDA9"/>
    <w:multiLevelType w:val="singleLevel"/>
    <w:tmpl w:val="4428CDA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VlMDNkNzdlMDUxMjQ5ZmY1MjQxMzQ0YjQ5ZWFlMDEifQ=="/>
  </w:docVars>
  <w:rsids>
    <w:rsidRoot w:val="00FD0BBE"/>
    <w:rsid w:val="00003F59"/>
    <w:rsid w:val="00012E71"/>
    <w:rsid w:val="0003724A"/>
    <w:rsid w:val="00046619"/>
    <w:rsid w:val="0006363D"/>
    <w:rsid w:val="00072530"/>
    <w:rsid w:val="00095C9A"/>
    <w:rsid w:val="000A07BD"/>
    <w:rsid w:val="000D27F8"/>
    <w:rsid w:val="000D5475"/>
    <w:rsid w:val="000D554B"/>
    <w:rsid w:val="000F769B"/>
    <w:rsid w:val="0010546C"/>
    <w:rsid w:val="00122604"/>
    <w:rsid w:val="001431CF"/>
    <w:rsid w:val="00154211"/>
    <w:rsid w:val="00185455"/>
    <w:rsid w:val="001924CC"/>
    <w:rsid w:val="001A57EA"/>
    <w:rsid w:val="001A6E3E"/>
    <w:rsid w:val="001B7786"/>
    <w:rsid w:val="001B7C34"/>
    <w:rsid w:val="001C3FBE"/>
    <w:rsid w:val="001D1716"/>
    <w:rsid w:val="001F32FB"/>
    <w:rsid w:val="001F4583"/>
    <w:rsid w:val="001F5613"/>
    <w:rsid w:val="00201666"/>
    <w:rsid w:val="00213926"/>
    <w:rsid w:val="00256068"/>
    <w:rsid w:val="00267434"/>
    <w:rsid w:val="00271F9B"/>
    <w:rsid w:val="00277B66"/>
    <w:rsid w:val="00296732"/>
    <w:rsid w:val="0029772E"/>
    <w:rsid w:val="002B3B82"/>
    <w:rsid w:val="002B631F"/>
    <w:rsid w:val="002E3862"/>
    <w:rsid w:val="002E6308"/>
    <w:rsid w:val="002F76B6"/>
    <w:rsid w:val="003018E3"/>
    <w:rsid w:val="00343EC0"/>
    <w:rsid w:val="00360614"/>
    <w:rsid w:val="00376924"/>
    <w:rsid w:val="00384BF8"/>
    <w:rsid w:val="00397668"/>
    <w:rsid w:val="003B18E7"/>
    <w:rsid w:val="003B3DD1"/>
    <w:rsid w:val="003B7973"/>
    <w:rsid w:val="003E73BE"/>
    <w:rsid w:val="003F0DB6"/>
    <w:rsid w:val="004018B3"/>
    <w:rsid w:val="004047BB"/>
    <w:rsid w:val="00422CEA"/>
    <w:rsid w:val="0042687D"/>
    <w:rsid w:val="00435AAA"/>
    <w:rsid w:val="0043788F"/>
    <w:rsid w:val="00437D9E"/>
    <w:rsid w:val="004455D0"/>
    <w:rsid w:val="00482ADF"/>
    <w:rsid w:val="004963D1"/>
    <w:rsid w:val="004A5698"/>
    <w:rsid w:val="004B0725"/>
    <w:rsid w:val="004B3785"/>
    <w:rsid w:val="004E0201"/>
    <w:rsid w:val="004F39D7"/>
    <w:rsid w:val="00506C53"/>
    <w:rsid w:val="00516479"/>
    <w:rsid w:val="005175BA"/>
    <w:rsid w:val="00524ECC"/>
    <w:rsid w:val="00525A1D"/>
    <w:rsid w:val="00537322"/>
    <w:rsid w:val="00563C6E"/>
    <w:rsid w:val="00567B04"/>
    <w:rsid w:val="005A4982"/>
    <w:rsid w:val="005D1022"/>
    <w:rsid w:val="00604F38"/>
    <w:rsid w:val="006228BC"/>
    <w:rsid w:val="006270D4"/>
    <w:rsid w:val="00647907"/>
    <w:rsid w:val="00647B68"/>
    <w:rsid w:val="00655D81"/>
    <w:rsid w:val="0065710F"/>
    <w:rsid w:val="00662DA2"/>
    <w:rsid w:val="006716CC"/>
    <w:rsid w:val="00676EC3"/>
    <w:rsid w:val="00687538"/>
    <w:rsid w:val="00691A73"/>
    <w:rsid w:val="00693773"/>
    <w:rsid w:val="00695D90"/>
    <w:rsid w:val="006C4DB1"/>
    <w:rsid w:val="006D4206"/>
    <w:rsid w:val="006D4AB2"/>
    <w:rsid w:val="006D5DC7"/>
    <w:rsid w:val="006E32DF"/>
    <w:rsid w:val="006E5E0A"/>
    <w:rsid w:val="006E6120"/>
    <w:rsid w:val="00703F38"/>
    <w:rsid w:val="007529EE"/>
    <w:rsid w:val="00760711"/>
    <w:rsid w:val="00764CA2"/>
    <w:rsid w:val="00767CA3"/>
    <w:rsid w:val="00773D62"/>
    <w:rsid w:val="00780295"/>
    <w:rsid w:val="007A0921"/>
    <w:rsid w:val="007A3DE3"/>
    <w:rsid w:val="007C645C"/>
    <w:rsid w:val="007D7A55"/>
    <w:rsid w:val="00800B23"/>
    <w:rsid w:val="00801082"/>
    <w:rsid w:val="008047D5"/>
    <w:rsid w:val="00810DAA"/>
    <w:rsid w:val="00832FC2"/>
    <w:rsid w:val="008463AE"/>
    <w:rsid w:val="008728C9"/>
    <w:rsid w:val="0088210A"/>
    <w:rsid w:val="00885135"/>
    <w:rsid w:val="00885FC4"/>
    <w:rsid w:val="00887A27"/>
    <w:rsid w:val="008947A6"/>
    <w:rsid w:val="0089718A"/>
    <w:rsid w:val="008B11B8"/>
    <w:rsid w:val="008C382F"/>
    <w:rsid w:val="008C4013"/>
    <w:rsid w:val="008C4710"/>
    <w:rsid w:val="008C4D55"/>
    <w:rsid w:val="009015E4"/>
    <w:rsid w:val="00906FAA"/>
    <w:rsid w:val="009248D0"/>
    <w:rsid w:val="00957816"/>
    <w:rsid w:val="00987F27"/>
    <w:rsid w:val="0099685A"/>
    <w:rsid w:val="009B7AC7"/>
    <w:rsid w:val="009D03AC"/>
    <w:rsid w:val="009F5657"/>
    <w:rsid w:val="00A00303"/>
    <w:rsid w:val="00A26720"/>
    <w:rsid w:val="00A53F6D"/>
    <w:rsid w:val="00A56DBE"/>
    <w:rsid w:val="00A600A5"/>
    <w:rsid w:val="00A61183"/>
    <w:rsid w:val="00A74C84"/>
    <w:rsid w:val="00A92526"/>
    <w:rsid w:val="00A95F35"/>
    <w:rsid w:val="00AB1B6F"/>
    <w:rsid w:val="00AE2AA1"/>
    <w:rsid w:val="00B13A00"/>
    <w:rsid w:val="00B15ED9"/>
    <w:rsid w:val="00B172D8"/>
    <w:rsid w:val="00B34468"/>
    <w:rsid w:val="00B513F8"/>
    <w:rsid w:val="00B942A6"/>
    <w:rsid w:val="00BA284B"/>
    <w:rsid w:val="00BB22DE"/>
    <w:rsid w:val="00BB5692"/>
    <w:rsid w:val="00BF47D6"/>
    <w:rsid w:val="00C261C6"/>
    <w:rsid w:val="00C40F35"/>
    <w:rsid w:val="00C45883"/>
    <w:rsid w:val="00C51237"/>
    <w:rsid w:val="00C736F3"/>
    <w:rsid w:val="00C8690F"/>
    <w:rsid w:val="00CB185A"/>
    <w:rsid w:val="00CB72EF"/>
    <w:rsid w:val="00CC17D4"/>
    <w:rsid w:val="00CC41B0"/>
    <w:rsid w:val="00CC69A3"/>
    <w:rsid w:val="00CD152C"/>
    <w:rsid w:val="00D12DD4"/>
    <w:rsid w:val="00D204FC"/>
    <w:rsid w:val="00D3218A"/>
    <w:rsid w:val="00D348E3"/>
    <w:rsid w:val="00D54330"/>
    <w:rsid w:val="00D55363"/>
    <w:rsid w:val="00D60FFB"/>
    <w:rsid w:val="00D65B79"/>
    <w:rsid w:val="00D73515"/>
    <w:rsid w:val="00D8724F"/>
    <w:rsid w:val="00DA4223"/>
    <w:rsid w:val="00DA6F92"/>
    <w:rsid w:val="00DD659D"/>
    <w:rsid w:val="00DE2ED5"/>
    <w:rsid w:val="00DE3B95"/>
    <w:rsid w:val="00DE706C"/>
    <w:rsid w:val="00DF37AD"/>
    <w:rsid w:val="00DF4846"/>
    <w:rsid w:val="00E23844"/>
    <w:rsid w:val="00E27341"/>
    <w:rsid w:val="00E47EB0"/>
    <w:rsid w:val="00E60F1F"/>
    <w:rsid w:val="00E96A9E"/>
    <w:rsid w:val="00EA0DC7"/>
    <w:rsid w:val="00EB3373"/>
    <w:rsid w:val="00EB7061"/>
    <w:rsid w:val="00EC072F"/>
    <w:rsid w:val="00EC0863"/>
    <w:rsid w:val="00EC1238"/>
    <w:rsid w:val="00EC743F"/>
    <w:rsid w:val="00ED41D0"/>
    <w:rsid w:val="00EE5E36"/>
    <w:rsid w:val="00F23AEF"/>
    <w:rsid w:val="00F242C3"/>
    <w:rsid w:val="00F35A98"/>
    <w:rsid w:val="00F54A55"/>
    <w:rsid w:val="00F6219E"/>
    <w:rsid w:val="00F76742"/>
    <w:rsid w:val="00F76CF5"/>
    <w:rsid w:val="00F809F3"/>
    <w:rsid w:val="00F82B33"/>
    <w:rsid w:val="00F84578"/>
    <w:rsid w:val="00F92EC2"/>
    <w:rsid w:val="00F9589B"/>
    <w:rsid w:val="00F978B7"/>
    <w:rsid w:val="00FD0BBE"/>
    <w:rsid w:val="00FD69C4"/>
    <w:rsid w:val="00FF5DB7"/>
    <w:rsid w:val="02053585"/>
    <w:rsid w:val="036E6B8F"/>
    <w:rsid w:val="07CC41B6"/>
    <w:rsid w:val="09026256"/>
    <w:rsid w:val="0ABB2638"/>
    <w:rsid w:val="0B035072"/>
    <w:rsid w:val="0CF22A69"/>
    <w:rsid w:val="105A5E61"/>
    <w:rsid w:val="108A2DF9"/>
    <w:rsid w:val="114A4007"/>
    <w:rsid w:val="131F5562"/>
    <w:rsid w:val="14391855"/>
    <w:rsid w:val="16306096"/>
    <w:rsid w:val="17C77300"/>
    <w:rsid w:val="19502AFF"/>
    <w:rsid w:val="1B291601"/>
    <w:rsid w:val="1EC23530"/>
    <w:rsid w:val="21D71593"/>
    <w:rsid w:val="22F216A1"/>
    <w:rsid w:val="233E37DA"/>
    <w:rsid w:val="24E221B6"/>
    <w:rsid w:val="27FF0A5B"/>
    <w:rsid w:val="2B10631A"/>
    <w:rsid w:val="2D46497D"/>
    <w:rsid w:val="30B0352C"/>
    <w:rsid w:val="326E666F"/>
    <w:rsid w:val="33B666B0"/>
    <w:rsid w:val="340A210E"/>
    <w:rsid w:val="34AF0959"/>
    <w:rsid w:val="36E663B5"/>
    <w:rsid w:val="38F22CCA"/>
    <w:rsid w:val="3A3E72E2"/>
    <w:rsid w:val="415F544E"/>
    <w:rsid w:val="419E39E2"/>
    <w:rsid w:val="423E1409"/>
    <w:rsid w:val="434C6AD0"/>
    <w:rsid w:val="440151C0"/>
    <w:rsid w:val="45E4788C"/>
    <w:rsid w:val="475A1448"/>
    <w:rsid w:val="4AA707D6"/>
    <w:rsid w:val="4D9F49DA"/>
    <w:rsid w:val="4F7F0520"/>
    <w:rsid w:val="4FF26343"/>
    <w:rsid w:val="501A5998"/>
    <w:rsid w:val="50F26C67"/>
    <w:rsid w:val="529772B8"/>
    <w:rsid w:val="547A6E78"/>
    <w:rsid w:val="567820CA"/>
    <w:rsid w:val="599A25CB"/>
    <w:rsid w:val="5AE72B3A"/>
    <w:rsid w:val="5D2079C3"/>
    <w:rsid w:val="5FD46D3D"/>
    <w:rsid w:val="65A605D0"/>
    <w:rsid w:val="68D63C0D"/>
    <w:rsid w:val="695F21C6"/>
    <w:rsid w:val="69747285"/>
    <w:rsid w:val="6B513865"/>
    <w:rsid w:val="6C5C16D3"/>
    <w:rsid w:val="6D1D463D"/>
    <w:rsid w:val="6D6303D8"/>
    <w:rsid w:val="6DBC0971"/>
    <w:rsid w:val="6E305C2D"/>
    <w:rsid w:val="74BD2234"/>
    <w:rsid w:val="769D4E6E"/>
    <w:rsid w:val="784C7759"/>
    <w:rsid w:val="7CF017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4"/>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Text"/>
    <w:autoRedefine/>
    <w:qFormat/>
    <w:uiPriority w:val="0"/>
    <w:pPr>
      <w:widowControl w:val="0"/>
      <w:spacing w:after="120"/>
      <w:jc w:val="both"/>
      <w:textAlignment w:val="baseline"/>
    </w:pPr>
    <w:rPr>
      <w:rFonts w:ascii="Times New Roman" w:hAnsi="Times New Roman" w:eastAsia="宋体" w:cs="Times New Roman"/>
      <w:kern w:val="2"/>
      <w:sz w:val="21"/>
      <w:szCs w:val="24"/>
      <w:lang w:val="en-US" w:eastAsia="zh-CN" w:bidi="ar-SA"/>
    </w:rPr>
  </w:style>
  <w:style w:type="paragraph" w:styleId="5">
    <w:name w:val="Document Map"/>
    <w:basedOn w:val="1"/>
    <w:link w:val="22"/>
    <w:autoRedefine/>
    <w:semiHidden/>
    <w:unhideWhenUsed/>
    <w:qFormat/>
    <w:uiPriority w:val="99"/>
    <w:rPr>
      <w:rFonts w:ascii="宋体"/>
      <w:sz w:val="18"/>
      <w:szCs w:val="18"/>
    </w:rPr>
  </w:style>
  <w:style w:type="paragraph" w:styleId="6">
    <w:name w:val="Body Text"/>
    <w:basedOn w:val="1"/>
    <w:next w:val="1"/>
    <w:qFormat/>
    <w:uiPriority w:val="0"/>
    <w:pPr>
      <w:spacing w:after="120"/>
    </w:pPr>
    <w:rPr>
      <w:rFonts w:ascii="Calibri" w:hAnsi="Calibri"/>
    </w:rPr>
  </w:style>
  <w:style w:type="paragraph" w:styleId="7">
    <w:name w:val="Plain Text"/>
    <w:basedOn w:val="1"/>
    <w:link w:val="20"/>
    <w:autoRedefine/>
    <w:qFormat/>
    <w:uiPriority w:val="0"/>
    <w:rPr>
      <w:rFonts w:ascii="宋体" w:hAnsi="Courier New"/>
      <w:szCs w:val="20"/>
    </w:rPr>
  </w:style>
  <w:style w:type="paragraph" w:styleId="8">
    <w:name w:val="Balloon Text"/>
    <w:basedOn w:val="1"/>
    <w:link w:val="25"/>
    <w:autoRedefine/>
    <w:semiHidden/>
    <w:unhideWhenUsed/>
    <w:qFormat/>
    <w:uiPriority w:val="99"/>
    <w:rPr>
      <w:sz w:val="18"/>
      <w:szCs w:val="18"/>
    </w:rPr>
  </w:style>
  <w:style w:type="paragraph" w:styleId="9">
    <w:name w:val="footer"/>
    <w:basedOn w:val="1"/>
    <w:link w:val="15"/>
    <w:autoRedefine/>
    <w:unhideWhenUsed/>
    <w:qFormat/>
    <w:uiPriority w:val="99"/>
    <w:pPr>
      <w:tabs>
        <w:tab w:val="center" w:pos="4153"/>
        <w:tab w:val="right" w:pos="8306"/>
      </w:tabs>
      <w:snapToGrid w:val="0"/>
      <w:jc w:val="left"/>
    </w:pPr>
    <w:rPr>
      <w:sz w:val="18"/>
      <w:szCs w:val="18"/>
    </w:rPr>
  </w:style>
  <w:style w:type="paragraph" w:styleId="10">
    <w:name w:val="header"/>
    <w:basedOn w:val="1"/>
    <w:link w:val="14"/>
    <w:autoRedefine/>
    <w:unhideWhenUsed/>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10"/>
    <w:autoRedefine/>
    <w:semiHidden/>
    <w:qFormat/>
    <w:uiPriority w:val="99"/>
    <w:rPr>
      <w:sz w:val="18"/>
      <w:szCs w:val="18"/>
    </w:rPr>
  </w:style>
  <w:style w:type="character" w:customStyle="1" w:styleId="15">
    <w:name w:val="页脚 Char"/>
    <w:basedOn w:val="13"/>
    <w:link w:val="9"/>
    <w:autoRedefine/>
    <w:qFormat/>
    <w:uiPriority w:val="99"/>
    <w:rPr>
      <w:sz w:val="18"/>
      <w:szCs w:val="18"/>
    </w:rPr>
  </w:style>
  <w:style w:type="paragraph" w:customStyle="1" w:styleId="16">
    <w:name w:val="_Style 1"/>
    <w:basedOn w:val="1"/>
    <w:autoRedefine/>
    <w:qFormat/>
    <w:uiPriority w:val="34"/>
    <w:pPr>
      <w:ind w:firstLine="420" w:firstLineChars="200"/>
    </w:pPr>
    <w:rPr>
      <w:rFonts w:ascii="Calibri" w:hAnsi="Calibri"/>
      <w:szCs w:val="22"/>
    </w:rPr>
  </w:style>
  <w:style w:type="character" w:customStyle="1" w:styleId="17">
    <w:name w:val="Character Style 2"/>
    <w:autoRedefine/>
    <w:qFormat/>
    <w:uiPriority w:val="99"/>
    <w:rPr>
      <w:sz w:val="20"/>
      <w:szCs w:val="20"/>
    </w:rPr>
  </w:style>
  <w:style w:type="character" w:customStyle="1" w:styleId="18">
    <w:name w:val="Character Style 1"/>
    <w:autoRedefine/>
    <w:qFormat/>
    <w:uiPriority w:val="99"/>
    <w:rPr>
      <w:sz w:val="20"/>
    </w:rPr>
  </w:style>
  <w:style w:type="character" w:customStyle="1" w:styleId="19">
    <w:name w:val="纯文本 Char"/>
    <w:basedOn w:val="13"/>
    <w:autoRedefine/>
    <w:semiHidden/>
    <w:qFormat/>
    <w:uiPriority w:val="99"/>
    <w:rPr>
      <w:rFonts w:ascii="宋体" w:hAnsi="Courier New" w:eastAsia="宋体" w:cs="Courier New"/>
      <w:szCs w:val="21"/>
    </w:rPr>
  </w:style>
  <w:style w:type="character" w:customStyle="1" w:styleId="20">
    <w:name w:val="纯文本 Char1"/>
    <w:link w:val="7"/>
    <w:autoRedefine/>
    <w:qFormat/>
    <w:locked/>
    <w:uiPriority w:val="0"/>
    <w:rPr>
      <w:rFonts w:ascii="宋体" w:hAnsi="Courier New" w:eastAsia="宋体" w:cs="Times New Roman"/>
      <w:szCs w:val="20"/>
    </w:rPr>
  </w:style>
  <w:style w:type="paragraph" w:styleId="21">
    <w:name w:val="List Paragraph"/>
    <w:basedOn w:val="1"/>
    <w:autoRedefine/>
    <w:qFormat/>
    <w:uiPriority w:val="34"/>
    <w:pPr>
      <w:ind w:firstLine="420" w:firstLineChars="200"/>
    </w:pPr>
    <w:rPr>
      <w:rFonts w:ascii="Calibri" w:hAnsi="Calibri"/>
      <w:szCs w:val="22"/>
    </w:rPr>
  </w:style>
  <w:style w:type="character" w:customStyle="1" w:styleId="22">
    <w:name w:val="文档结构图 Char"/>
    <w:basedOn w:val="13"/>
    <w:link w:val="5"/>
    <w:autoRedefine/>
    <w:semiHidden/>
    <w:qFormat/>
    <w:uiPriority w:val="99"/>
    <w:rPr>
      <w:rFonts w:ascii="宋体" w:hAnsi="Times New Roman" w:eastAsia="宋体" w:cs="Times New Roman"/>
      <w:sz w:val="18"/>
      <w:szCs w:val="18"/>
    </w:rPr>
  </w:style>
  <w:style w:type="character" w:customStyle="1" w:styleId="23">
    <w:name w:val="标题 1 Char"/>
    <w:basedOn w:val="13"/>
    <w:link w:val="3"/>
    <w:autoRedefine/>
    <w:qFormat/>
    <w:uiPriority w:val="9"/>
    <w:rPr>
      <w:rFonts w:ascii="Times New Roman" w:hAnsi="Times New Roman" w:eastAsia="宋体" w:cs="Times New Roman"/>
      <w:b/>
      <w:bCs/>
      <w:kern w:val="44"/>
      <w:sz w:val="44"/>
      <w:szCs w:val="44"/>
    </w:rPr>
  </w:style>
  <w:style w:type="character" w:customStyle="1" w:styleId="24">
    <w:name w:val="标题 2 Char"/>
    <w:basedOn w:val="13"/>
    <w:link w:val="4"/>
    <w:autoRedefine/>
    <w:qFormat/>
    <w:uiPriority w:val="9"/>
    <w:rPr>
      <w:rFonts w:asciiTheme="majorHAnsi" w:hAnsiTheme="majorHAnsi" w:eastAsiaTheme="majorEastAsia" w:cstheme="majorBidi"/>
      <w:b/>
      <w:bCs/>
      <w:kern w:val="2"/>
      <w:sz w:val="32"/>
      <w:szCs w:val="32"/>
    </w:rPr>
  </w:style>
  <w:style w:type="character" w:customStyle="1" w:styleId="25">
    <w:name w:val="批注框文本 Char"/>
    <w:basedOn w:val="13"/>
    <w:link w:val="8"/>
    <w:autoRedefine/>
    <w:semiHidden/>
    <w:qFormat/>
    <w:uiPriority w:val="99"/>
    <w:rPr>
      <w:rFonts w:ascii="Times New Roman" w:hAnsi="Times New Roman" w:eastAsia="宋体" w:cs="Times New Roman"/>
      <w:kern w:val="2"/>
      <w:sz w:val="18"/>
      <w:szCs w:val="18"/>
    </w:rPr>
  </w:style>
  <w:style w:type="paragraph" w:customStyle="1" w:styleId="26">
    <w:name w:val="修订1"/>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4C7744-6644-447F-AACC-5F04E9DBECBF}">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20</Pages>
  <Words>1117</Words>
  <Characters>6369</Characters>
  <Lines>53</Lines>
  <Paragraphs>14</Paragraphs>
  <TotalTime>55</TotalTime>
  <ScaleCrop>false</ScaleCrop>
  <LinksUpToDate>false</LinksUpToDate>
  <CharactersWithSpaces>7472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2024-01-24T09:15:00Z</dcterms:created>
  <dc:creator>禤炜安</dc:creator>
  <cp:lastModifiedBy>ξ上邪¤</cp:lastModifiedBy>
  <cp:lastPrinted>2023-03-10T01:35:00Z</cp:lastPrinted>
  <dcterms:modified xsi:type="dcterms:W3CDTF">2024-03-11T03:29:58Z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9E7B2EF9728741679DC4A0A84809F962_13</vt:lpwstr>
  </property>
</Properties>
</file>