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both"/>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both"/>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中华人民共和国东兴</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口岸国际道路运输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管理处</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业务用房食堂改造、前庭后院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改造维护</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项目询价采购文件</w:t>
      </w: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960" w:firstLineChars="300"/>
        <w:jc w:val="both"/>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采购单位：</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中华人民共和国东兴</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口岸国际道路运输管理处</w:t>
      </w:r>
    </w:p>
    <w:p>
      <w:pPr>
        <w:ind w:firstLine="960" w:firstLineChars="300"/>
        <w:jc w:val="both"/>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日</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期：2024年</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8</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月</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21</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日</w:t>
      </w:r>
    </w:p>
    <w:p>
      <w:pPr>
        <w:ind w:firstLine="1920" w:firstLineChars="600"/>
        <w:jc w:val="both"/>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ind w:firstLine="1920" w:firstLineChars="600"/>
        <w:jc w:val="both"/>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东兴</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口岸国际道路运输管理处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采购报价供应商需知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我处拟对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本单位业务用房食堂改造、前庭后院等改造维护项目</w:t>
      </w:r>
      <w:r>
        <w:rPr>
          <w:rFonts w:hint="eastAsia" w:ascii="仿宋_GB2312" w:hAnsi="仿宋_GB2312" w:eastAsia="仿宋_GB2312" w:cs="仿宋_GB2312"/>
          <w:color w:val="000000" w:themeColor="text1"/>
          <w:sz w:val="32"/>
          <w:szCs w:val="32"/>
          <w14:textFill>
            <w14:solidFill>
              <w14:schemeClr w14:val="tx1"/>
            </w14:solidFill>
          </w14:textFill>
        </w:rPr>
        <w:t>进行询价采购，现邀请贵公司参与报价。我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w:t>
      </w:r>
      <w:r>
        <w:rPr>
          <w:rFonts w:hint="eastAsia" w:ascii="仿宋_GB2312" w:hAnsi="仿宋_GB2312" w:eastAsia="仿宋_GB2312" w:cs="仿宋_GB2312"/>
          <w:color w:val="000000" w:themeColor="text1"/>
          <w:sz w:val="32"/>
          <w:szCs w:val="32"/>
          <w14:textFill>
            <w14:solidFill>
              <w14:schemeClr w14:val="tx1"/>
            </w14:solidFill>
          </w14:textFill>
        </w:rPr>
        <w:t>将根据各公司所报文件中的报价、企业履约经验、报价响应程度、拟投入人员情况、项目工作内容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方案、计划、质量、安全措施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等方面通过综合评分方式确定成交供应商。</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一、项目概况</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东兴</w:t>
      </w:r>
      <w:r>
        <w:rPr>
          <w:rFonts w:hint="eastAsia" w:ascii="仿宋_GB2312" w:hAnsi="仿宋_GB2312" w:eastAsia="仿宋_GB2312" w:cs="仿宋_GB2312"/>
          <w:color w:val="000000" w:themeColor="text1"/>
          <w:sz w:val="32"/>
          <w:szCs w:val="32"/>
          <w14:textFill>
            <w14:solidFill>
              <w14:schemeClr w14:val="tx1"/>
            </w14:solidFill>
          </w14:textFill>
        </w:rPr>
        <w:t>口岸国际道路运输管理处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业务用房食堂改造、前庭后院等改造维护</w:t>
      </w:r>
      <w:r>
        <w:rPr>
          <w:rFonts w:hint="eastAsia" w:ascii="仿宋_GB2312" w:hAnsi="仿宋_GB2312" w:eastAsia="仿宋_GB2312" w:cs="仿宋_GB2312"/>
          <w:color w:val="000000" w:themeColor="text1"/>
          <w:sz w:val="32"/>
          <w:szCs w:val="32"/>
          <w14:textFill>
            <w14:solidFill>
              <w14:schemeClr w14:val="tx1"/>
            </w14:solidFill>
          </w14:textFill>
        </w:rPr>
        <w:t>项目；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（二）采购方式：询价采购；</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（三）最高限价为：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35.72万元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（四）供应商须就清单中的内容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做</w:t>
      </w:r>
      <w:r>
        <w:rPr>
          <w:rFonts w:hint="eastAsia" w:ascii="仿宋_GB2312" w:hAnsi="仿宋_GB2312" w:eastAsia="仿宋_GB2312" w:cs="仿宋_GB2312"/>
          <w:color w:val="000000" w:themeColor="text1"/>
          <w:sz w:val="32"/>
          <w:szCs w:val="32"/>
          <w14:textFill>
            <w14:solidFill>
              <w14:schemeClr w14:val="tx1"/>
            </w14:solidFill>
          </w14:textFill>
        </w:rPr>
        <w:t>完整报价。总报价包含可能发生的一切费用。本次项目中标供应商中标后，需签署《采购合同》并按合同要求完成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维修维护</w:t>
      </w:r>
      <w:r>
        <w:rPr>
          <w:rFonts w:hint="eastAsia" w:ascii="仿宋_GB2312" w:hAnsi="仿宋_GB2312" w:eastAsia="仿宋_GB2312" w:cs="仿宋_GB2312"/>
          <w:color w:val="000000" w:themeColor="text1"/>
          <w:sz w:val="32"/>
          <w:szCs w:val="32"/>
          <w14:textFill>
            <w14:solidFill>
              <w14:schemeClr w14:val="tx1"/>
            </w14:solidFill>
          </w14:textFill>
        </w:rPr>
        <w:t>工程。</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二、资质要求</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（一）在“信用中国”网站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www.creditchina.gov.cn</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或中国政府采购网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www.ccgp.gov.cn</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等渠道列入失信被执行人、重大税收违法案件当事人名单、政府采购严重违法失信行为记录名单及其他不符合《中华人民共和国政府采购法》第二十二条规定条件的供应商，不允许参与本次采购活动；</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（二）供应商营业执照经营范围需包括建筑装饰装修工程等相关工程专业范围，并在人员、设备、资金等方面具备相应的履约能力；</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（三）供应商负责人为同一人或者存在控股、管理关系的不同单位不得同时投标；</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（四）本项目不接受联合体竞标。</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三、商务条款</w:t>
      </w:r>
    </w:p>
    <w:p>
      <w:pPr>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（一）供应商应许诺在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日内完成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维修改造</w:t>
      </w:r>
      <w:r>
        <w:rPr>
          <w:rFonts w:hint="eastAsia" w:ascii="仿宋_GB2312" w:hAnsi="仿宋_GB2312" w:eastAsia="仿宋_GB2312" w:cs="仿宋_GB2312"/>
          <w:color w:val="000000" w:themeColor="text1"/>
          <w:sz w:val="32"/>
          <w:szCs w:val="32"/>
          <w14:textFill>
            <w14:solidFill>
              <w14:schemeClr w14:val="tx1"/>
            </w14:solidFill>
          </w14:textFill>
        </w:rPr>
        <w:t>工作并验收合格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（二）装修相关材料设备按国家有关“三包”规定，执行“三包”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（三）售后服务要求：</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采购人在使用过程中发现已接收的工程存在缺陷或损坏的，供应商在接到采购人通知后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小时内确认答复，并到达工程现场修复缺陷或损坏，装修缺陷责任期不少于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个月。</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付款方式</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本项目预付款为35%，中标供应商</w:t>
      </w:r>
      <w:r>
        <w:rPr>
          <w:rFonts w:hint="eastAsia" w:ascii="仿宋_GB2312" w:hAnsi="仿宋_GB2312" w:eastAsia="仿宋_GB2312" w:cs="仿宋_GB2312"/>
          <w:color w:val="000000" w:themeColor="text1"/>
          <w:sz w:val="32"/>
          <w:szCs w:val="32"/>
          <w14:textFill>
            <w14:solidFill>
              <w14:schemeClr w14:val="tx1"/>
            </w14:solidFill>
          </w14:textFill>
        </w:rPr>
        <w:t>备料进场施工1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采购单位</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中标供应商</w:t>
      </w:r>
      <w:r>
        <w:rPr>
          <w:rFonts w:hint="eastAsia" w:ascii="仿宋_GB2312" w:hAnsi="仿宋_GB2312" w:eastAsia="仿宋_GB2312" w:cs="仿宋_GB2312"/>
          <w:color w:val="000000" w:themeColor="text1"/>
          <w:sz w:val="32"/>
          <w:szCs w:val="32"/>
          <w14:textFill>
            <w14:solidFill>
              <w14:schemeClr w14:val="tx1"/>
            </w14:solidFill>
          </w14:textFill>
        </w:rPr>
        <w:t>支付合同总额35%的预付款。待项目全部竣工后，经双方组织人员验收合格，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中标供应商</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采购单位</w:t>
      </w:r>
      <w:r>
        <w:rPr>
          <w:rFonts w:hint="eastAsia" w:ascii="仿宋_GB2312" w:hAnsi="仿宋_GB2312" w:eastAsia="仿宋_GB2312" w:cs="仿宋_GB2312"/>
          <w:color w:val="000000" w:themeColor="text1"/>
          <w:sz w:val="32"/>
          <w:szCs w:val="32"/>
          <w14:textFill>
            <w14:solidFill>
              <w14:schemeClr w14:val="tx1"/>
            </w14:solidFill>
          </w14:textFill>
        </w:rPr>
        <w:t>提供项目施工发票后15天内，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且未发生采购单位应扣除中标供应商赔款费的，采购单位</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中标供应商</w:t>
      </w:r>
      <w:r>
        <w:rPr>
          <w:rFonts w:hint="eastAsia" w:ascii="仿宋_GB2312" w:hAnsi="仿宋_GB2312" w:eastAsia="仿宋_GB2312" w:cs="仿宋_GB2312"/>
          <w:color w:val="000000" w:themeColor="text1"/>
          <w:sz w:val="32"/>
          <w:szCs w:val="32"/>
          <w14:textFill>
            <w14:solidFill>
              <w14:schemeClr w14:val="tx1"/>
            </w14:solidFill>
          </w14:textFill>
        </w:rPr>
        <w:t>支付合同总额的6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的费用。</w:t>
      </w:r>
      <w:r>
        <w:rPr>
          <w:rFonts w:hint="eastAsia" w:ascii="仿宋_GB2312" w:hAnsi="仿宋_GB2312" w:eastAsia="仿宋_GB2312" w:cs="仿宋_GB2312"/>
          <w:color w:val="000000" w:themeColor="text1"/>
          <w:sz w:val="32"/>
          <w:szCs w:val="32"/>
          <w14:textFill>
            <w14:solidFill>
              <w14:schemeClr w14:val="tx1"/>
            </w14:solidFill>
          </w14:textFill>
        </w:rPr>
        <w:t>具体实施方案以合同为准。中标供应商支付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质量</w:t>
      </w:r>
      <w:r>
        <w:rPr>
          <w:rFonts w:hint="eastAsia" w:ascii="仿宋_GB2312" w:hAnsi="仿宋_GB2312" w:eastAsia="仿宋_GB2312" w:cs="仿宋_GB2312"/>
          <w:color w:val="000000" w:themeColor="text1"/>
          <w:sz w:val="32"/>
          <w:szCs w:val="32"/>
          <w14:textFill>
            <w14:solidFill>
              <w14:schemeClr w14:val="tx1"/>
            </w14:solidFill>
          </w14:textFill>
        </w:rPr>
        <w:t>保证金，质保期满后无息退回。</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 xml:space="preserve">报价文件组成内容 </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《营业执照》复印件并加盖公章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法定代表人委托授权书复印件加盖公章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法定代表人及授权人身份证复印件加盖公章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报价汇总表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按照附件中清单汇总表填写报价并加盖公章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拟投入人员情况，项目工作方案，项目组织计划、质量、安全措施和售后服务方案等内容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售后服务承诺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业绩证明材料及相关认证证书材料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 名 时 提 供 其 在 “ 信 用 中 国 ” 网 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(www.creditchina.gov.cn)  和  中  国  政  府  采  购  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www.ccgp.gov.cn</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查询到的主体信用记录结果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6"/>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pacing w:val="0"/>
          <w:sz w:val="32"/>
          <w:szCs w:val="32"/>
          <w14:textFill>
            <w14:solidFill>
              <w14:schemeClr w14:val="tx1"/>
            </w14:solidFill>
          </w14:textFill>
        </w:rPr>
        <w:t>中标候选人推荐原则</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评审委员会将根据得分由高到低排列次序</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得分相同时，以报价由低到高顺序排列；得分相同且</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报价</w:t>
      </w:r>
      <w:r>
        <w:rPr>
          <w:rFonts w:hint="eastAsia" w:ascii="仿宋_GB2312" w:hAnsi="仿宋_GB2312" w:eastAsia="仿宋_GB2312" w:cs="仿宋_GB2312"/>
          <w:color w:val="000000" w:themeColor="text1"/>
          <w:spacing w:val="0"/>
          <w:sz w:val="32"/>
          <w:szCs w:val="32"/>
          <w14:textFill>
            <w14:solidFill>
              <w14:schemeClr w14:val="tx1"/>
            </w14:solidFill>
          </w14:textFill>
        </w:rPr>
        <w:t>相同的，按技术指标优劣顺序排列</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并推荐中标候选报价人。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报价文件递交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供应商自收到询价采购文件之日起，可在工作时间联系我处工作人员到施工现场进行实地勘查（勘查时间为工作日上午8:00-12:00，下午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:00，联系人：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  琴</w:t>
      </w:r>
      <w:r>
        <w:rPr>
          <w:rFonts w:hint="eastAsia" w:ascii="仿宋_GB2312" w:hAnsi="仿宋_GB2312" w:eastAsia="仿宋_GB2312" w:cs="仿宋_GB2312"/>
          <w:color w:val="000000" w:themeColor="text1"/>
          <w:sz w:val="32"/>
          <w:szCs w:val="32"/>
          <w14:textFill>
            <w14:solidFill>
              <w14:schemeClr w14:val="tx1"/>
            </w14:solidFill>
          </w14:textFill>
        </w:rPr>
        <w:t>，077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7695866</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请于2024年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18点</w:t>
      </w:r>
      <w:r>
        <w:rPr>
          <w:rFonts w:hint="eastAsia" w:ascii="仿宋_GB2312" w:hAnsi="仿宋_GB2312" w:eastAsia="仿宋_GB2312" w:cs="仿宋_GB2312"/>
          <w:color w:val="000000" w:themeColor="text1"/>
          <w:sz w:val="32"/>
          <w:szCs w:val="32"/>
          <w14:textFill>
            <w14:solidFill>
              <w14:schemeClr w14:val="tx1"/>
            </w14:solidFill>
          </w14:textFill>
        </w:rPr>
        <w:t>前将装订成册的报价文件（一式五份）用信封密封好，送至我处（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广西东兴市高兴大道36号东兴</w:t>
      </w:r>
      <w:r>
        <w:rPr>
          <w:rFonts w:hint="eastAsia" w:ascii="仿宋_GB2312" w:hAnsi="仿宋_GB2312" w:eastAsia="仿宋_GB2312" w:cs="仿宋_GB2312"/>
          <w:color w:val="000000" w:themeColor="text1"/>
          <w:sz w:val="32"/>
          <w:szCs w:val="32"/>
          <w14:textFill>
            <w14:solidFill>
              <w14:schemeClr w14:val="tx1"/>
            </w14:solidFill>
          </w14:textFill>
        </w:rPr>
        <w:t>口岸国际道路运输管理处）。如需邮寄送达，请用信封密封好并在邮寄封面注明投标资料和投标单位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并电话通知收件人，以响应材料到寄为准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收件</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唐卫</w:t>
      </w:r>
      <w:r>
        <w:rPr>
          <w:rFonts w:hint="eastAsia" w:ascii="仿宋_GB2312" w:hAnsi="仿宋_GB2312" w:eastAsia="仿宋_GB2312" w:cs="仿宋_GB2312"/>
          <w:color w:val="000000" w:themeColor="text1"/>
          <w:sz w:val="32"/>
          <w:szCs w:val="32"/>
          <w14:textFill>
            <w14:solidFill>
              <w14:schemeClr w14:val="tx1"/>
            </w14:solidFill>
          </w14:textFill>
        </w:rPr>
        <w:t>，联系电话：077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0-7685199，18977012282</w:t>
      </w:r>
      <w:r>
        <w:rPr>
          <w:rFonts w:hint="eastAsia" w:ascii="仿宋_GB2312" w:hAnsi="仿宋_GB2312" w:eastAsia="仿宋_GB2312" w:cs="仿宋_GB2312"/>
          <w:color w:val="000000" w:themeColor="text1"/>
          <w:sz w:val="32"/>
          <w:szCs w:val="32"/>
          <w14:textFill>
            <w14:solidFill>
              <w14:schemeClr w14:val="tx1"/>
            </w14:solidFill>
          </w14:textFill>
        </w:rPr>
        <w:t>。</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1.东兴口岸国际道路运输管理处后院绿化改造草图</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2.东兴口岸国际道路运输管理处饭堂改造平面草图</w:t>
      </w:r>
    </w:p>
    <w:p>
      <w:pPr>
        <w:ind w:firstLine="1600" w:firstLineChars="5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3.评审办法及评分标准</w:t>
      </w:r>
    </w:p>
    <w:p>
      <w:pPr>
        <w:ind w:firstLine="1600" w:firstLineChars="5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项目工程量清单</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lang w:val="en-US"/>
          <w14:textFill>
            <w14:solidFill>
              <w14:schemeClr w14:val="tx1"/>
            </w14:solidFill>
          </w14:textFill>
        </w:rPr>
        <w:sectPr>
          <w:footerReference r:id="rId3" w:type="default"/>
          <w:pgSz w:w="11906" w:h="16838"/>
          <w:pgMar w:top="2098" w:right="1474" w:bottom="1701" w:left="1587" w:header="851" w:footer="992" w:gutter="0"/>
          <w:pgNumType w:fmt="decimal"/>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w:t>
      </w:r>
    </w:p>
    <w:p>
      <w:pPr>
        <w:pStyle w:val="3"/>
        <w:keepNext w:val="0"/>
        <w:keepLines w:val="0"/>
        <w:pageBreakBefore w:val="0"/>
        <w:widowControl w:val="0"/>
        <w:kinsoku/>
        <w:wordWrap/>
        <w:overflowPunct/>
        <w:autoSpaceDE/>
        <w:autoSpaceDN/>
        <w:bidi w:val="0"/>
        <w:adjustRightInd/>
        <w:snapToGrid/>
        <w:spacing w:before="221" w:line="580" w:lineRule="exact"/>
        <w:jc w:val="center"/>
        <w:textAlignment w:val="auto"/>
        <w:outlineLvl w:val="0"/>
        <w:rPr>
          <w:rFonts w:hint="eastAsia" w:ascii="方正小标宋_GBK" w:hAnsi="方正小标宋_GBK" w:eastAsia="方正小标宋_GBK" w:cs="方正小标宋_GBK"/>
          <w:b w:val="0"/>
          <w:bCs w:val="0"/>
          <w:color w:val="000000" w:themeColor="text1"/>
          <w:spacing w:val="0"/>
          <w:positio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19"/>
          <w:sz w:val="44"/>
          <w:szCs w:val="44"/>
          <w14:textFill>
            <w14:solidFill>
              <w14:schemeClr w14:val="tx1"/>
            </w14:solidFill>
          </w14:textFill>
        </w:rPr>
        <w:t>评审办法及评分标准</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3" w:firstLineChars="200"/>
        <w:textAlignment w:val="auto"/>
        <w:rPr>
          <w:rFonts w:hint="eastAsia" w:ascii="仿宋_GB2312" w:hAnsi="仿宋_GB2312" w:eastAsia="仿宋_GB2312" w:cs="仿宋_GB2312"/>
          <w:b/>
          <w:bCs/>
          <w:color w:val="000000" w:themeColor="text1"/>
          <w:spacing w:val="0"/>
          <w:position w:val="0"/>
          <w:sz w:val="32"/>
          <w:szCs w:val="32"/>
          <w14:textFill>
            <w14:solidFill>
              <w14:schemeClr w14:val="tx1"/>
            </w14:solidFill>
          </w14:textFill>
        </w:rPr>
      </w:pP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黑体" w:hAnsi="黑体" w:eastAsia="黑体" w:cs="黑体"/>
          <w:b w:val="0"/>
          <w:bCs w:val="0"/>
          <w:color w:val="000000" w:themeColor="text1"/>
          <w:spacing w:val="0"/>
          <w:position w:val="0"/>
          <w:sz w:val="32"/>
          <w:szCs w:val="32"/>
          <w14:textFill>
            <w14:solidFill>
              <w14:schemeClr w14:val="tx1"/>
            </w14:solidFill>
          </w14:textFill>
        </w:rPr>
      </w:pPr>
      <w:r>
        <w:rPr>
          <w:rFonts w:hint="eastAsia" w:ascii="黑体" w:hAnsi="黑体" w:eastAsia="黑体" w:cs="黑体"/>
          <w:b w:val="0"/>
          <w:bCs w:val="0"/>
          <w:color w:val="000000" w:themeColor="text1"/>
          <w:spacing w:val="0"/>
          <w:position w:val="0"/>
          <w:sz w:val="32"/>
          <w:szCs w:val="32"/>
          <w14:textFill>
            <w14:solidFill>
              <w14:schemeClr w14:val="tx1"/>
            </w14:solidFill>
          </w14:textFill>
        </w:rPr>
        <w:t>一、评审原则</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评委组成：本次询价采购项目的评审委员会由采购人代表组成，成员人数应当为</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人以上单数。</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二</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评审依据：评委将以询价文件为评审依据，对报价人的报价、企业履约经验、报价响应程度、拟投入人员情况、项目工作</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方案、计划、质量、安全措施</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等内容按综合评分法进行打分。</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黑体" w:hAnsi="黑体" w:eastAsia="黑体" w:cs="黑体"/>
          <w:b w:val="0"/>
          <w:bCs w:val="0"/>
          <w:color w:val="000000" w:themeColor="text1"/>
          <w:spacing w:val="0"/>
          <w:position w:val="0"/>
          <w:sz w:val="32"/>
          <w:szCs w:val="32"/>
          <w14:textFill>
            <w14:solidFill>
              <w14:schemeClr w14:val="tx1"/>
            </w14:solidFill>
          </w14:textFill>
        </w:rPr>
      </w:pPr>
      <w:r>
        <w:rPr>
          <w:rFonts w:hint="eastAsia" w:ascii="黑体" w:hAnsi="黑体" w:eastAsia="黑体" w:cs="黑体"/>
          <w:b w:val="0"/>
          <w:bCs w:val="0"/>
          <w:color w:val="000000" w:themeColor="text1"/>
          <w:spacing w:val="0"/>
          <w:position w:val="0"/>
          <w:sz w:val="32"/>
          <w:szCs w:val="32"/>
          <w14:textFill>
            <w14:solidFill>
              <w14:schemeClr w14:val="tx1"/>
            </w14:solidFill>
          </w14:textFill>
        </w:rPr>
        <w:t>二、评审方法</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对进入详评的，采用百分制综合评分法。</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二</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计分办法</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按四舍五入取至小数点后一位</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黑体" w:hAnsi="黑体" w:eastAsia="黑体" w:cs="黑体"/>
          <w:b w:val="0"/>
          <w:bCs w:val="0"/>
          <w:color w:val="000000" w:themeColor="text1"/>
          <w:spacing w:val="0"/>
          <w:position w:val="0"/>
          <w:sz w:val="32"/>
          <w:szCs w:val="32"/>
          <w14:textFill>
            <w14:solidFill>
              <w14:schemeClr w14:val="tx1"/>
            </w14:solidFill>
          </w14:textFill>
        </w:rPr>
      </w:pPr>
      <w:r>
        <w:rPr>
          <w:rFonts w:hint="eastAsia" w:ascii="黑体" w:hAnsi="黑体" w:eastAsia="黑体" w:cs="黑体"/>
          <w:b w:val="0"/>
          <w:bCs w:val="0"/>
          <w:color w:val="000000" w:themeColor="text1"/>
          <w:spacing w:val="0"/>
          <w:position w:val="0"/>
          <w:sz w:val="32"/>
          <w:szCs w:val="32"/>
          <w14:textFill>
            <w14:solidFill>
              <w14:schemeClr w14:val="tx1"/>
            </w14:solidFill>
          </w14:textFill>
        </w:rPr>
        <w:t>三 、评分标准</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价格部分</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满分</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65</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分</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autoSpaceDE/>
        <w:autoSpaceDN/>
        <w:bidi w:val="0"/>
        <w:adjustRightInd/>
        <w:snapToGrid/>
        <w:spacing w:before="0" w:line="520" w:lineRule="exact"/>
        <w:ind w:left="0" w:leftChars="0" w:right="0" w:firstLine="640" w:firstLineChars="200"/>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综合评分法中的价格分统一采用低价优先法计算，即满足本询价文件要求且最后报价最低的供应商的价格为基准价，其价格分为满分。其他供应商的价格分统一按照下列公式计算：</w:t>
      </w:r>
    </w:p>
    <w:p>
      <w:pPr>
        <w:pStyle w:val="3"/>
        <w:keepNext w:val="0"/>
        <w:keepLines w:val="0"/>
        <w:pageBreakBefore w:val="0"/>
        <w:widowControl w:val="0"/>
        <w:kinsoku/>
        <w:wordWrap/>
        <w:overflowPunct/>
        <w:topLinePunct/>
        <w:autoSpaceDE/>
        <w:autoSpaceDN/>
        <w:bidi w:val="0"/>
        <w:adjustRightInd/>
        <w:snapToGrid/>
        <w:spacing w:before="0" w:line="520" w:lineRule="exact"/>
        <w:ind w:left="0" w:leftChars="0" w:right="0" w:firstLine="0" w:firstLineChars="0"/>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 xml:space="preserve">   报价得分=（基准价/商家报价）*价格满分</w:t>
      </w:r>
    </w:p>
    <w:p>
      <w:pPr>
        <w:pStyle w:val="3"/>
        <w:keepNext w:val="0"/>
        <w:keepLines w:val="0"/>
        <w:pageBreakBefore w:val="0"/>
        <w:widowControl w:val="0"/>
        <w:kinsoku/>
        <w:wordWrap/>
        <w:overflowPunct/>
        <w:topLinePunct/>
        <w:autoSpaceDE/>
        <w:autoSpaceDN/>
        <w:bidi w:val="0"/>
        <w:adjustRightInd/>
        <w:snapToGrid/>
        <w:spacing w:before="0" w:line="520" w:lineRule="exact"/>
        <w:ind w:left="0" w:leftChars="0" w:right="0" w:firstLine="0" w:firstLineChars="0"/>
        <w:textAlignment w:val="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 xml:space="preserve">   在评审过程中，不得去掉最后报价中的最高报价和最低报价。</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二</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商务部分</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满分</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分</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按“评分表”要求进行打分。</w:t>
      </w:r>
    </w:p>
    <w:p>
      <w:pPr>
        <w:pStyle w:val="3"/>
        <w:keepNext w:val="0"/>
        <w:keepLines w:val="0"/>
        <w:pageBreakBefore w:val="0"/>
        <w:widowControl w:val="0"/>
        <w:kinsoku/>
        <w:wordWrap/>
        <w:overflowPunct/>
        <w:topLinePunct/>
        <w:autoSpaceDE/>
        <w:autoSpaceDN/>
        <w:bidi w:val="0"/>
        <w:adjustRightInd/>
        <w:snapToGrid/>
        <w:spacing w:before="0" w:line="520" w:lineRule="exact"/>
        <w:ind w:left="0" w:right="0" w:firstLine="640" w:firstLineChars="200"/>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三</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技术部分</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满分</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分</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按“评分表”要求进行打分</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76" w:firstLineChars="1300"/>
        <w:jc w:val="both"/>
        <w:textAlignment w:val="auto"/>
        <w:rPr>
          <w:rFonts w:hint="eastAsia" w:ascii="宋体" w:hAnsi="宋体" w:eastAsia="宋体" w:cs="宋体"/>
          <w:color w:val="000000" w:themeColor="text1"/>
          <w:spacing w:val="0"/>
          <w:kern w:val="21"/>
          <w:position w:val="0"/>
          <w:sz w:val="32"/>
          <w:szCs w:val="32"/>
          <w14:textFill>
            <w14:solidFill>
              <w14:schemeClr w14:val="tx1"/>
            </w14:solidFill>
          </w14:textFill>
        </w:rPr>
      </w:pPr>
      <w:r>
        <w:rPr>
          <w:rFonts w:hint="eastAsia" w:ascii="宋体" w:hAnsi="宋体" w:eastAsia="宋体" w:cs="宋体"/>
          <w:b/>
          <w:bCs/>
          <w:color w:val="000000" w:themeColor="text1"/>
          <w:spacing w:val="0"/>
          <w:kern w:val="21"/>
          <w:position w:val="0"/>
          <w:sz w:val="32"/>
          <w:szCs w:val="32"/>
          <w14:textFill>
            <w14:solidFill>
              <w14:schemeClr w14:val="tx1"/>
            </w14:solidFill>
          </w14:textFill>
        </w:rPr>
        <w:t>评分表</w:t>
      </w:r>
    </w:p>
    <w:tbl>
      <w:tblPr>
        <w:tblStyle w:val="26"/>
        <w:tblpPr w:leftFromText="180" w:rightFromText="180" w:vertAnchor="text" w:horzAnchor="page" w:tblpX="1102" w:tblpY="56"/>
        <w:tblOverlap w:val="never"/>
        <w:tblW w:w="98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085"/>
        <w:gridCol w:w="810"/>
        <w:gridCol w:w="7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000000" w:themeColor="text1"/>
                <w:spacing w:val="0"/>
                <w:kern w:val="21"/>
                <w:position w:val="0"/>
                <w:sz w:val="24"/>
                <w:szCs w:val="24"/>
                <w14:textFill>
                  <w14:solidFill>
                    <w14:schemeClr w14:val="tx1"/>
                  </w14:solidFill>
                </w14:textFill>
              </w:rPr>
            </w:pPr>
            <w:r>
              <w:rPr>
                <w:rFonts w:hint="eastAsia" w:ascii="宋体" w:hAnsi="宋体" w:eastAsia="宋体" w:cs="宋体"/>
                <w:b/>
                <w:bCs/>
                <w:color w:val="000000" w:themeColor="text1"/>
                <w:spacing w:val="0"/>
                <w:kern w:val="21"/>
                <w:position w:val="0"/>
                <w:sz w:val="24"/>
                <w:szCs w:val="24"/>
                <w14:textFill>
                  <w14:solidFill>
                    <w14:schemeClr w14:val="tx1"/>
                  </w14:solidFill>
                </w14:textFill>
              </w:rPr>
              <w:t>序号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000000" w:themeColor="text1"/>
                <w:spacing w:val="0"/>
                <w:kern w:val="21"/>
                <w:position w:val="0"/>
                <w:sz w:val="24"/>
                <w:szCs w:val="24"/>
                <w14:textFill>
                  <w14:solidFill>
                    <w14:schemeClr w14:val="tx1"/>
                  </w14:solidFill>
                </w14:textFill>
              </w:rPr>
            </w:pPr>
            <w:r>
              <w:rPr>
                <w:rFonts w:hint="eastAsia" w:ascii="宋体" w:hAnsi="宋体" w:eastAsia="宋体" w:cs="宋体"/>
                <w:b/>
                <w:bCs/>
                <w:color w:val="000000" w:themeColor="text1"/>
                <w:spacing w:val="0"/>
                <w:kern w:val="21"/>
                <w:position w:val="0"/>
                <w:sz w:val="24"/>
                <w:szCs w:val="24"/>
                <w14:textFill>
                  <w14:solidFill>
                    <w14:schemeClr w14:val="tx1"/>
                  </w14:solidFill>
                </w14:textFill>
              </w:rPr>
              <w:t>评审项目</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000000" w:themeColor="text1"/>
                <w:spacing w:val="0"/>
                <w:kern w:val="21"/>
                <w:position w:val="0"/>
                <w:sz w:val="24"/>
                <w:szCs w:val="24"/>
                <w14:textFill>
                  <w14:solidFill>
                    <w14:schemeClr w14:val="tx1"/>
                  </w14:solidFill>
                </w14:textFill>
              </w:rPr>
            </w:pPr>
            <w:r>
              <w:rPr>
                <w:rFonts w:hint="eastAsia" w:ascii="宋体" w:hAnsi="宋体" w:eastAsia="宋体" w:cs="宋体"/>
                <w:b/>
                <w:bCs/>
                <w:color w:val="000000" w:themeColor="text1"/>
                <w:spacing w:val="0"/>
                <w:kern w:val="21"/>
                <w:position w:val="0"/>
                <w:sz w:val="24"/>
                <w:szCs w:val="24"/>
                <w14:textFill>
                  <w14:solidFill>
                    <w14:schemeClr w14:val="tx1"/>
                  </w14:solidFill>
                </w14:textFill>
              </w:rPr>
              <w:t>分值</w:t>
            </w:r>
          </w:p>
        </w:tc>
        <w:tc>
          <w:tcPr>
            <w:tcW w:w="7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000000" w:themeColor="text1"/>
                <w:spacing w:val="0"/>
                <w:kern w:val="21"/>
                <w:position w:val="0"/>
                <w:sz w:val="24"/>
                <w:szCs w:val="24"/>
                <w14:textFill>
                  <w14:solidFill>
                    <w14:schemeClr w14:val="tx1"/>
                  </w14:solidFill>
                </w14:textFill>
              </w:rPr>
            </w:pPr>
            <w:r>
              <w:rPr>
                <w:rFonts w:hint="eastAsia" w:ascii="宋体" w:hAnsi="宋体" w:eastAsia="宋体" w:cs="宋体"/>
                <w:b/>
                <w:bCs/>
                <w:color w:val="000000" w:themeColor="text1"/>
                <w:spacing w:val="0"/>
                <w:kern w:val="21"/>
                <w:position w:val="0"/>
                <w:sz w:val="24"/>
                <w:szCs w:val="24"/>
                <w14:textFill>
                  <w14:solidFill>
                    <w14:schemeClr w14:val="tx1"/>
                  </w14:solidFill>
                </w14:textFill>
              </w:rPr>
              <w:t>评审细则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8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商务评审</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kern w:val="21"/>
                <w:position w:val="0"/>
                <w:sz w:val="24"/>
                <w:szCs w:val="24"/>
                <w14:textFill>
                  <w14:solidFill>
                    <w14:schemeClr w14:val="tx1"/>
                  </w14:solidFill>
                </w14:textFill>
              </w:rPr>
              <w:t>分</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7" w:hRule="atLeast"/>
        </w:trPr>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pacing w:val="0"/>
                <w:kern w:val="21"/>
                <w:position w:val="0"/>
                <w:sz w:val="24"/>
                <w:szCs w:val="24"/>
                <w:lang w:eastAsia="zh-CN"/>
              </w:rPr>
            </w:pPr>
            <w:r>
              <w:rPr>
                <w:rFonts w:hint="eastAsia" w:ascii="宋体" w:hAnsi="宋体" w:eastAsia="宋体" w:cs="宋体"/>
                <w:color w:val="auto"/>
                <w:spacing w:val="0"/>
                <w:kern w:val="21"/>
                <w:position w:val="0"/>
                <w:sz w:val="24"/>
                <w:szCs w:val="24"/>
                <w:lang w:val="en-US" w:eastAsia="zh-CN"/>
              </w:rPr>
              <w:t>1</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pacing w:val="0"/>
                <w:kern w:val="21"/>
                <w:position w:val="0"/>
                <w:sz w:val="24"/>
                <w:szCs w:val="24"/>
              </w:rPr>
            </w:pPr>
            <w:r>
              <w:rPr>
                <w:rFonts w:hint="eastAsia" w:ascii="宋体" w:hAnsi="宋体" w:eastAsia="宋体" w:cs="宋体"/>
                <w:color w:val="auto"/>
                <w:spacing w:val="0"/>
                <w:kern w:val="21"/>
                <w:position w:val="0"/>
                <w:sz w:val="24"/>
                <w:szCs w:val="24"/>
              </w:rPr>
              <w:t>履约经验</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pacing w:val="0"/>
                <w:kern w:val="21"/>
                <w:position w:val="0"/>
                <w:sz w:val="24"/>
                <w:szCs w:val="24"/>
              </w:rPr>
            </w:pPr>
            <w:r>
              <w:rPr>
                <w:rFonts w:hint="eastAsia" w:ascii="宋体" w:hAnsi="宋体" w:eastAsia="宋体" w:cs="宋体"/>
                <w:color w:val="auto"/>
                <w:spacing w:val="0"/>
                <w:kern w:val="21"/>
                <w:position w:val="0"/>
                <w:sz w:val="24"/>
                <w:szCs w:val="24"/>
                <w:lang w:val="en-US" w:eastAsia="zh-CN"/>
              </w:rPr>
              <w:t>5</w:t>
            </w:r>
            <w:r>
              <w:rPr>
                <w:rFonts w:hint="eastAsia" w:ascii="宋体" w:hAnsi="宋体" w:eastAsia="宋体" w:cs="宋体"/>
                <w:color w:val="auto"/>
                <w:spacing w:val="0"/>
                <w:kern w:val="21"/>
                <w:position w:val="0"/>
                <w:sz w:val="24"/>
                <w:szCs w:val="24"/>
              </w:rPr>
              <w:t>分</w:t>
            </w:r>
          </w:p>
        </w:tc>
        <w:tc>
          <w:tcPr>
            <w:tcW w:w="7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auto"/>
                <w:spacing w:val="0"/>
                <w:kern w:val="21"/>
                <w:position w:val="0"/>
                <w:sz w:val="24"/>
                <w:szCs w:val="24"/>
              </w:rPr>
            </w:pPr>
            <w:r>
              <w:rPr>
                <w:rFonts w:hint="eastAsia" w:ascii="宋体" w:hAnsi="宋体" w:eastAsia="宋体" w:cs="宋体"/>
                <w:color w:val="auto"/>
                <w:spacing w:val="0"/>
                <w:kern w:val="21"/>
                <w:position w:val="0"/>
                <w:sz w:val="24"/>
                <w:szCs w:val="24"/>
              </w:rPr>
              <w:t>自2019年1月1日至今</w:t>
            </w:r>
            <w:r>
              <w:rPr>
                <w:rFonts w:hint="eastAsia" w:ascii="宋体" w:hAnsi="宋体" w:eastAsia="宋体" w:cs="宋体"/>
                <w:color w:val="auto"/>
                <w:spacing w:val="0"/>
                <w:kern w:val="21"/>
                <w:position w:val="0"/>
                <w:sz w:val="24"/>
                <w:szCs w:val="24"/>
                <w:lang w:eastAsia="zh-CN"/>
              </w:rPr>
              <w:t>（</w:t>
            </w:r>
            <w:r>
              <w:rPr>
                <w:rFonts w:hint="eastAsia" w:ascii="宋体" w:hAnsi="宋体" w:eastAsia="宋体" w:cs="宋体"/>
                <w:color w:val="auto"/>
                <w:spacing w:val="0"/>
                <w:kern w:val="21"/>
                <w:position w:val="0"/>
                <w:sz w:val="24"/>
                <w:szCs w:val="24"/>
              </w:rPr>
              <w:t>以签订合同时间为准</w:t>
            </w:r>
            <w:r>
              <w:rPr>
                <w:rFonts w:hint="eastAsia" w:ascii="宋体" w:hAnsi="宋体" w:eastAsia="宋体" w:cs="宋体"/>
                <w:color w:val="auto"/>
                <w:spacing w:val="0"/>
                <w:kern w:val="21"/>
                <w:position w:val="0"/>
                <w:sz w:val="24"/>
                <w:szCs w:val="24"/>
                <w:lang w:eastAsia="zh-CN"/>
              </w:rPr>
              <w:t>）</w:t>
            </w:r>
            <w:r>
              <w:rPr>
                <w:rFonts w:hint="eastAsia" w:ascii="宋体" w:hAnsi="宋体" w:eastAsia="宋体" w:cs="宋体"/>
                <w:color w:val="auto"/>
                <w:spacing w:val="0"/>
                <w:kern w:val="21"/>
                <w:position w:val="0"/>
                <w:sz w:val="24"/>
                <w:szCs w:val="24"/>
              </w:rPr>
              <w:t>报价人完成的合同金额大于</w:t>
            </w:r>
            <w:r>
              <w:rPr>
                <w:rFonts w:hint="eastAsia" w:ascii="宋体" w:hAnsi="宋体" w:eastAsia="宋体" w:cs="宋体"/>
                <w:color w:val="auto"/>
                <w:spacing w:val="0"/>
                <w:kern w:val="21"/>
                <w:position w:val="0"/>
                <w:sz w:val="24"/>
                <w:szCs w:val="24"/>
                <w:lang w:val="en-US" w:eastAsia="zh-CN"/>
              </w:rPr>
              <w:t>10</w:t>
            </w:r>
            <w:r>
              <w:rPr>
                <w:rFonts w:hint="eastAsia" w:ascii="宋体" w:hAnsi="宋体" w:eastAsia="宋体" w:cs="宋体"/>
                <w:color w:val="auto"/>
                <w:spacing w:val="0"/>
                <w:kern w:val="21"/>
                <w:position w:val="0"/>
                <w:sz w:val="24"/>
                <w:szCs w:val="24"/>
              </w:rPr>
              <w:t>万</w:t>
            </w:r>
            <w:r>
              <w:rPr>
                <w:rFonts w:hint="eastAsia" w:ascii="宋体" w:hAnsi="宋体" w:eastAsia="宋体" w:cs="宋体"/>
                <w:color w:val="auto"/>
                <w:spacing w:val="0"/>
                <w:kern w:val="21"/>
                <w:position w:val="0"/>
                <w:sz w:val="24"/>
                <w:szCs w:val="24"/>
                <w:lang w:val="en-US" w:eastAsia="zh-CN"/>
              </w:rPr>
              <w:t>及30万元以下</w:t>
            </w:r>
            <w:r>
              <w:rPr>
                <w:rFonts w:hint="eastAsia" w:ascii="宋体" w:hAnsi="宋体" w:eastAsia="宋体" w:cs="宋体"/>
                <w:color w:val="auto"/>
                <w:spacing w:val="0"/>
                <w:kern w:val="21"/>
                <w:position w:val="0"/>
                <w:sz w:val="24"/>
                <w:szCs w:val="24"/>
              </w:rPr>
              <w:t>的装修</w:t>
            </w:r>
            <w:r>
              <w:rPr>
                <w:rFonts w:hint="eastAsia" w:ascii="宋体" w:hAnsi="宋体" w:eastAsia="宋体" w:cs="宋体"/>
                <w:color w:val="auto"/>
                <w:spacing w:val="0"/>
                <w:kern w:val="21"/>
                <w:position w:val="0"/>
                <w:sz w:val="24"/>
                <w:szCs w:val="24"/>
                <w:lang w:val="en-US" w:eastAsia="zh-CN"/>
              </w:rPr>
              <w:t>类或建筑类</w:t>
            </w:r>
            <w:r>
              <w:rPr>
                <w:rFonts w:hint="eastAsia" w:ascii="宋体" w:hAnsi="宋体" w:eastAsia="宋体" w:cs="宋体"/>
                <w:color w:val="auto"/>
                <w:spacing w:val="0"/>
                <w:kern w:val="21"/>
                <w:position w:val="0"/>
                <w:sz w:val="24"/>
                <w:szCs w:val="24"/>
              </w:rPr>
              <w:t>项目业绩，提供合同业绩得</w:t>
            </w:r>
            <w:r>
              <w:rPr>
                <w:rFonts w:hint="eastAsia" w:ascii="宋体" w:hAnsi="宋体" w:eastAsia="宋体" w:cs="宋体"/>
                <w:color w:val="auto"/>
                <w:spacing w:val="0"/>
                <w:kern w:val="21"/>
                <w:position w:val="0"/>
                <w:sz w:val="24"/>
                <w:szCs w:val="24"/>
                <w:lang w:val="en-US" w:eastAsia="zh-CN"/>
              </w:rPr>
              <w:t>3</w:t>
            </w:r>
            <w:r>
              <w:rPr>
                <w:rFonts w:hint="eastAsia" w:ascii="宋体" w:hAnsi="宋体" w:eastAsia="宋体" w:cs="宋体"/>
                <w:color w:val="auto"/>
                <w:spacing w:val="0"/>
                <w:kern w:val="21"/>
                <w:position w:val="0"/>
                <w:sz w:val="24"/>
                <w:szCs w:val="24"/>
              </w:rPr>
              <w:t>分</w:t>
            </w:r>
            <w:r>
              <w:rPr>
                <w:rFonts w:hint="eastAsia" w:ascii="宋体" w:hAnsi="宋体" w:eastAsia="宋体" w:cs="宋体"/>
                <w:color w:val="auto"/>
                <w:spacing w:val="0"/>
                <w:kern w:val="21"/>
                <w:position w:val="0"/>
                <w:sz w:val="24"/>
                <w:szCs w:val="24"/>
                <w:lang w:eastAsia="zh-CN"/>
              </w:rPr>
              <w:t>；</w:t>
            </w:r>
            <w:r>
              <w:rPr>
                <w:rFonts w:hint="eastAsia" w:ascii="宋体" w:hAnsi="宋体" w:eastAsia="宋体" w:cs="宋体"/>
                <w:color w:val="auto"/>
                <w:spacing w:val="0"/>
                <w:kern w:val="21"/>
                <w:position w:val="0"/>
                <w:sz w:val="24"/>
                <w:szCs w:val="24"/>
                <w:lang w:val="en-US" w:eastAsia="zh-CN"/>
              </w:rPr>
              <w:t>或单个合同金额大于30万（含30万元）的装修类或建筑类</w:t>
            </w:r>
            <w:r>
              <w:rPr>
                <w:rFonts w:hint="eastAsia" w:ascii="宋体" w:hAnsi="宋体" w:eastAsia="宋体" w:cs="宋体"/>
                <w:color w:val="auto"/>
                <w:spacing w:val="0"/>
                <w:kern w:val="21"/>
                <w:position w:val="0"/>
                <w:sz w:val="24"/>
                <w:szCs w:val="24"/>
              </w:rPr>
              <w:t>项目业绩</w:t>
            </w:r>
            <w:r>
              <w:rPr>
                <w:rFonts w:hint="eastAsia" w:ascii="宋体" w:hAnsi="宋体" w:eastAsia="宋体" w:cs="宋体"/>
                <w:color w:val="auto"/>
                <w:spacing w:val="0"/>
                <w:kern w:val="21"/>
                <w:position w:val="0"/>
                <w:sz w:val="24"/>
                <w:szCs w:val="24"/>
                <w:lang w:eastAsia="zh-CN"/>
              </w:rPr>
              <w:t>，</w:t>
            </w:r>
            <w:r>
              <w:rPr>
                <w:rFonts w:hint="eastAsia" w:ascii="宋体" w:hAnsi="宋体" w:eastAsia="宋体" w:cs="宋体"/>
                <w:color w:val="auto"/>
                <w:spacing w:val="0"/>
                <w:kern w:val="21"/>
                <w:position w:val="0"/>
                <w:sz w:val="24"/>
                <w:szCs w:val="24"/>
                <w:lang w:val="en-US" w:eastAsia="zh-CN"/>
              </w:rPr>
              <w:t>提供合同业绩得5分</w:t>
            </w:r>
            <w:r>
              <w:rPr>
                <w:rFonts w:hint="eastAsia" w:ascii="宋体" w:hAnsi="宋体" w:eastAsia="宋体" w:cs="宋体"/>
                <w:color w:val="auto"/>
                <w:spacing w:val="0"/>
                <w:kern w:val="21"/>
                <w:position w:val="0"/>
                <w:sz w:val="24"/>
                <w:szCs w:val="24"/>
              </w:rPr>
              <w:t>。本项最高得</w:t>
            </w:r>
            <w:r>
              <w:rPr>
                <w:rFonts w:hint="eastAsia" w:ascii="宋体" w:hAnsi="宋体" w:eastAsia="宋体" w:cs="宋体"/>
                <w:color w:val="auto"/>
                <w:spacing w:val="0"/>
                <w:kern w:val="21"/>
                <w:position w:val="0"/>
                <w:sz w:val="24"/>
                <w:szCs w:val="24"/>
                <w:lang w:val="en-US" w:eastAsia="zh-CN"/>
              </w:rPr>
              <w:t>5</w:t>
            </w:r>
            <w:r>
              <w:rPr>
                <w:rFonts w:hint="eastAsia" w:ascii="宋体" w:hAnsi="宋体" w:eastAsia="宋体" w:cs="宋体"/>
                <w:color w:val="auto"/>
                <w:spacing w:val="0"/>
                <w:kern w:val="21"/>
                <w:position w:val="0"/>
                <w:sz w:val="24"/>
                <w:szCs w:val="24"/>
              </w:rPr>
              <w:t>分。</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auto"/>
                <w:spacing w:val="0"/>
                <w:kern w:val="21"/>
                <w:position w:val="0"/>
                <w:sz w:val="24"/>
                <w:szCs w:val="24"/>
              </w:rPr>
            </w:pPr>
            <w:r>
              <w:rPr>
                <w:rFonts w:hint="eastAsia" w:ascii="宋体" w:hAnsi="宋体" w:eastAsia="宋体" w:cs="宋体"/>
                <w:color w:val="auto"/>
                <w:spacing w:val="0"/>
                <w:kern w:val="21"/>
                <w:position w:val="0"/>
                <w:sz w:val="24"/>
                <w:szCs w:val="24"/>
              </w:rPr>
              <w:t>注：以上合同不得重复，须提供合同复印件，并同时加盖报价人公章，不符合以上要求</w:t>
            </w:r>
            <w:r>
              <w:rPr>
                <w:rFonts w:hint="eastAsia" w:ascii="宋体" w:hAnsi="宋体" w:eastAsia="宋体" w:cs="宋体"/>
                <w:color w:val="auto"/>
                <w:spacing w:val="0"/>
                <w:kern w:val="21"/>
                <w:position w:val="0"/>
                <w:sz w:val="24"/>
                <w:szCs w:val="24"/>
                <w:lang w:eastAsia="zh-CN"/>
              </w:rPr>
              <w:t>的</w:t>
            </w:r>
            <w:r>
              <w:rPr>
                <w:rFonts w:hint="eastAsia" w:ascii="宋体" w:hAnsi="宋体" w:eastAsia="宋体" w:cs="宋体"/>
                <w:color w:val="auto"/>
                <w:spacing w:val="0"/>
                <w:kern w:val="21"/>
                <w:position w:val="0"/>
                <w:sz w:val="24"/>
                <w:szCs w:val="24"/>
              </w:rPr>
              <w:t>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pacing w:val="0"/>
                <w:kern w:val="21"/>
                <w:position w:val="0"/>
                <w:sz w:val="24"/>
                <w:szCs w:val="24"/>
              </w:rPr>
            </w:pPr>
            <w:r>
              <w:rPr>
                <w:rFonts w:hint="eastAsia" w:ascii="宋体" w:hAnsi="宋体" w:eastAsia="宋体" w:cs="宋体"/>
                <w:color w:val="auto"/>
                <w:spacing w:val="0"/>
                <w:kern w:val="21"/>
                <w:position w:val="0"/>
                <w:sz w:val="24"/>
                <w:szCs w:val="24"/>
              </w:rPr>
              <w:t>技术评审</w:t>
            </w:r>
            <w:r>
              <w:rPr>
                <w:rFonts w:hint="eastAsia" w:ascii="宋体" w:hAnsi="宋体" w:eastAsia="宋体" w:cs="宋体"/>
                <w:color w:val="auto"/>
                <w:spacing w:val="0"/>
                <w:kern w:val="21"/>
                <w:position w:val="0"/>
                <w:sz w:val="24"/>
                <w:szCs w:val="24"/>
                <w:lang w:eastAsia="zh-CN"/>
              </w:rPr>
              <w:t>（</w:t>
            </w:r>
            <w:r>
              <w:rPr>
                <w:rFonts w:hint="eastAsia" w:ascii="宋体" w:hAnsi="宋体" w:eastAsia="宋体" w:cs="宋体"/>
                <w:color w:val="auto"/>
                <w:spacing w:val="0"/>
                <w:kern w:val="21"/>
                <w:position w:val="0"/>
                <w:sz w:val="24"/>
                <w:szCs w:val="24"/>
              </w:rPr>
              <w:t>3</w:t>
            </w:r>
            <w:r>
              <w:rPr>
                <w:rFonts w:hint="eastAsia" w:ascii="宋体" w:hAnsi="宋体" w:eastAsia="宋体" w:cs="宋体"/>
                <w:color w:val="auto"/>
                <w:spacing w:val="0"/>
                <w:kern w:val="21"/>
                <w:position w:val="0"/>
                <w:sz w:val="24"/>
                <w:szCs w:val="24"/>
                <w:lang w:val="en-US" w:eastAsia="zh-CN"/>
              </w:rPr>
              <w:t>0</w:t>
            </w:r>
            <w:r>
              <w:rPr>
                <w:rFonts w:hint="eastAsia" w:ascii="宋体" w:hAnsi="宋体" w:eastAsia="宋体" w:cs="宋体"/>
                <w:color w:val="auto"/>
                <w:spacing w:val="0"/>
                <w:kern w:val="21"/>
                <w:position w:val="0"/>
                <w:sz w:val="24"/>
                <w:szCs w:val="24"/>
              </w:rPr>
              <w:t>分</w:t>
            </w:r>
            <w:r>
              <w:rPr>
                <w:rFonts w:hint="eastAsia" w:ascii="宋体" w:hAnsi="宋体" w:eastAsia="宋体" w:cs="宋体"/>
                <w:color w:val="auto"/>
                <w:spacing w:val="0"/>
                <w:kern w:val="21"/>
                <w:position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685"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1</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报价响应</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程度</w:t>
            </w:r>
          </w:p>
        </w:tc>
        <w:tc>
          <w:tcPr>
            <w:tcW w:w="810"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6分</w:t>
            </w:r>
          </w:p>
        </w:tc>
        <w:tc>
          <w:tcPr>
            <w:tcW w:w="7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根据报价人对采购人需求响应情况进行评分，要求在《报价汇总表》中逐条进行响应报价，细目的响应为满足或优于的得2</w:t>
            </w:r>
          </w:p>
          <w:p>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分/一项，满分6分。标准低于响应要求的扣2分/一项，该部</w:t>
            </w:r>
          </w:p>
          <w:p>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分值扣完为止。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5" w:hRule="atLeast"/>
        </w:trPr>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2</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拟投入人</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员情况</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kern w:val="21"/>
                <w:position w:val="0"/>
                <w:sz w:val="24"/>
                <w:szCs w:val="24"/>
                <w14:textFill>
                  <w14:solidFill>
                    <w14:schemeClr w14:val="tx1"/>
                  </w14:solidFill>
                </w14:textFill>
              </w:rPr>
              <w:t>分</w:t>
            </w:r>
          </w:p>
        </w:tc>
        <w:tc>
          <w:tcPr>
            <w:tcW w:w="7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1</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项目负责人：</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投标人拟派项目负责人具有工程师或以上证书，得</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kern w:val="21"/>
                <w:position w:val="0"/>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2</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技术人员</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不含项目负责人</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投标人拟派技术人员具有初级工程师以上证书的每个证书得1分，最高得</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kern w:val="21"/>
                <w:position w:val="0"/>
                <w:sz w:val="24"/>
                <w:szCs w:val="24"/>
                <w14:textFill>
                  <w14:solidFill>
                    <w14:schemeClr w14:val="tx1"/>
                  </w14:solidFill>
                </w14:textFill>
              </w:rPr>
              <w:t>分</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投标人拟派技术人员具有市级</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或以上</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培训机构出具的《企</w:t>
            </w:r>
          </w:p>
          <w:p>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业安全管理人员》证书，每个得1分，最高得</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kern w:val="21"/>
                <w:position w:val="0"/>
                <w:sz w:val="24"/>
                <w:szCs w:val="24"/>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3</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项目工作</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方案</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6分</w:t>
            </w:r>
          </w:p>
        </w:tc>
        <w:tc>
          <w:tcPr>
            <w:tcW w:w="7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根据各报价人的项目工作方案的实施工作内容、实施计划等主要内容进行评审。</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项目工作方案设计详尽、清晰，在施工设计、实施、</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验收</w:t>
            </w:r>
            <w:r>
              <w:rPr>
                <w:rFonts w:hint="eastAsia" w:ascii="宋体" w:hAnsi="宋体" w:eastAsia="宋体" w:cs="宋体"/>
                <w:color w:val="000000" w:themeColor="text1"/>
                <w:spacing w:val="0"/>
                <w:kern w:val="21"/>
                <w:position w:val="0"/>
                <w:sz w:val="24"/>
                <w:szCs w:val="24"/>
                <w14:textFill>
                  <w14:solidFill>
                    <w14:schemeClr w14:val="tx1"/>
                  </w14:solidFill>
                </w14:textFill>
              </w:rPr>
              <w:t>等环节可以提供的实施工作内容的介绍较详细，准确把握采购人需求，并能对可能存在的实施重点、难点进行分析，时间安排计划完整明晰、可操作性强，得6分</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p>
        </w:tc>
      </w:tr>
    </w:tbl>
    <w:tbl>
      <w:tblPr>
        <w:tblStyle w:val="26"/>
        <w:tblpPr w:leftFromText="180" w:rightFromText="180" w:vertAnchor="text" w:horzAnchor="page" w:tblpX="1091" w:tblpY="135"/>
        <w:tblOverlap w:val="never"/>
        <w:tblW w:w="96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042"/>
        <w:gridCol w:w="689"/>
        <w:gridCol w:w="7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700" w:type="dxa"/>
            <w:noWrap w:val="0"/>
            <w:vAlign w:val="top"/>
          </w:tcPr>
          <w:p>
            <w:pPr>
              <w:pStyle w:val="27"/>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p>
        </w:tc>
        <w:tc>
          <w:tcPr>
            <w:tcW w:w="1042" w:type="dxa"/>
            <w:noWrap w:val="0"/>
            <w:vAlign w:val="top"/>
          </w:tcPr>
          <w:p>
            <w:pPr>
              <w:pStyle w:val="27"/>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p>
        </w:tc>
        <w:tc>
          <w:tcPr>
            <w:tcW w:w="689" w:type="dxa"/>
            <w:noWrap w:val="0"/>
            <w:vAlign w:val="top"/>
          </w:tcPr>
          <w:p>
            <w:pPr>
              <w:pStyle w:val="27"/>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p>
        </w:tc>
        <w:tc>
          <w:tcPr>
            <w:tcW w:w="7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项目工作方案设计完整、清晰，对可以提供的实施工作内容介绍较全面，较好理解采购人需求，时间安排计划完整可行</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得4分；</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项目施工方案内容完整，包含在施工方案设计、实施、验收等环节上可以提供的实施工作内容，对采购人需求理解一般，时间安排计划可行，得2分</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未提供有施工方案的得0分。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2" w:hRule="atLeast"/>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4</w:t>
            </w:r>
          </w:p>
        </w:tc>
        <w:tc>
          <w:tcPr>
            <w:tcW w:w="10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项目组织</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计划、质</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量、安全</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措施</w:t>
            </w:r>
          </w:p>
        </w:tc>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6分</w:t>
            </w:r>
          </w:p>
        </w:tc>
        <w:tc>
          <w:tcPr>
            <w:tcW w:w="7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对项目组织进度计划的科学合理、可行性；项目方案、供货安装进度安排及生产质量控制措施、安全保证措施及其承诺进行评审：</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投标人的项目组织进度计划的科学合理、可行性高；计划涉及的项目方案、供货安装进度安排及生产质量控制措施、</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安全</w:t>
            </w:r>
            <w:r>
              <w:rPr>
                <w:rFonts w:hint="eastAsia" w:ascii="宋体" w:hAnsi="宋体" w:eastAsia="宋体" w:cs="宋体"/>
                <w:color w:val="000000" w:themeColor="text1"/>
                <w:spacing w:val="0"/>
                <w:kern w:val="21"/>
                <w:position w:val="0"/>
                <w:sz w:val="24"/>
                <w:szCs w:val="24"/>
                <w14:textFill>
                  <w14:solidFill>
                    <w14:schemeClr w14:val="tx1"/>
                  </w14:solidFill>
                </w14:textFill>
              </w:rPr>
              <w:t>保证措施及其承诺进行评审整体为优，得6分；</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投标人的项目组织进度计划的较科学合理、可行性较高；计划涉及的项目方案、供货安装进度安排及生产质量控制措施、安全保证措施及其承诺进行评审整体为良，得4分；</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投标人的项目组织进度计划的较不合理、可行性低；计划涉及项目方案、供货安装进度安排及生产质量控制措施、安全保证措施及其承诺进行评审整体为差，得2分。</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无提供对应方案不得分。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4" w:hRule="atLeast"/>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5</w:t>
            </w:r>
          </w:p>
        </w:tc>
        <w:tc>
          <w:tcPr>
            <w:tcW w:w="10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售后服务</w:t>
            </w:r>
          </w:p>
        </w:tc>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kern w:val="21"/>
                <w:position w:val="0"/>
                <w:sz w:val="24"/>
                <w:szCs w:val="24"/>
                <w14:textFill>
                  <w14:solidFill>
                    <w14:schemeClr w14:val="tx1"/>
                  </w14:solidFill>
                </w14:textFill>
              </w:rPr>
              <w:t>分</w:t>
            </w:r>
          </w:p>
        </w:tc>
        <w:tc>
          <w:tcPr>
            <w:tcW w:w="72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kern w:val="21"/>
                <w:position w:val="0"/>
                <w:sz w:val="24"/>
                <w:szCs w:val="24"/>
                <w14:textFill>
                  <w14:solidFill>
                    <w14:schemeClr w14:val="tx1"/>
                  </w14:solidFill>
                </w14:textFill>
              </w:rPr>
              <w:t xml:space="preserve">承诺更长保修期 </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满分</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kern w:val="21"/>
                <w:position w:val="0"/>
                <w:sz w:val="24"/>
                <w:szCs w:val="24"/>
                <w14:textFill>
                  <w14:solidFill>
                    <w14:schemeClr w14:val="tx1"/>
                  </w14:solidFill>
                </w14:textFill>
              </w:rPr>
              <w:t>分</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项目承诺2年质保期得基准</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kern w:val="21"/>
                <w:position w:val="0"/>
                <w:sz w:val="24"/>
                <w:szCs w:val="24"/>
                <w14:textFill>
                  <w14:solidFill>
                    <w14:schemeClr w14:val="tx1"/>
                  </w14:solidFill>
                </w14:textFill>
              </w:rPr>
              <w:t>分，每延长半年增加1分，此项满分</w:t>
            </w: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kern w:val="21"/>
                <w:position w:val="0"/>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kern w:val="21"/>
                <w:position w:val="0"/>
                <w:sz w:val="24"/>
                <w:szCs w:val="24"/>
                <w14:textFill>
                  <w14:solidFill>
                    <w14:schemeClr w14:val="tx1"/>
                  </w14:solidFill>
                </w14:textFill>
              </w:rPr>
              <w:t xml:space="preserve">售后服务方案分  </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21"/>
                <w:position w:val="0"/>
                <w:sz w:val="24"/>
                <w:szCs w:val="24"/>
                <w14:textFill>
                  <w14:solidFill>
                    <w14:schemeClr w14:val="tx1"/>
                  </w14:solidFill>
                </w14:textFill>
              </w:rPr>
              <w:t>满分3分</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根据报价人提供售后服务方案进行评审。</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优：方案合理、可行性较强、完整性较好，得3分</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 xml:space="preserve">良：方案一般、可行性一般、完整性一般，得2分； </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差；方案欠合理、可</w:t>
            </w:r>
            <w:r>
              <w:rPr>
                <w:rFonts w:hint="eastAsia" w:ascii="宋体" w:hAnsi="宋体" w:eastAsia="宋体" w:cs="宋体"/>
                <w:color w:val="000000" w:themeColor="text1"/>
                <w:spacing w:val="0"/>
                <w:kern w:val="21"/>
                <w:position w:val="0"/>
                <w:sz w:val="24"/>
                <w:szCs w:val="24"/>
                <w:lang w:eastAsia="zh-CN"/>
                <w14:textFill>
                  <w14:solidFill>
                    <w14:schemeClr w14:val="tx1"/>
                  </w14:solidFill>
                </w14:textFill>
              </w:rPr>
              <w:t>行</w:t>
            </w:r>
            <w:bookmarkStart w:id="0" w:name="_GoBack"/>
            <w:bookmarkEnd w:id="0"/>
            <w:r>
              <w:rPr>
                <w:rFonts w:hint="eastAsia" w:ascii="宋体" w:hAnsi="宋体" w:eastAsia="宋体" w:cs="宋体"/>
                <w:color w:val="000000" w:themeColor="text1"/>
                <w:spacing w:val="0"/>
                <w:kern w:val="21"/>
                <w:position w:val="0"/>
                <w:sz w:val="24"/>
                <w:szCs w:val="24"/>
                <w14:textFill>
                  <w14:solidFill>
                    <w14:schemeClr w14:val="tx1"/>
                  </w14:solidFill>
                </w14:textFill>
              </w:rPr>
              <w:t>性强不高、有缺漏项，得1分；</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965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14:textFill>
                  <w14:solidFill>
                    <w14:schemeClr w14:val="tx1"/>
                  </w14:solidFill>
                </w14:textFill>
              </w:rPr>
              <w:t>注 ：</w:t>
            </w:r>
          </w:p>
          <w:p>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kern w:val="21"/>
                <w:position w:val="0"/>
                <w:sz w:val="24"/>
                <w:szCs w:val="24"/>
                <w14:textFill>
                  <w14:solidFill>
                    <w14:schemeClr w14:val="tx1"/>
                  </w14:solidFill>
                </w14:textFill>
              </w:rPr>
              <w:t>无特殊说明外，以上评审项，同一证明文件不重复计分。</w:t>
            </w:r>
          </w:p>
          <w:p>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000000" w:themeColor="text1"/>
                <w:spacing w:val="0"/>
                <w:kern w:val="21"/>
                <w:position w:val="0"/>
                <w:sz w:val="24"/>
                <w:szCs w:val="24"/>
                <w14:textFill>
                  <w14:solidFill>
                    <w14:schemeClr w14:val="tx1"/>
                  </w14:solidFill>
                </w14:textFill>
              </w:rPr>
            </w:pPr>
            <w:r>
              <w:rPr>
                <w:rFonts w:hint="eastAsia" w:ascii="宋体" w:hAnsi="宋体" w:eastAsia="宋体" w:cs="宋体"/>
                <w:color w:val="000000" w:themeColor="text1"/>
                <w:spacing w:val="0"/>
                <w:kern w:val="21"/>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kern w:val="21"/>
                <w:position w:val="0"/>
                <w:sz w:val="24"/>
                <w:szCs w:val="24"/>
                <w14:textFill>
                  <w14:solidFill>
                    <w14:schemeClr w14:val="tx1"/>
                  </w14:solidFill>
                </w14:textFill>
              </w:rPr>
              <w:t>报价人根据以上评分要求提供的投标材料因模糊不清导致评审委员会无法清晰辨认进行评审的，视为无效材料。</w:t>
            </w:r>
          </w:p>
        </w:tc>
      </w:tr>
    </w:tbl>
    <w:p>
      <w:pPr>
        <w:pStyle w:val="3"/>
        <w:keepNext w:val="0"/>
        <w:keepLines w:val="0"/>
        <w:pageBreakBefore w:val="0"/>
        <w:widowControl w:val="0"/>
        <w:kinsoku/>
        <w:wordWrap/>
        <w:overflowPunct/>
        <w:topLinePunct w:val="0"/>
        <w:autoSpaceDE/>
        <w:autoSpaceDN/>
        <w:bidi w:val="0"/>
        <w:adjustRightInd/>
        <w:snapToGrid/>
        <w:spacing w:line="500" w:lineRule="exact"/>
        <w:ind w:right="0" w:firstLine="643" w:firstLineChars="200"/>
        <w:textAlignment w:val="auto"/>
        <w:outlineLvl w:val="6"/>
        <w:rPr>
          <w:rFonts w:hint="eastAsia" w:ascii="仿宋_GB2312" w:hAnsi="仿宋_GB2312" w:eastAsia="仿宋_GB2312" w:cs="仿宋_GB2312"/>
          <w:b/>
          <w:bCs/>
          <w:color w:val="000000" w:themeColor="text1"/>
          <w:spacing w:val="0"/>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00" w:lineRule="exact"/>
        <w:ind w:right="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sectPr>
      <w:footerReference r:id="rId4"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24D3CF-943F-4D5E-A351-641C907F76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B1DC282-C20D-4F7B-8655-A17A23E42ABA}"/>
  </w:font>
  <w:font w:name="方正小标宋_GBK">
    <w:panose1 w:val="03000509000000000000"/>
    <w:charset w:val="86"/>
    <w:family w:val="auto"/>
    <w:pitch w:val="default"/>
    <w:sig w:usb0="00000001" w:usb1="080E0000" w:usb2="00000000" w:usb3="00000000" w:csb0="00040000" w:csb1="00000000"/>
    <w:embedRegular r:id="rId3" w:fontKey="{96982281-67B6-4C41-A232-77C9CB03CC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NGJmNDBhYTFkODBhZTRkNjNhNDgyNTkzZmRiMTkifQ=="/>
  </w:docVars>
  <w:rsids>
    <w:rsidRoot w:val="00B871A0"/>
    <w:rsid w:val="000155A0"/>
    <w:rsid w:val="00027730"/>
    <w:rsid w:val="00043F5A"/>
    <w:rsid w:val="00071CBC"/>
    <w:rsid w:val="00084123"/>
    <w:rsid w:val="000B6F1C"/>
    <w:rsid w:val="000F1A7D"/>
    <w:rsid w:val="000F2547"/>
    <w:rsid w:val="001512B9"/>
    <w:rsid w:val="00184006"/>
    <w:rsid w:val="001A4D54"/>
    <w:rsid w:val="001B7637"/>
    <w:rsid w:val="001E0CAD"/>
    <w:rsid w:val="001E162A"/>
    <w:rsid w:val="001F6A9A"/>
    <w:rsid w:val="00201EFF"/>
    <w:rsid w:val="0020516F"/>
    <w:rsid w:val="00225714"/>
    <w:rsid w:val="00242EF3"/>
    <w:rsid w:val="00262AFD"/>
    <w:rsid w:val="002676CA"/>
    <w:rsid w:val="0027170C"/>
    <w:rsid w:val="00275434"/>
    <w:rsid w:val="002976D4"/>
    <w:rsid w:val="002A2FA4"/>
    <w:rsid w:val="002A3E1B"/>
    <w:rsid w:val="002B2277"/>
    <w:rsid w:val="00303983"/>
    <w:rsid w:val="003402A8"/>
    <w:rsid w:val="003450A3"/>
    <w:rsid w:val="00345AE7"/>
    <w:rsid w:val="0035583F"/>
    <w:rsid w:val="003B3166"/>
    <w:rsid w:val="003B67F3"/>
    <w:rsid w:val="003C2B99"/>
    <w:rsid w:val="00452B05"/>
    <w:rsid w:val="004768C0"/>
    <w:rsid w:val="00481B5D"/>
    <w:rsid w:val="0048309A"/>
    <w:rsid w:val="00492A86"/>
    <w:rsid w:val="004B745A"/>
    <w:rsid w:val="004D23F7"/>
    <w:rsid w:val="004D6D46"/>
    <w:rsid w:val="004F343B"/>
    <w:rsid w:val="00520168"/>
    <w:rsid w:val="00537AA9"/>
    <w:rsid w:val="00553624"/>
    <w:rsid w:val="00564927"/>
    <w:rsid w:val="00585D51"/>
    <w:rsid w:val="00592419"/>
    <w:rsid w:val="005D6102"/>
    <w:rsid w:val="0061598D"/>
    <w:rsid w:val="006264F5"/>
    <w:rsid w:val="00626693"/>
    <w:rsid w:val="00644E9D"/>
    <w:rsid w:val="006513A7"/>
    <w:rsid w:val="0065249D"/>
    <w:rsid w:val="00653095"/>
    <w:rsid w:val="00666027"/>
    <w:rsid w:val="00685A47"/>
    <w:rsid w:val="006D2970"/>
    <w:rsid w:val="006F3477"/>
    <w:rsid w:val="0078180D"/>
    <w:rsid w:val="00797A75"/>
    <w:rsid w:val="007C3090"/>
    <w:rsid w:val="007E7ADF"/>
    <w:rsid w:val="007F4056"/>
    <w:rsid w:val="00807DB1"/>
    <w:rsid w:val="00814103"/>
    <w:rsid w:val="00814441"/>
    <w:rsid w:val="00845E11"/>
    <w:rsid w:val="008577F4"/>
    <w:rsid w:val="00865A86"/>
    <w:rsid w:val="00867D3F"/>
    <w:rsid w:val="008A33C9"/>
    <w:rsid w:val="008B7292"/>
    <w:rsid w:val="008C0B48"/>
    <w:rsid w:val="008F4B8B"/>
    <w:rsid w:val="009508F1"/>
    <w:rsid w:val="009E15BC"/>
    <w:rsid w:val="00A10521"/>
    <w:rsid w:val="00A3768F"/>
    <w:rsid w:val="00A37723"/>
    <w:rsid w:val="00A834A9"/>
    <w:rsid w:val="00AA11CB"/>
    <w:rsid w:val="00AB46E6"/>
    <w:rsid w:val="00AC1885"/>
    <w:rsid w:val="00AC32F0"/>
    <w:rsid w:val="00AC428C"/>
    <w:rsid w:val="00AC7F3A"/>
    <w:rsid w:val="00AC7F87"/>
    <w:rsid w:val="00AE728D"/>
    <w:rsid w:val="00B007C0"/>
    <w:rsid w:val="00B33D92"/>
    <w:rsid w:val="00B4072B"/>
    <w:rsid w:val="00B62B6C"/>
    <w:rsid w:val="00B86205"/>
    <w:rsid w:val="00B871A0"/>
    <w:rsid w:val="00BB044E"/>
    <w:rsid w:val="00BB7E5A"/>
    <w:rsid w:val="00BC3470"/>
    <w:rsid w:val="00BC469C"/>
    <w:rsid w:val="00BD6F39"/>
    <w:rsid w:val="00C115D7"/>
    <w:rsid w:val="00C14EC3"/>
    <w:rsid w:val="00C17564"/>
    <w:rsid w:val="00C308BA"/>
    <w:rsid w:val="00C35EDF"/>
    <w:rsid w:val="00CF6A8F"/>
    <w:rsid w:val="00D0206A"/>
    <w:rsid w:val="00D130DA"/>
    <w:rsid w:val="00D221D4"/>
    <w:rsid w:val="00D5197B"/>
    <w:rsid w:val="00D550A9"/>
    <w:rsid w:val="00D708B7"/>
    <w:rsid w:val="00D70C5C"/>
    <w:rsid w:val="00D83556"/>
    <w:rsid w:val="00DA4FD3"/>
    <w:rsid w:val="00DB21B7"/>
    <w:rsid w:val="00DC1168"/>
    <w:rsid w:val="00DD1D63"/>
    <w:rsid w:val="00E16AAA"/>
    <w:rsid w:val="00E24D0C"/>
    <w:rsid w:val="00E25094"/>
    <w:rsid w:val="00E366C6"/>
    <w:rsid w:val="00E42E68"/>
    <w:rsid w:val="00E439EE"/>
    <w:rsid w:val="00E4407B"/>
    <w:rsid w:val="00E631EA"/>
    <w:rsid w:val="00EB1AC9"/>
    <w:rsid w:val="00ED6314"/>
    <w:rsid w:val="00EE6864"/>
    <w:rsid w:val="00EE7890"/>
    <w:rsid w:val="00EF0DC4"/>
    <w:rsid w:val="00F37DA9"/>
    <w:rsid w:val="00F51FBD"/>
    <w:rsid w:val="00F5618F"/>
    <w:rsid w:val="00F5669C"/>
    <w:rsid w:val="00F77EF9"/>
    <w:rsid w:val="00FE6975"/>
    <w:rsid w:val="02620384"/>
    <w:rsid w:val="02717E44"/>
    <w:rsid w:val="02CF5EA4"/>
    <w:rsid w:val="032D650E"/>
    <w:rsid w:val="04702B56"/>
    <w:rsid w:val="04BC0B42"/>
    <w:rsid w:val="063908B5"/>
    <w:rsid w:val="07583FE2"/>
    <w:rsid w:val="08B651F8"/>
    <w:rsid w:val="09E85885"/>
    <w:rsid w:val="0A190B04"/>
    <w:rsid w:val="0AE56F48"/>
    <w:rsid w:val="0B7A21BA"/>
    <w:rsid w:val="10D763C5"/>
    <w:rsid w:val="11720569"/>
    <w:rsid w:val="11A15FEE"/>
    <w:rsid w:val="1435157B"/>
    <w:rsid w:val="1536497B"/>
    <w:rsid w:val="176E49CC"/>
    <w:rsid w:val="177F3499"/>
    <w:rsid w:val="1A2A6696"/>
    <w:rsid w:val="1AFC2F3E"/>
    <w:rsid w:val="1E66520D"/>
    <w:rsid w:val="1FAE3D49"/>
    <w:rsid w:val="1FFB5053"/>
    <w:rsid w:val="21B272DB"/>
    <w:rsid w:val="21C83DD6"/>
    <w:rsid w:val="22561B1E"/>
    <w:rsid w:val="229E48DB"/>
    <w:rsid w:val="24EB3C12"/>
    <w:rsid w:val="25CD17C3"/>
    <w:rsid w:val="293427C8"/>
    <w:rsid w:val="2A1A23B2"/>
    <w:rsid w:val="2A8449D0"/>
    <w:rsid w:val="2A8D770F"/>
    <w:rsid w:val="2BA16908"/>
    <w:rsid w:val="2C5154C8"/>
    <w:rsid w:val="2D320A41"/>
    <w:rsid w:val="2D83304B"/>
    <w:rsid w:val="2E5A36D2"/>
    <w:rsid w:val="2F5C288A"/>
    <w:rsid w:val="2F6A2714"/>
    <w:rsid w:val="2FF5373D"/>
    <w:rsid w:val="335C00BA"/>
    <w:rsid w:val="34BB4CC3"/>
    <w:rsid w:val="354D68EB"/>
    <w:rsid w:val="39CB3DB0"/>
    <w:rsid w:val="3B4D0D40"/>
    <w:rsid w:val="3B9E2C3E"/>
    <w:rsid w:val="3BD10CD4"/>
    <w:rsid w:val="3EB8572F"/>
    <w:rsid w:val="3F8502C7"/>
    <w:rsid w:val="40A45A04"/>
    <w:rsid w:val="41EB2BF3"/>
    <w:rsid w:val="426C5DF4"/>
    <w:rsid w:val="436A12E5"/>
    <w:rsid w:val="44317169"/>
    <w:rsid w:val="444A077F"/>
    <w:rsid w:val="46935F19"/>
    <w:rsid w:val="484049B5"/>
    <w:rsid w:val="4A286C6D"/>
    <w:rsid w:val="4BBF20A9"/>
    <w:rsid w:val="4C2B1EAF"/>
    <w:rsid w:val="4E8642F1"/>
    <w:rsid w:val="52802444"/>
    <w:rsid w:val="534704F3"/>
    <w:rsid w:val="552A6B58"/>
    <w:rsid w:val="558D1E46"/>
    <w:rsid w:val="56035D31"/>
    <w:rsid w:val="561E7CBD"/>
    <w:rsid w:val="59654A62"/>
    <w:rsid w:val="5AA8464F"/>
    <w:rsid w:val="5C683B65"/>
    <w:rsid w:val="5E134FA4"/>
    <w:rsid w:val="5E284784"/>
    <w:rsid w:val="60536EA5"/>
    <w:rsid w:val="60CA0356"/>
    <w:rsid w:val="61AA13D4"/>
    <w:rsid w:val="62087A78"/>
    <w:rsid w:val="628F6BA4"/>
    <w:rsid w:val="62C93456"/>
    <w:rsid w:val="63570E4B"/>
    <w:rsid w:val="63BC47CD"/>
    <w:rsid w:val="64431560"/>
    <w:rsid w:val="64917820"/>
    <w:rsid w:val="64C14902"/>
    <w:rsid w:val="64CC0FF9"/>
    <w:rsid w:val="6597278A"/>
    <w:rsid w:val="65C84B8D"/>
    <w:rsid w:val="66244E2E"/>
    <w:rsid w:val="6642532A"/>
    <w:rsid w:val="6698520E"/>
    <w:rsid w:val="67410A3E"/>
    <w:rsid w:val="679F588B"/>
    <w:rsid w:val="691E189E"/>
    <w:rsid w:val="69570C78"/>
    <w:rsid w:val="6AC37497"/>
    <w:rsid w:val="6B3364C7"/>
    <w:rsid w:val="6BD01802"/>
    <w:rsid w:val="6D8A305E"/>
    <w:rsid w:val="6E6B522C"/>
    <w:rsid w:val="6F037EFE"/>
    <w:rsid w:val="6F2F1DA8"/>
    <w:rsid w:val="6FDF6BE9"/>
    <w:rsid w:val="70BD0C4A"/>
    <w:rsid w:val="78C338C8"/>
    <w:rsid w:val="79A96F62"/>
    <w:rsid w:val="79C053D3"/>
    <w:rsid w:val="7B8E6410"/>
    <w:rsid w:val="7CAB52BF"/>
    <w:rsid w:val="7D4E44FE"/>
    <w:rsid w:val="7DC13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spacing w:before="240" w:after="60"/>
      <w:outlineLvl w:val="3"/>
    </w:pPr>
    <w:rPr>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qFormat/>
    <w:uiPriority w:val="1"/>
    <w:pPr>
      <w:spacing w:before="161"/>
      <w:ind w:left="120"/>
    </w:pPr>
    <w:rPr>
      <w:rFonts w:ascii="宋体" w:hAnsi="宋体" w:eastAsia="宋体" w:cs="宋体"/>
      <w:sz w:val="24"/>
      <w:szCs w:val="24"/>
      <w:lang w:val="zh-CN" w:bidi="zh-CN"/>
    </w:rPr>
  </w:style>
  <w:style w:type="paragraph" w:styleId="4">
    <w:name w:val="Body Text Indent"/>
    <w:basedOn w:val="1"/>
    <w:next w:val="5"/>
    <w:qFormat/>
    <w:uiPriority w:val="0"/>
    <w:pPr>
      <w:spacing w:line="380" w:lineRule="exact"/>
      <w:ind w:firstLine="480"/>
    </w:pPr>
    <w:rPr>
      <w:rFonts w:eastAsia="方正书宋简体"/>
      <w:kern w:val="0"/>
      <w:sz w:val="24"/>
      <w:szCs w:val="20"/>
    </w:rPr>
  </w:style>
  <w:style w:type="paragraph" w:styleId="5">
    <w:name w:val="Body Text Indent 2"/>
    <w:basedOn w:val="1"/>
    <w:next w:val="6"/>
    <w:unhideWhenUsed/>
    <w:qFormat/>
    <w:uiPriority w:val="99"/>
    <w:pPr>
      <w:spacing w:line="360" w:lineRule="auto"/>
      <w:ind w:firstLine="720"/>
    </w:pPr>
    <w:rPr>
      <w:rFonts w:ascii="Times New Roman" w:hAnsi="Times New Roman" w:eastAsia="宋体" w:cs="Times New Roman"/>
      <w:sz w:val="28"/>
    </w:rPr>
  </w:style>
  <w:style w:type="paragraph" w:styleId="6">
    <w:name w:val="Body Text Indent 3"/>
    <w:basedOn w:val="1"/>
    <w:qFormat/>
    <w:uiPriority w:val="0"/>
    <w:pPr>
      <w:spacing w:after="120"/>
      <w:ind w:left="420" w:leftChars="200"/>
    </w:pPr>
    <w:rPr>
      <w:kern w:val="0"/>
      <w:sz w:val="16"/>
      <w:szCs w:val="16"/>
    </w:rPr>
  </w:style>
  <w:style w:type="paragraph" w:styleId="7">
    <w:name w:val="Plain Text"/>
    <w:basedOn w:val="1"/>
    <w:link w:val="17"/>
    <w:qFormat/>
    <w:uiPriority w:val="0"/>
    <w:rPr>
      <w:rFonts w:ascii="宋体" w:hAnsi="Courier New"/>
    </w:rPr>
  </w:style>
  <w:style w:type="paragraph" w:styleId="8">
    <w:name w:val="Balloon Text"/>
    <w:basedOn w:val="1"/>
    <w:link w:val="25"/>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customStyle="1" w:styleId="14">
    <w:name w:val="页眉 字符"/>
    <w:basedOn w:val="13"/>
    <w:link w:val="10"/>
    <w:qFormat/>
    <w:uiPriority w:val="0"/>
    <w:rPr>
      <w:sz w:val="18"/>
      <w:szCs w:val="18"/>
    </w:rPr>
  </w:style>
  <w:style w:type="character" w:customStyle="1" w:styleId="15">
    <w:name w:val="页脚 字符"/>
    <w:basedOn w:val="13"/>
    <w:link w:val="9"/>
    <w:qFormat/>
    <w:uiPriority w:val="99"/>
    <w:rPr>
      <w:sz w:val="18"/>
      <w:szCs w:val="18"/>
    </w:rPr>
  </w:style>
  <w:style w:type="character" w:customStyle="1" w:styleId="16">
    <w:name w:val="纯文本 Char"/>
    <w:qFormat/>
    <w:uiPriority w:val="0"/>
    <w:rPr>
      <w:rFonts w:ascii="宋体" w:hAnsi="Courier New"/>
    </w:rPr>
  </w:style>
  <w:style w:type="character" w:customStyle="1" w:styleId="17">
    <w:name w:val="纯文本 字符"/>
    <w:basedOn w:val="13"/>
    <w:link w:val="7"/>
    <w:semiHidden/>
    <w:qFormat/>
    <w:uiPriority w:val="99"/>
    <w:rPr>
      <w:rFonts w:ascii="宋体" w:hAnsi="Courier New" w:eastAsia="宋体" w:cs="Courier New"/>
      <w:szCs w:val="21"/>
    </w:rPr>
  </w:style>
  <w:style w:type="paragraph" w:customStyle="1" w:styleId="18">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9">
    <w:name w:val="正文文本 字符"/>
    <w:basedOn w:val="13"/>
    <w:link w:val="3"/>
    <w:qFormat/>
    <w:uiPriority w:val="1"/>
    <w:rPr>
      <w:rFonts w:ascii="宋体" w:hAnsi="宋体" w:eastAsia="宋体" w:cs="宋体"/>
      <w:kern w:val="2"/>
      <w:sz w:val="24"/>
      <w:szCs w:val="24"/>
      <w:lang w:val="zh-CN" w:bidi="zh-CN"/>
    </w:rPr>
  </w:style>
  <w:style w:type="character" w:customStyle="1" w:styleId="20">
    <w:name w:val="font61"/>
    <w:basedOn w:val="13"/>
    <w:qFormat/>
    <w:uiPriority w:val="0"/>
    <w:rPr>
      <w:rFonts w:hint="eastAsia" w:ascii="宋体" w:hAnsi="宋体" w:eastAsia="宋体" w:cs="宋体"/>
      <w:color w:val="000000"/>
      <w:sz w:val="18"/>
      <w:szCs w:val="18"/>
      <w:u w:val="none"/>
    </w:rPr>
  </w:style>
  <w:style w:type="character" w:customStyle="1" w:styleId="21">
    <w:name w:val="font91"/>
    <w:basedOn w:val="13"/>
    <w:qFormat/>
    <w:uiPriority w:val="0"/>
    <w:rPr>
      <w:rFonts w:ascii="Arial" w:hAnsi="Arial" w:cs="Arial"/>
      <w:color w:val="000000"/>
      <w:sz w:val="18"/>
      <w:szCs w:val="18"/>
      <w:u w:val="none"/>
    </w:rPr>
  </w:style>
  <w:style w:type="character" w:customStyle="1" w:styleId="22">
    <w:name w:val="font101"/>
    <w:basedOn w:val="13"/>
    <w:qFormat/>
    <w:uiPriority w:val="0"/>
    <w:rPr>
      <w:rFonts w:hint="eastAsia" w:ascii="宋体" w:hAnsi="宋体" w:eastAsia="宋体" w:cs="宋体"/>
      <w:b/>
      <w:bCs/>
      <w:color w:val="000000"/>
      <w:sz w:val="18"/>
      <w:szCs w:val="18"/>
      <w:u w:val="none"/>
    </w:rPr>
  </w:style>
  <w:style w:type="character" w:customStyle="1" w:styleId="23">
    <w:name w:val="font112"/>
    <w:basedOn w:val="13"/>
    <w:qFormat/>
    <w:uiPriority w:val="0"/>
    <w:rPr>
      <w:rFonts w:hint="eastAsia" w:ascii="宋体" w:hAnsi="宋体" w:eastAsia="宋体" w:cs="宋体"/>
      <w:color w:val="000000"/>
      <w:sz w:val="18"/>
      <w:szCs w:val="18"/>
      <w:u w:val="none"/>
      <w:vertAlign w:val="superscript"/>
    </w:rPr>
  </w:style>
  <w:style w:type="character" w:customStyle="1" w:styleId="24">
    <w:name w:val="font21"/>
    <w:basedOn w:val="13"/>
    <w:qFormat/>
    <w:uiPriority w:val="0"/>
    <w:rPr>
      <w:rFonts w:hint="eastAsia" w:ascii="宋体" w:hAnsi="宋体" w:eastAsia="宋体" w:cs="宋体"/>
      <w:color w:val="000000"/>
      <w:sz w:val="18"/>
      <w:szCs w:val="18"/>
      <w:u w:val="none"/>
    </w:rPr>
  </w:style>
  <w:style w:type="character" w:customStyle="1" w:styleId="25">
    <w:name w:val="批注框文本 字符"/>
    <w:basedOn w:val="13"/>
    <w:link w:val="8"/>
    <w:semiHidden/>
    <w:qFormat/>
    <w:uiPriority w:val="99"/>
    <w:rPr>
      <w:kern w:val="2"/>
      <w:sz w:val="18"/>
      <w:szCs w:val="18"/>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3155</Words>
  <Characters>3321</Characters>
  <Lines>11</Lines>
  <Paragraphs>3</Paragraphs>
  <TotalTime>37</TotalTime>
  <ScaleCrop>false</ScaleCrop>
  <LinksUpToDate>false</LinksUpToDate>
  <CharactersWithSpaces>3401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Administrator</cp:lastModifiedBy>
  <cp:lastPrinted>2024-07-22T07:34:00Z</cp:lastPrinted>
  <dcterms:modified xsi:type="dcterms:W3CDTF">2024-08-21T10:58:26Z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907CBB45BDC34ADCA066745631E40063_13</vt:lpwstr>
  </property>
</Properties>
</file>