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60" w:lineRule="exact"/>
        <w:jc w:val="center"/>
        <w:rPr>
          <w:rFonts w:ascii="华文中宋" w:hAnsi="华文中宋" w:eastAsia="华文中宋"/>
          <w:b/>
          <w:sz w:val="52"/>
          <w:szCs w:val="52"/>
        </w:rPr>
      </w:pPr>
    </w:p>
    <w:p>
      <w:pPr>
        <w:spacing w:line="600" w:lineRule="exact"/>
        <w:ind w:firstLine="2429" w:firstLineChars="550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自治区交通运输综合行政执法局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第二支队分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工会2025年职工生日</w:t>
      </w:r>
      <w:r>
        <w:rPr>
          <w:rFonts w:ascii="方正小标宋简体" w:hAnsi="方正小标宋简体" w:eastAsia="方正小标宋简体" w:cs="方正小标宋简体"/>
          <w:b/>
          <w:sz w:val="44"/>
          <w:szCs w:val="44"/>
        </w:rPr>
        <w:t>蛋糕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卡采购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询价文件</w:t>
      </w:r>
    </w:p>
    <w:p>
      <w:pPr>
        <w:rPr>
          <w:sz w:val="44"/>
          <w:szCs w:val="44"/>
        </w:rPr>
      </w:pPr>
    </w:p>
    <w:p/>
    <w:p/>
    <w:p/>
    <w:p>
      <w:pPr>
        <w:rPr>
          <w:b/>
          <w:sz w:val="84"/>
          <w:szCs w:val="84"/>
        </w:rPr>
      </w:pPr>
    </w:p>
    <w:p/>
    <w:p/>
    <w:p/>
    <w:p/>
    <w:p/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sz w:val="36"/>
          <w:szCs w:val="36"/>
        </w:rPr>
        <w:t>采购单位：自治区交通运输综合行政执法局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第二支队</w:t>
      </w: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日期：2025年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6"/>
          <w:szCs w:val="36"/>
        </w:rPr>
        <w:t>月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7</w:t>
      </w:r>
      <w:r>
        <w:rPr>
          <w:rFonts w:hint="eastAsia" w:ascii="黑体" w:hAnsi="黑体" w:eastAsia="黑体" w:cs="黑体"/>
          <w:b/>
          <w:sz w:val="36"/>
          <w:szCs w:val="36"/>
        </w:rPr>
        <w:t>日</w:t>
      </w: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自治区交通运输综合行政执法局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第二支队分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工会2025年职工生日蛋糕卡供应商需知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自治区交通运输综合行政执法局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第二支队分工会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拟采购2025年职工生日蛋糕卡，现邀请符合条件的机构参与报价。我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将根据各机构报价文件通过综合评分方式确定成交供应商，并与成交供应商通过签订合同实施采购。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1.采购项目名称：自治区交通运输综合行政执法局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第二支队分工会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2025年职工生日蛋糕卡。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2.采购方式：询价采购。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3.预算金额：人民币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4.最高限价：人民币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供应商须有工商营业执照及食品经营许可证，经营范围应当包括糕点类食品制售。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蛋糕卡要求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1.面值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蛋糕卡总计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149</w:t>
      </w:r>
      <w:r>
        <w:rPr>
          <w:rFonts w:hint="eastAsia" w:ascii="仿宋_GB2312" w:hAnsi="仿宋_GB2312" w:eastAsia="仿宋_GB2312" w:cs="仿宋_GB2312"/>
          <w:sz w:val="32"/>
          <w:szCs w:val="32"/>
        </w:rPr>
        <w:t>张，每张面值为500元,总值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万元。供应商自愿给予采购方加值的，应当直接加大面值，每张卡加值应当相同,加值的费用由供应商承担。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2.材质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蛋糕卡以PVC材料制作，无毒、无刺激性气味。制作费用由供应商承担。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报价文件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营业执照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食品经营许可证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资质证明资料复印件并加盖单位公章；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）法定代表人委托授权书复印件加盖公章。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）法定代表人及授权人身份证复印件加盖公章。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）供应商承诺在每张卡500元面值的基础上，给予每张卡增加的金额，不增加金额的也应当说明；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）供应商在南宁市区内销售网点的数量、详细地址及联系电话；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）供应商承诺蛋糕卡按月数计的有效期；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提供在“信用中国”网站（www.creditchina.gov.cn）和中国政府采购网（www.ccgp.gov.cn）查询到的主体信用记录结果。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2.文件递交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请供应商于2025年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下午6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前将装订成册的报价文件（一式五份）以信封密封好，送至交通执法局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第二支队办公室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（南宁市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望州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267-1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交通执法三楼320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室）。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如需邮寄送达，请用信封密封好并在邮寄封面注明投标资料和投标单位，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覃陆璐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0771-2411985。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（五）评审办法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支队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分工会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按内部控制制度的规定组织评审小组进行评审，并确定成交供应商。评审标准见附件。</w:t>
      </w:r>
    </w:p>
    <w:p>
      <w:pPr>
        <w:spacing w:line="560" w:lineRule="exact"/>
        <w:ind w:firstLine="420" w:firstLineChars="200"/>
      </w:pPr>
    </w:p>
    <w:p>
      <w:pPr>
        <w:spacing w:line="560" w:lineRule="exact"/>
        <w:ind w:left="1598" w:leftChars="304" w:hanging="960" w:hangingChars="3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附件：自治区交通运输综合行政执法局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第二支队分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工会202</w:t>
      </w:r>
      <w:r>
        <w:rPr>
          <w:rFonts w:ascii="仿宋_GB2312" w:hAnsi="黑体" w:eastAsia="仿宋_GB2312"/>
          <w:color w:val="000000"/>
          <w:sz w:val="32"/>
          <w:szCs w:val="32"/>
        </w:rPr>
        <w:t>5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年职工</w:t>
      </w:r>
      <w:r>
        <w:rPr>
          <w:rFonts w:ascii="仿宋_GB2312" w:hAnsi="黑体" w:eastAsia="仿宋_GB2312"/>
          <w:color w:val="000000"/>
          <w:sz w:val="32"/>
          <w:szCs w:val="32"/>
        </w:rPr>
        <w:t>生日蛋糕卡采购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评审标准表</w:t>
      </w:r>
    </w:p>
    <w:p>
      <w:pPr>
        <w:pStyle w:val="2"/>
        <w:rPr>
          <w:rFonts w:ascii="仿宋_GB2312" w:hAnsi="仿宋_GB2312" w:eastAsia="仿宋_GB2312" w:cs="仿宋_GB2312"/>
          <w:sz w:val="28"/>
          <w:szCs w:val="28"/>
        </w:rPr>
      </w:pPr>
    </w:p>
    <w:p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广西壮族自治区交通运输综合行政执法局第二支队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2025年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2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spacing w:line="520" w:lineRule="exact"/>
        <w:rPr>
          <w:rFonts w:ascii="方正小标宋_GBK" w:eastAsia="方正小标宋_GBK"/>
          <w:sz w:val="44"/>
          <w:szCs w:val="44"/>
        </w:rPr>
      </w:pPr>
    </w:p>
    <w:p>
      <w:pPr>
        <w:spacing w:line="520" w:lineRule="exact"/>
        <w:ind w:firstLine="440" w:firstLineChars="1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自治区交通运输综合行政执法局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第二支队分</w:t>
      </w:r>
      <w:r>
        <w:rPr>
          <w:rFonts w:hint="eastAsia" w:ascii="方正小标宋简体" w:eastAsia="方正小标宋简体"/>
          <w:sz w:val="44"/>
          <w:szCs w:val="44"/>
        </w:rPr>
        <w:t>工会202</w:t>
      </w:r>
      <w:r>
        <w:rPr>
          <w:rFonts w:ascii="方正小标宋简体" w:eastAsia="方正小标宋简体"/>
          <w:sz w:val="44"/>
          <w:szCs w:val="44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年职工</w:t>
      </w:r>
      <w:r>
        <w:rPr>
          <w:rFonts w:ascii="方正小标宋简体" w:eastAsia="方正小标宋简体"/>
          <w:sz w:val="44"/>
          <w:szCs w:val="44"/>
        </w:rPr>
        <w:t>生日蛋糕卡</w:t>
      </w:r>
    </w:p>
    <w:p>
      <w:pPr>
        <w:spacing w:line="520" w:lineRule="exact"/>
        <w:ind w:firstLine="440" w:firstLineChars="1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采购</w:t>
      </w:r>
      <w:r>
        <w:rPr>
          <w:rFonts w:hint="eastAsia" w:ascii="方正小标宋简体" w:eastAsia="方正小标宋简体"/>
          <w:sz w:val="44"/>
          <w:szCs w:val="44"/>
        </w:rPr>
        <w:t>评审标准表</w:t>
      </w:r>
    </w:p>
    <w:p>
      <w:pPr>
        <w:spacing w:line="520" w:lineRule="exact"/>
        <w:ind w:firstLine="160" w:firstLineChars="50"/>
        <w:rPr>
          <w:rFonts w:ascii="仿宋" w:hAnsi="仿宋" w:eastAsia="仿宋"/>
          <w:sz w:val="32"/>
          <w:szCs w:val="32"/>
        </w:rPr>
      </w:pPr>
    </w:p>
    <w:tbl>
      <w:tblPr>
        <w:tblStyle w:val="13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4961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59" w:type="dxa"/>
            <w:tcBorders>
              <w:bottom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bottom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评审</w:t>
            </w:r>
            <w:r>
              <w:rPr>
                <w:rFonts w:ascii="黑体" w:hAnsi="黑体" w:eastAsia="黑体"/>
                <w:sz w:val="32"/>
                <w:szCs w:val="32"/>
              </w:rPr>
              <w:t>因素</w:t>
            </w:r>
          </w:p>
        </w:tc>
        <w:tc>
          <w:tcPr>
            <w:tcW w:w="4961" w:type="dxa"/>
            <w:tcBorders>
              <w:bottom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评审</w:t>
            </w:r>
            <w:r>
              <w:rPr>
                <w:rFonts w:ascii="黑体" w:hAnsi="黑体" w:eastAsia="黑体"/>
                <w:sz w:val="32"/>
                <w:szCs w:val="32"/>
              </w:rPr>
              <w:t>因素具体内容</w:t>
            </w:r>
          </w:p>
        </w:tc>
        <w:tc>
          <w:tcPr>
            <w:tcW w:w="993" w:type="dxa"/>
            <w:tcBorders>
              <w:bottom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加值分</w:t>
            </w:r>
          </w:p>
        </w:tc>
        <w:tc>
          <w:tcPr>
            <w:tcW w:w="4961" w:type="dxa"/>
            <w:tcBorders>
              <w:top w:val="double" w:color="auto" w:sz="4" w:space="0"/>
              <w:bottom w:val="double" w:color="auto" w:sz="4" w:space="0"/>
            </w:tcBorders>
          </w:tcPr>
          <w:p>
            <w:pPr>
              <w:spacing w:line="52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加值最多</w:t>
            </w:r>
            <w:r>
              <w:rPr>
                <w:rFonts w:ascii="仿宋_GB2312" w:hAnsi="仿宋" w:eastAsia="仿宋_GB2312"/>
                <w:sz w:val="32"/>
                <w:szCs w:val="32"/>
              </w:rPr>
              <w:t>的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为</w:t>
            </w:r>
            <w:r>
              <w:rPr>
                <w:rFonts w:ascii="仿宋_GB2312" w:hAnsi="仿宋" w:eastAsia="仿宋_GB2312"/>
                <w:sz w:val="32"/>
                <w:szCs w:val="32"/>
              </w:rPr>
              <w:t>基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数</w:t>
            </w:r>
            <w:r>
              <w:rPr>
                <w:rFonts w:ascii="仿宋_GB2312" w:hAnsi="仿宋" w:eastAsia="仿宋_GB2312"/>
                <w:sz w:val="32"/>
                <w:szCs w:val="32"/>
              </w:rPr>
              <w:t>，得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分。其他加值</w:t>
            </w:r>
            <w:r>
              <w:rPr>
                <w:rFonts w:ascii="仿宋_GB2312" w:hAnsi="仿宋" w:eastAsia="仿宋_GB2312"/>
                <w:sz w:val="32"/>
                <w:szCs w:val="32"/>
              </w:rPr>
              <w:t>分=（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其他加值÷基数</w:t>
            </w:r>
            <w:r>
              <w:rPr>
                <w:rFonts w:ascii="仿宋_GB2312" w:hAnsi="仿宋" w:eastAsia="仿宋_GB2312"/>
                <w:sz w:val="32"/>
                <w:szCs w:val="32"/>
              </w:rPr>
              <w:t>）×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。</w:t>
            </w:r>
          </w:p>
        </w:tc>
        <w:tc>
          <w:tcPr>
            <w:tcW w:w="993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销售网点分</w:t>
            </w:r>
          </w:p>
        </w:tc>
        <w:tc>
          <w:tcPr>
            <w:tcW w:w="4961" w:type="dxa"/>
            <w:tcBorders>
              <w:top w:val="double" w:color="auto" w:sz="4" w:space="0"/>
            </w:tcBorders>
          </w:tcPr>
          <w:p>
            <w:pPr>
              <w:spacing w:line="520" w:lineRule="exact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销售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网点数最多</w:t>
            </w:r>
            <w:r>
              <w:rPr>
                <w:rFonts w:ascii="仿宋_GB2312" w:hAnsi="仿宋" w:eastAsia="仿宋_GB2312"/>
                <w:sz w:val="32"/>
                <w:szCs w:val="32"/>
              </w:rPr>
              <w:t>的为基数，得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分。其他</w:t>
            </w:r>
            <w:r>
              <w:rPr>
                <w:rFonts w:ascii="仿宋_GB2312" w:hAnsi="仿宋" w:eastAsia="仿宋_GB2312"/>
                <w:sz w:val="32"/>
                <w:szCs w:val="32"/>
              </w:rPr>
              <w:t>网点分=（其他网点数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÷基数）×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993" w:type="dxa"/>
            <w:tcBorders>
              <w:top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服务分</w:t>
            </w:r>
          </w:p>
        </w:tc>
        <w:tc>
          <w:tcPr>
            <w:tcW w:w="4961" w:type="dxa"/>
            <w:tcBorders>
              <w:top w:val="double" w:color="auto" w:sz="4" w:space="0"/>
            </w:tcBorders>
          </w:tcPr>
          <w:p>
            <w:pPr>
              <w:spacing w:line="520" w:lineRule="exact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有</w:t>
            </w:r>
            <w:r>
              <w:rPr>
                <w:rFonts w:ascii="仿宋_GB2312" w:hAnsi="仿宋" w:eastAsia="仿宋_GB2312"/>
                <w:sz w:val="32"/>
                <w:szCs w:val="32"/>
              </w:rPr>
              <w:t>效期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最长</w:t>
            </w:r>
            <w:r>
              <w:rPr>
                <w:rFonts w:ascii="仿宋_GB2312" w:hAnsi="仿宋" w:eastAsia="仿宋_GB2312"/>
                <w:sz w:val="32"/>
                <w:szCs w:val="32"/>
              </w:rPr>
              <w:t>的为基数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，</w:t>
            </w:r>
            <w:r>
              <w:rPr>
                <w:rFonts w:ascii="仿宋_GB2312" w:hAnsi="仿宋" w:eastAsia="仿宋_GB2312"/>
                <w:sz w:val="32"/>
                <w:szCs w:val="32"/>
              </w:rPr>
              <w:t>得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分。其他服务分=（其他有效期÷基数）×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993" w:type="dxa"/>
            <w:tcBorders>
              <w:top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2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综合得分=序号1+序号2+序号3，</w:t>
            </w:r>
            <w:r>
              <w:rPr>
                <w:rFonts w:ascii="仿宋_GB2312" w:hAnsi="黑体" w:eastAsia="仿宋_GB2312"/>
                <w:sz w:val="32"/>
                <w:szCs w:val="32"/>
              </w:rPr>
              <w:t>满分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100分。推荐综合得分排名第1</w:t>
            </w: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的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为候选成交供应商；综合得分相同的，推荐加值分较高</w:t>
            </w:r>
            <w:r>
              <w:rPr>
                <w:rFonts w:ascii="仿宋_GB2312" w:hAnsi="黑体" w:eastAsia="仿宋_GB2312"/>
                <w:sz w:val="32"/>
                <w:szCs w:val="32"/>
              </w:rPr>
              <w:t>者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为候选成交供应商；综合得分、加值</w:t>
            </w:r>
            <w:r>
              <w:rPr>
                <w:rFonts w:ascii="仿宋_GB2312" w:hAnsi="黑体" w:eastAsia="仿宋_GB2312"/>
                <w:sz w:val="32"/>
                <w:szCs w:val="32"/>
              </w:rPr>
              <w:t>分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均</w:t>
            </w:r>
            <w:r>
              <w:rPr>
                <w:rFonts w:ascii="仿宋_GB2312" w:hAnsi="黑体" w:eastAsia="仿宋_GB2312"/>
                <w:sz w:val="32"/>
                <w:szCs w:val="32"/>
              </w:rPr>
              <w:t>相同的，推荐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销售网点</w:t>
            </w:r>
            <w:r>
              <w:rPr>
                <w:rFonts w:ascii="仿宋_GB2312" w:hAnsi="黑体" w:eastAsia="仿宋_GB2312"/>
                <w:sz w:val="32"/>
                <w:szCs w:val="32"/>
              </w:rPr>
              <w:t>分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较高</w:t>
            </w:r>
            <w:r>
              <w:rPr>
                <w:rFonts w:ascii="仿宋_GB2312" w:hAnsi="黑体" w:eastAsia="仿宋_GB2312"/>
                <w:sz w:val="32"/>
                <w:szCs w:val="32"/>
              </w:rPr>
              <w:t>者为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候选</w:t>
            </w:r>
            <w:r>
              <w:rPr>
                <w:rFonts w:ascii="仿宋_GB2312" w:hAnsi="黑体" w:eastAsia="仿宋_GB2312"/>
                <w:sz w:val="32"/>
                <w:szCs w:val="32"/>
              </w:rPr>
              <w:t>成交供应商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。</w:t>
            </w:r>
          </w:p>
        </w:tc>
      </w:tr>
    </w:tbl>
    <w:p>
      <w:pPr>
        <w:ind w:firstLine="160" w:firstLineChars="50"/>
        <w:rPr>
          <w:rFonts w:ascii="仿宋" w:hAnsi="仿宋" w:eastAsia="仿宋"/>
          <w:sz w:val="32"/>
          <w:szCs w:val="32"/>
        </w:rPr>
      </w:pPr>
    </w:p>
    <w:p/>
    <w:p/>
    <w:p>
      <w:pPr>
        <w:pStyle w:val="7"/>
        <w:jc w:val="center"/>
        <w:rPr>
          <w:rFonts w:ascii="仿宋" w:hAnsi="仿宋" w:eastAsia="仿宋" w:cs="仿宋"/>
          <w:color w:val="000000"/>
          <w:sz w:val="28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27876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21.95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uNj1nRAAAAAwEAAA8AAAAAAAAAAQAgAAAAIgAAAGRy&#10;cy9kb3ducmV2LnhtbFBLAQIUABQAAAAIAIdO4kBtlgxY0wEAAKUDAAAOAAAAAAAAAAEAIAAAACA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7088E"/>
    <w:rsid w:val="104D4694"/>
    <w:rsid w:val="226A69DF"/>
    <w:rsid w:val="2ACF41CB"/>
    <w:rsid w:val="2E053A60"/>
    <w:rsid w:val="31994BEB"/>
    <w:rsid w:val="37B41873"/>
    <w:rsid w:val="3BFD221A"/>
    <w:rsid w:val="3F0D09C6"/>
    <w:rsid w:val="42C57F36"/>
    <w:rsid w:val="45837ED6"/>
    <w:rsid w:val="47A96195"/>
    <w:rsid w:val="4B555BCF"/>
    <w:rsid w:val="51B82A14"/>
    <w:rsid w:val="5CAC5A12"/>
    <w:rsid w:val="63590C6B"/>
    <w:rsid w:val="6CF52916"/>
    <w:rsid w:val="70383246"/>
    <w:rsid w:val="7E5439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</w:pPr>
    <w:rPr>
      <w:szCs w:val="24"/>
    </w:rPr>
  </w:style>
  <w:style w:type="paragraph" w:styleId="3">
    <w:name w:val="Body Text"/>
    <w:basedOn w:val="1"/>
    <w:link w:val="26"/>
    <w:unhideWhenUsed/>
    <w:qFormat/>
    <w:uiPriority w:val="99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line="380" w:lineRule="exact"/>
      <w:ind w:firstLine="480"/>
    </w:pPr>
    <w:rPr>
      <w:rFonts w:eastAsia="方正书宋简体"/>
      <w:kern w:val="0"/>
      <w:sz w:val="24"/>
      <w:szCs w:val="20"/>
    </w:rPr>
  </w:style>
  <w:style w:type="paragraph" w:styleId="5">
    <w:name w:val="Body Text Indent 2"/>
    <w:basedOn w:val="1"/>
    <w:next w:val="6"/>
    <w:unhideWhenUsed/>
    <w:qFormat/>
    <w:uiPriority w:val="99"/>
    <w:pPr>
      <w:spacing w:line="360" w:lineRule="auto"/>
      <w:ind w:firstLine="720"/>
    </w:pPr>
    <w:rPr>
      <w:rFonts w:ascii="Times New Roman" w:hAnsi="Times New Roman" w:eastAsia="宋体" w:cs="Times New Roman"/>
      <w:sz w:val="2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7">
    <w:name w:val="Plain Text"/>
    <w:basedOn w:val="1"/>
    <w:next w:val="2"/>
    <w:link w:val="22"/>
    <w:qFormat/>
    <w:uiPriority w:val="99"/>
    <w:rPr>
      <w:rFonts w:ascii="宋体" w:hAnsi="Courier New"/>
    </w:rPr>
  </w:style>
  <w:style w:type="paragraph" w:styleId="8">
    <w:name w:val="Date"/>
    <w:basedOn w:val="1"/>
    <w:next w:val="1"/>
    <w:link w:val="27"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9"/>
    <w:basedOn w:val="1"/>
    <w:next w:val="1"/>
    <w:qFormat/>
    <w:uiPriority w:val="0"/>
    <w:pPr>
      <w:tabs>
        <w:tab w:val="right" w:leader="dot" w:pos="9185"/>
      </w:tabs>
      <w:adjustRightInd w:val="0"/>
      <w:spacing w:line="312" w:lineRule="atLeast"/>
      <w:ind w:left="3360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annotation reference"/>
    <w:qFormat/>
    <w:uiPriority w:val="99"/>
    <w:rPr>
      <w:sz w:val="21"/>
    </w:rPr>
  </w:style>
  <w:style w:type="paragraph" w:customStyle="1" w:styleId="17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 w:cs="Times New Roman"/>
      <w:b/>
      <w:bCs/>
      <w:kern w:val="0"/>
      <w:sz w:val="32"/>
      <w:szCs w:val="32"/>
    </w:rPr>
  </w:style>
  <w:style w:type="paragraph" w:customStyle="1" w:styleId="18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9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21">
    <w:name w:val="纯文本 Char"/>
    <w:qFormat/>
    <w:uiPriority w:val="99"/>
    <w:rPr>
      <w:rFonts w:ascii="宋体" w:hAnsi="Courier New"/>
    </w:rPr>
  </w:style>
  <w:style w:type="character" w:customStyle="1" w:styleId="22">
    <w:name w:val="纯文本 Char1"/>
    <w:basedOn w:val="14"/>
    <w:link w:val="7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23">
    <w:name w:val="正文缩进2格"/>
    <w:basedOn w:val="1"/>
    <w:next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 w:cs="Times New Roman"/>
      <w:sz w:val="28"/>
      <w:szCs w:val="20"/>
    </w:rPr>
  </w:style>
  <w:style w:type="character" w:customStyle="1" w:styleId="24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25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正文文本 Char"/>
    <w:basedOn w:val="14"/>
    <w:link w:val="3"/>
    <w:semiHidden/>
    <w:qFormat/>
    <w:uiPriority w:val="99"/>
    <w:rPr>
      <w:kern w:val="2"/>
      <w:sz w:val="21"/>
      <w:szCs w:val="22"/>
    </w:rPr>
  </w:style>
  <w:style w:type="character" w:customStyle="1" w:styleId="27">
    <w:name w:val="日期 Char"/>
    <w:basedOn w:val="14"/>
    <w:link w:val="8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1189</Words>
  <Characters>1309</Characters>
  <Lines>8</Lines>
  <Paragraphs>2</Paragraphs>
  <TotalTime>81</TotalTime>
  <ScaleCrop>false</ScaleCrop>
  <LinksUpToDate>false</LinksUpToDate>
  <CharactersWithSpaces>1349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2022-04-15T16:44:00Z</dcterms:created>
  <dc:creator>郑立熔</dc:creator>
  <cp:lastModifiedBy>黄奶奶</cp:lastModifiedBy>
  <cp:lastPrinted>2025-05-06T10:20:00Z</cp:lastPrinted>
  <dcterms:modified xsi:type="dcterms:W3CDTF">2025-05-07T08:15:43Z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2F8533102CEE4A3FBB2A0AC0326F8B37</vt:lpwstr>
  </property>
  <property fmtid="{D5CDD505-2E9C-101B-9397-08002B2CF9AE}" pid="4" name="KSOTemplateDocerSaveRecord">
    <vt:lpwstr>eyJoZGlkIjoiM2Y2Mjk3Y2ViODM4ZjAwOWNmZjU4NjdjOWE2MzM2MWMiLCJ1c2VySWQiOiI2MzI5MTY1NDAifQ==</vt:lpwstr>
  </property>
</Properties>
</file>