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8407F"/>
    <w:p w14:paraId="1F13CBDD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/>
          <w:sz w:val="52"/>
          <w:szCs w:val="52"/>
        </w:rPr>
      </w:pPr>
    </w:p>
    <w:p w14:paraId="7EF768B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广西壮族自治区交通运输综合行政执法局</w:t>
      </w:r>
    </w:p>
    <w:p w14:paraId="0A0965B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交通运输综合行政执法行为监督指南项目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</w:t>
      </w:r>
    </w:p>
    <w:p w14:paraId="66101A8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询价采购文件</w:t>
      </w:r>
    </w:p>
    <w:p w14:paraId="1A057F62">
      <w:pPr>
        <w:rPr>
          <w:sz w:val="44"/>
          <w:szCs w:val="44"/>
        </w:rPr>
      </w:pPr>
    </w:p>
    <w:p w14:paraId="7CE6EA98"/>
    <w:p w14:paraId="65916A19"/>
    <w:p w14:paraId="6F083CC1"/>
    <w:p w14:paraId="493B2CA8"/>
    <w:p w14:paraId="3620ACFC">
      <w:pPr>
        <w:rPr>
          <w:b/>
          <w:sz w:val="84"/>
          <w:szCs w:val="84"/>
        </w:rPr>
      </w:pPr>
    </w:p>
    <w:p w14:paraId="14C2598D"/>
    <w:p w14:paraId="536E4286"/>
    <w:p w14:paraId="60B60809"/>
    <w:p w14:paraId="0B96C700"/>
    <w:p w14:paraId="47F10C85"/>
    <w:p w14:paraId="23D08EFE">
      <w:pPr>
        <w:rPr>
          <w:b/>
          <w:sz w:val="36"/>
          <w:szCs w:val="36"/>
        </w:rPr>
      </w:pPr>
    </w:p>
    <w:p w14:paraId="08467821">
      <w:pPr>
        <w:rPr>
          <w:b/>
          <w:sz w:val="36"/>
          <w:szCs w:val="36"/>
        </w:rPr>
      </w:pPr>
    </w:p>
    <w:p w14:paraId="14A4667A">
      <w:pPr>
        <w:rPr>
          <w:b/>
          <w:sz w:val="36"/>
          <w:szCs w:val="36"/>
        </w:rPr>
      </w:pPr>
    </w:p>
    <w:p w14:paraId="75EB9C59">
      <w:pPr>
        <w:rPr>
          <w:b/>
          <w:sz w:val="36"/>
          <w:szCs w:val="36"/>
        </w:rPr>
      </w:pPr>
    </w:p>
    <w:p w14:paraId="26B71F66"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 w14:paraId="4E0F79B0">
      <w:pPr>
        <w:rPr>
          <w:rFonts w:ascii="黑体" w:hAnsi="黑体" w:eastAsia="黑体" w:cs="黑体"/>
          <w:b/>
          <w:sz w:val="36"/>
          <w:szCs w:val="36"/>
        </w:rPr>
      </w:pPr>
    </w:p>
    <w:p w14:paraId="2D147F86">
      <w:pPr>
        <w:pStyle w:val="16"/>
      </w:pPr>
    </w:p>
    <w:p w14:paraId="14A892A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采购单位：自治区交通运输综合行政执法局</w:t>
      </w:r>
    </w:p>
    <w:p w14:paraId="3D67B18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日期：202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日</w:t>
      </w:r>
    </w:p>
    <w:p w14:paraId="0D2D08C6">
      <w:pPr>
        <w:rPr>
          <w:rFonts w:ascii="仿宋_GB2312" w:eastAsia="仿宋_GB2312"/>
          <w:b/>
          <w:sz w:val="48"/>
          <w:szCs w:val="48"/>
        </w:rPr>
      </w:pPr>
    </w:p>
    <w:p w14:paraId="69E78C7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广西壮族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自治区交通运输综合行政执法局</w:t>
      </w:r>
    </w:p>
    <w:p w14:paraId="20F96D6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交通运输综合行政执法行为监督指南项目服务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供应商需知</w:t>
      </w:r>
    </w:p>
    <w:p w14:paraId="1FCECC93">
      <w:pPr>
        <w:rPr>
          <w:rFonts w:hint="eastAsia" w:ascii="仿宋_GB2312" w:hAnsi="仿宋_GB2312" w:eastAsia="仿宋_GB2312" w:cs="仿宋_GB2312"/>
        </w:rPr>
      </w:pPr>
    </w:p>
    <w:p w14:paraId="4417080A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28"/>
          <w:szCs w:val="28"/>
        </w:rPr>
        <w:t>完善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全区交通运输</w:t>
      </w:r>
      <w:r>
        <w:rPr>
          <w:rFonts w:hint="eastAsia" w:ascii="仿宋_GB2312" w:hAnsi="仿宋_GB2312" w:eastAsia="仿宋_GB2312" w:cs="仿宋_GB2312"/>
          <w:sz w:val="28"/>
          <w:szCs w:val="28"/>
        </w:rPr>
        <w:t>综合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28"/>
          <w:szCs w:val="28"/>
        </w:rPr>
        <w:t>执法体制机制，按照自治区交通运输厅的年度标准化工作部署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，结合我局实际，</w:t>
      </w:r>
      <w:r>
        <w:rPr>
          <w:rFonts w:hint="eastAsia" w:ascii="仿宋_GB2312" w:hAnsi="仿宋_GB2312" w:eastAsia="仿宋_GB2312" w:cs="仿宋_GB2312"/>
          <w:sz w:val="28"/>
          <w:szCs w:val="28"/>
        </w:rPr>
        <w:t>现邀请贵单位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28"/>
          <w:szCs w:val="28"/>
        </w:rPr>
        <w:t>交通运输综合行政执法行为监督指南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我局将根据各单位所报文件通过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综合评分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>,分高者中标的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确定成交供应商，并与成交供应商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通过线下签订合同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实施采购。</w:t>
      </w:r>
    </w:p>
    <w:p w14:paraId="64F2EDFC">
      <w:pPr>
        <w:spacing w:line="48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一、项目概况</w:t>
      </w:r>
    </w:p>
    <w:p w14:paraId="437096DA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（一）项目名称：交通运输综合行政执法行为监督指南项目服务</w:t>
      </w:r>
    </w:p>
    <w:p w14:paraId="38B874A0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（二）采购方式：询价采购</w:t>
      </w:r>
    </w:p>
    <w:p w14:paraId="44C1FA11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</w:rPr>
        <w:t>预算金额：人民币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</w:t>
      </w:r>
    </w:p>
    <w:p w14:paraId="4B34718A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（四）最高限价：同采购预算金额</w:t>
      </w:r>
    </w:p>
    <w:p w14:paraId="12EEE4BA">
      <w:pPr>
        <w:spacing w:line="48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服务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</w:rPr>
        <w:t>要求</w:t>
      </w:r>
    </w:p>
    <w:p w14:paraId="484734B8">
      <w:pPr>
        <w:spacing w:line="480" w:lineRule="exact"/>
        <w:ind w:left="559" w:leftChars="266" w:firstLine="0" w:firstLineChars="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（一）报价人应承诺投入本项目团队不少于3人。</w:t>
      </w:r>
    </w:p>
    <w:p w14:paraId="35C92B8C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二）报价人需指定具备相关项目咨询经验的人员作为项目负责人。咨询服务团队的成员应熟悉交通运输行业、了解行政务服务相关文件要求和标准规范。同时根据咨询服务不同阶段的工作需求，服务单位应及时增配具备相应经验和能力的人员。</w:t>
      </w:r>
    </w:p>
    <w:p w14:paraId="4D2C1C0A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（三）报价人必须在报价文件中提供完整的服务方案。自合同签订之日起1个月内完成指南草案，1年内完成指南的意见征求，并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做好自治区交通运输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综合行政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执法局安排的与此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相关的其他工作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 w14:paraId="7BE5D316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（四）本次服务全部通过验收后，报价人按采购单位要求提供相关的成果资料和电子文档。</w:t>
      </w:r>
    </w:p>
    <w:p w14:paraId="7C6ABABE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（五）成交方必须严格遵守协议及有关保密要求。</w:t>
      </w:r>
    </w:p>
    <w:p w14:paraId="144963B1">
      <w:pPr>
        <w:spacing w:line="480" w:lineRule="exact"/>
        <w:ind w:firstLine="562" w:firstLineChars="200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</w:rPr>
        <w:t>三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</w:rPr>
        <w:t>服务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:lang w:eastAsia="zh-CN"/>
        </w:rPr>
        <w:t>时间</w:t>
      </w:r>
    </w:p>
    <w:p w14:paraId="45EA227B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  <w:t>自签订合同之日起至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</w:rPr>
        <w:t>服务结束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  <w:t>。</w:t>
      </w:r>
    </w:p>
    <w:p w14:paraId="13566D9B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58CD29E5">
      <w:pPr>
        <w:spacing w:line="48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报价文件组成内容</w:t>
      </w:r>
    </w:p>
    <w:p w14:paraId="76AF052E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（一）声明书（加盖单位公章）</w:t>
      </w:r>
    </w:p>
    <w:p w14:paraId="64879395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（二）报价表（加盖单位公章）</w:t>
      </w:r>
    </w:p>
    <w:p w14:paraId="49C5A73A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（三）营业执照及法定代表人身份证复印件</w:t>
      </w:r>
    </w:p>
    <w:p w14:paraId="325B0FF6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（四）法定代表人授权书（加盖单位公章）</w:t>
      </w:r>
    </w:p>
    <w:p w14:paraId="136281E4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（五）资质证明材料</w:t>
      </w:r>
    </w:p>
    <w:p w14:paraId="6C0920AA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（六）具体实施方案等其他需要提供的材料</w:t>
      </w:r>
    </w:p>
    <w:p w14:paraId="02DC7ECE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报价方提供的相关材料复印件需签“与原件相符”并盖单位公章。</w:t>
      </w:r>
    </w:p>
    <w:p w14:paraId="437EE40F">
      <w:pPr>
        <w:spacing w:line="480" w:lineRule="exact"/>
        <w:ind w:firstLine="562" w:firstLineChars="200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:lang w:eastAsia="zh-CN"/>
        </w:rPr>
        <w:t>评审方法</w:t>
      </w:r>
    </w:p>
    <w:p w14:paraId="5E2A8965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评审采用综合评分法，即报价方的报价文件完全响应采购文件的前提下，综合评分最高者推荐为第一成交候选人。</w:t>
      </w:r>
    </w:p>
    <w:p w14:paraId="22ADC0B7">
      <w:pPr>
        <w:spacing w:line="480" w:lineRule="exact"/>
        <w:ind w:firstLine="562" w:firstLineChars="200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</w:rPr>
        <w:t>、报价文件递交</w:t>
      </w:r>
    </w:p>
    <w:p w14:paraId="752D5FA8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  <w:t>请于202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  <w:t>月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  <w:t>分前，将响应报价文件送达南宁市滨湖路66号广西公路大厦，联系人：张微，联系电话：0771-2115929。</w:t>
      </w:r>
    </w:p>
    <w:p w14:paraId="3BDFBAD3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评分标准</w:t>
      </w:r>
    </w:p>
    <w:p w14:paraId="7E655401">
      <w:pPr>
        <w:spacing w:line="48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3710A4C">
      <w:pPr>
        <w:spacing w:line="48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73DF0B0">
      <w:pPr>
        <w:pStyle w:val="16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7B7C0B84">
      <w:pPr>
        <w:spacing w:line="48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广西壮族自治区交通运输综合行政执法局</w:t>
      </w:r>
    </w:p>
    <w:p w14:paraId="238108CB">
      <w:pPr>
        <w:pStyle w:val="16"/>
        <w:ind w:firstLine="5320" w:firstLineChars="1900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日</w:t>
      </w:r>
    </w:p>
    <w:p w14:paraId="630DE845">
      <w:pPr>
        <w:pStyle w:val="16"/>
        <w:rPr>
          <w:rFonts w:hint="eastAsia" w:ascii="仿宋_GB2312" w:hAnsi="仿宋_GB2312" w:eastAsia="仿宋_GB2312" w:cs="仿宋_GB2312"/>
        </w:rPr>
      </w:pPr>
    </w:p>
    <w:p w14:paraId="7764D776">
      <w:pPr>
        <w:spacing w:line="48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113F6EC">
      <w:pPr>
        <w:pStyle w:val="7"/>
        <w:spacing w:line="480" w:lineRule="exact"/>
        <w:ind w:firstLine="315" w:firstLineChars="150"/>
        <w:jc w:val="right"/>
        <w:rPr>
          <w:rFonts w:hint="eastAsia" w:ascii="仿宋_GB2312" w:hAnsi="仿宋_GB2312" w:eastAsia="仿宋_GB2312" w:cs="仿宋_GB2312"/>
          <w:color w:val="000000"/>
        </w:rPr>
      </w:pPr>
    </w:p>
    <w:p w14:paraId="7713FBD0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67EF59FB">
      <w:pPr>
        <w:rPr>
          <w:rFonts w:hint="eastAsia" w:ascii="仿宋_GB2312" w:hAnsi="仿宋_GB2312" w:eastAsia="仿宋_GB2312" w:cs="仿宋_GB2312"/>
        </w:rPr>
        <w:sectPr>
          <w:footerReference r:id="rId4" w:type="first"/>
          <w:footerReference r:id="rId3" w:type="default"/>
          <w:pgSz w:w="11906" w:h="16838"/>
          <w:pgMar w:top="1440" w:right="1440" w:bottom="1440" w:left="1587" w:header="851" w:footer="992" w:gutter="0"/>
          <w:cols w:space="720" w:num="1"/>
          <w:titlePg/>
          <w:docGrid w:type="lines" w:linePitch="312" w:charSpace="0"/>
        </w:sectPr>
      </w:pPr>
    </w:p>
    <w:p w14:paraId="6E98F9A1">
      <w:pPr>
        <w:pStyle w:val="7"/>
        <w:spacing w:line="52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</w:rPr>
        <w:t>综合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评分标准</w:t>
      </w:r>
    </w:p>
    <w:p w14:paraId="22528E01">
      <w:pPr>
        <w:pStyle w:val="7"/>
        <w:spacing w:line="52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tbl>
      <w:tblPr>
        <w:tblStyle w:val="11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51"/>
        <w:gridCol w:w="6361"/>
        <w:gridCol w:w="18"/>
        <w:gridCol w:w="760"/>
      </w:tblGrid>
      <w:tr w14:paraId="3E4A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2EB1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ahoma"/>
                <w:b/>
                <w:bCs/>
                <w:kern w:val="0"/>
                <w:sz w:val="24"/>
                <w:szCs w:val="24"/>
              </w:rPr>
            </w:pPr>
            <w:bookmarkStart w:id="0" w:name="PO_TDCUS_ITEM_SM_TABLE_1"/>
            <w:r>
              <w:rPr>
                <w:rFonts w:hint="eastAsia" w:ascii="仿宋_GB2312" w:hAnsi="宋体" w:eastAsia="仿宋_GB2312" w:cs="Tahom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4650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0A790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kern w:val="0"/>
                <w:sz w:val="24"/>
                <w:szCs w:val="24"/>
              </w:rPr>
              <w:t>评审因素具体内容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23C2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kern w:val="0"/>
                <w:sz w:val="24"/>
                <w:szCs w:val="24"/>
              </w:rPr>
              <w:t>分值</w:t>
            </w:r>
          </w:p>
        </w:tc>
      </w:tr>
      <w:tr w14:paraId="1A24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97C1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6226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价格分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30FF6B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计算公式：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　     </w:t>
            </w:r>
          </w:p>
          <w:p w14:paraId="116D3955">
            <w:pPr>
              <w:spacing w:line="360" w:lineRule="auto"/>
              <w:ind w:firstLine="2520" w:firstLineChars="12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供应商最低评标价金额</w:t>
            </w:r>
          </w:p>
          <w:p w14:paraId="65A290F8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pict>
                <v:line id="直接连接符 2" o:spid="_x0000_s2051" o:spt="20" style="position:absolute;left:0pt;margin-left:110.25pt;margin-top:8.35pt;height:0pt;width:126pt;z-index:251661312;mso-width-relative:page;mso-height-relative:page;" filled="f" stroked="t" coordsize="21600,21600" o:gfxdata="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1UuN7VAAAACQEAAA8AAAAAAAAAAQAgAAAAIgAAAGRycy9kb3ducmV2LnhtbFBLAQIUABQAAAAI&#10;AIdO4kCAKLXg8AEAAOYDAAAOAAAAAAAAAAEAIAAAACQBAABkcnMvZTJvRG9jLnhtbFBLBQYAAAAA&#10;BgAGAFkBAACGBQAAAAA=&#10;">
                  <v:path arrowok="t"/>
                  <v:fill on="f" focussize="0,0"/>
                  <v:stroke color="#000000" joinstyle="round"/>
                  <v:imagedata o:title=""/>
                  <o:lock v:ext="edit" aspectratio="f"/>
                </v:line>
              </w:pic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某供应商价格分 =   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×　10分</w:t>
            </w:r>
          </w:p>
          <w:p w14:paraId="2B66B511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               　某供应商评标价金额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D395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10分</w:t>
            </w:r>
          </w:p>
        </w:tc>
      </w:tr>
      <w:tr w14:paraId="4DC1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2A68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5D65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技术分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7413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F80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分</w:t>
            </w:r>
          </w:p>
        </w:tc>
      </w:tr>
      <w:tr w14:paraId="05B5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98858">
            <w:pPr>
              <w:adjustRightInd w:val="0"/>
              <w:spacing w:line="360" w:lineRule="auto"/>
              <w:ind w:left="-105" w:leftChars="-50" w:right="-105" w:rightChars="-50"/>
              <w:jc w:val="center"/>
              <w:textAlignment w:val="baseline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C0290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项目理解和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认识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39D4A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一档：能够紧扣本项目任务要求，有对</w:t>
            </w:r>
            <w:r>
              <w:rPr>
                <w:rFonts w:hint="eastAsia" w:ascii="Times New Roman" w:hAnsi="Times New Roman"/>
                <w:szCs w:val="21"/>
              </w:rPr>
              <w:t>广西交通运输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综合行政执法</w:t>
            </w:r>
            <w:r>
              <w:rPr>
                <w:rFonts w:hint="eastAsia" w:ascii="Times New Roman" w:hAnsi="Times New Roman"/>
                <w:szCs w:val="21"/>
              </w:rPr>
              <w:t>工作如何开展</w:t>
            </w:r>
            <w:r>
              <w:rPr>
                <w:rFonts w:ascii="Times New Roman" w:hAnsi="Times New Roman"/>
                <w:szCs w:val="21"/>
              </w:rPr>
              <w:t>的理解性描述，对具体任务进行详细分解，能提出具体内容及初步预期成果，描述内容详细、清晰、合理、全面，得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szCs w:val="21"/>
              </w:rPr>
              <w:t>0分。</w:t>
            </w:r>
          </w:p>
          <w:p w14:paraId="7D140144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二档：能够理解本项目任务要求，对具体任务进行简单分解，能提出具体内容及初步预期成果，描述内容较详细、较清晰、较合理，得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/>
                <w:szCs w:val="21"/>
              </w:rPr>
              <w:t>分。</w:t>
            </w:r>
          </w:p>
          <w:p w14:paraId="3FBB25F1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三档：对本项目任务要求不了解，对各项任务内容进行粗略分解，能提出内容及初步预期成果，得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/>
                <w:szCs w:val="21"/>
              </w:rPr>
              <w:t>分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53B5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</w:t>
            </w:r>
          </w:p>
        </w:tc>
      </w:tr>
      <w:tr w14:paraId="6ED6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ADCEA">
            <w:pPr>
              <w:adjustRightInd w:val="0"/>
              <w:spacing w:line="360" w:lineRule="auto"/>
              <w:ind w:left="-105" w:leftChars="-50" w:right="-105" w:rightChars="-50"/>
              <w:jc w:val="center"/>
              <w:textAlignment w:val="baseline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</w:rPr>
              <w:t>2.2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12507">
            <w:pPr>
              <w:spacing w:line="360" w:lineRule="auto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实施计划安排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C6B0F">
            <w:pPr>
              <w:widowControl/>
              <w:tabs>
                <w:tab w:val="left" w:pos="8460"/>
              </w:tabs>
              <w:spacing w:line="400" w:lineRule="exact"/>
              <w:ind w:firstLine="420" w:firstLineChars="200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一档：有详细的实施计划安排，有合理可行的人员安排，有合理可行的进度安排，得10分；</w:t>
            </w:r>
          </w:p>
          <w:p w14:paraId="1C8B7702">
            <w:pPr>
              <w:widowControl/>
              <w:tabs>
                <w:tab w:val="left" w:pos="8460"/>
              </w:tabs>
              <w:spacing w:line="400" w:lineRule="exact"/>
              <w:ind w:firstLine="420" w:firstLineChars="200"/>
              <w:jc w:val="left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二档：有详细的实施计划安排，有人员安排、进度安排等方面的描述，得7分；</w:t>
            </w:r>
          </w:p>
          <w:p w14:paraId="43BB7697">
            <w:pPr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三档：有实施计划安排，但不全面、不详细，得4分。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386E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</w:t>
            </w:r>
          </w:p>
        </w:tc>
      </w:tr>
      <w:tr w14:paraId="4259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9C97D">
            <w:pPr>
              <w:adjustRightInd w:val="0"/>
              <w:spacing w:line="360" w:lineRule="auto"/>
              <w:ind w:left="-105" w:leftChars="-50" w:right="-105" w:rightChars="-50"/>
              <w:jc w:val="center"/>
              <w:textAlignment w:val="baseline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</w:rPr>
              <w:t>2.3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5E40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进度和质量保障措施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EC638">
            <w:pPr>
              <w:adjustRightIn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一档：对项目的计划进度管理表述清晰合理，措施科学可行，质量控制措施科学，质量承诺和违约责任承诺科学合理，得10分；</w:t>
            </w:r>
          </w:p>
          <w:p w14:paraId="1104C264">
            <w:pPr>
              <w:adjustRightIn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二档：对项目的计划进度管理表述较清晰，有相关措施内容但可操作性较差，有质量控制相关描述，质量承诺和违约责任承诺不明确，得7分；</w:t>
            </w:r>
          </w:p>
          <w:p w14:paraId="40C5E3C4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三档：对项目的计划进度管理表述不清晰，无相关措施内容，质量控制不科学，无质量承诺和违约责任承诺，得4分。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B211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</w:t>
            </w:r>
          </w:p>
        </w:tc>
      </w:tr>
      <w:tr w14:paraId="415A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D24F7">
            <w:pPr>
              <w:adjustRightInd w:val="0"/>
              <w:spacing w:line="360" w:lineRule="auto"/>
              <w:ind w:left="-105" w:leftChars="-50" w:right="-105" w:rightChars="-50"/>
              <w:jc w:val="center"/>
              <w:textAlignment w:val="baseline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FDF28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服务承诺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7ACD2">
            <w:pPr>
              <w:pStyle w:val="3"/>
              <w:spacing w:line="4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一档：针对项目工作内容的情况，服务宗旨明确、服务效率高，承诺按时保质完成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指南</w:t>
            </w:r>
            <w:r>
              <w:rPr>
                <w:rFonts w:hint="eastAsia" w:ascii="宋体" w:hAnsi="宋体"/>
                <w:sz w:val="21"/>
                <w:szCs w:val="21"/>
              </w:rPr>
              <w:t>编制，后续跟踪服务具体到位的。提出有利于项目完成的措施并承诺实行，得10分；</w:t>
            </w:r>
          </w:p>
          <w:p w14:paraId="16C955D8">
            <w:pPr>
              <w:pStyle w:val="3"/>
              <w:spacing w:line="4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二档：针对项目工作内容的情况，服务宗旨明确，项目完成后，有后期跟踪服务，得7分；</w:t>
            </w:r>
          </w:p>
          <w:p w14:paraId="74BA9C76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三档：了解项目工作内容的情况，有后期跟踪服务，得4分。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9040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10分</w:t>
            </w:r>
          </w:p>
        </w:tc>
      </w:tr>
      <w:tr w14:paraId="632B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86E5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A476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商务分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EE21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评审因素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56D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0分</w:t>
            </w:r>
          </w:p>
        </w:tc>
      </w:tr>
      <w:tr w14:paraId="4B33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2785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3.1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FB2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团队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50D6A">
            <w:pPr>
              <w:pStyle w:val="3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（1）项目负责人具有高级工程师职称证书的得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分；</w:t>
            </w:r>
          </w:p>
          <w:p w14:paraId="2C6AA036">
            <w:pPr>
              <w:pStyle w:val="3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（2）项目团队成员（项目负责人除外）具有工程师及以上职称证书的，每人得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分，最多得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</w:t>
            </w:r>
          </w:p>
          <w:p w14:paraId="57D1F85F">
            <w:pPr>
              <w:pStyle w:val="3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注：本项满分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分。须提供相应证书扫描件并加盖公章。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939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</w:t>
            </w:r>
          </w:p>
        </w:tc>
      </w:tr>
      <w:tr w14:paraId="7E87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8503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3.2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678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项目业绩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D502C"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（1）自2022年1月1日（合同签订时间）以来，供应商具有交通运输咨询类业绩的，每个得2分，最多得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  <w:p w14:paraId="3FEAE1A2"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注：须提供相应业绩的合同（包括封面页、合同内容关键页、签字盖章页）扫描件并加盖单位公章。</w:t>
            </w:r>
          </w:p>
          <w:p w14:paraId="608E2CCD"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（2）自2022年1月1日（标准发布时间）以来，供应商参与起草标准发布实施的，每个得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分，最多得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  <w:p w14:paraId="3A7467D8"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注：须提供标准（包括标准封面页、目次页、前言页）扫描件并加盖单位公章。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7A9C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</w:t>
            </w:r>
          </w:p>
        </w:tc>
      </w:tr>
      <w:tr w14:paraId="1DA0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BE4DC"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2E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服务能力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81EC2"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供应商承担的交通运输相关项目获得过科学技术奖项的，每个得2分，满分4分。</w:t>
            </w:r>
          </w:p>
          <w:p w14:paraId="788AEC52">
            <w:pPr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注：需提供获奖证书复印件并加盖公章，否则不得分。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2179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 w14:paraId="6577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AFE8A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总得分＝1＋2＋3</w:t>
            </w:r>
          </w:p>
        </w:tc>
      </w:tr>
      <w:bookmarkEnd w:id="0"/>
    </w:tbl>
    <w:p w14:paraId="24BE1F5F">
      <w:pPr>
        <w:pStyle w:val="2"/>
        <w:rPr>
          <w:rFonts w:ascii="仿宋" w:hAnsi="仿宋" w:eastAsia="仿宋" w:cs="仿宋"/>
          <w:color w:val="0000FF"/>
          <w:sz w:val="28"/>
          <w:szCs w:val="28"/>
        </w:rPr>
      </w:pPr>
    </w:p>
    <w:p w14:paraId="62054D3C">
      <w:pPr>
        <w:rPr>
          <w:rFonts w:ascii="仿宋" w:hAnsi="仿宋" w:eastAsia="仿宋" w:cs="仿宋"/>
          <w:color w:val="0000FF"/>
          <w:sz w:val="28"/>
          <w:szCs w:val="28"/>
        </w:rPr>
      </w:pPr>
    </w:p>
    <w:p w14:paraId="11E1EF5C">
      <w:pPr>
        <w:pStyle w:val="2"/>
        <w:ind w:left="0" w:leftChars="0" w:firstLine="0" w:firstLineChars="0"/>
        <w:rPr>
          <w:rFonts w:ascii="仿宋" w:hAnsi="仿宋" w:eastAsia="仿宋" w:cs="仿宋"/>
          <w:color w:val="0000FF"/>
          <w:sz w:val="28"/>
          <w:szCs w:val="32"/>
        </w:rPr>
      </w:pPr>
    </w:p>
    <w:p w14:paraId="74F8B7A0">
      <w:pPr>
        <w:rPr>
          <w:rFonts w:ascii="仿宋" w:hAnsi="仿宋" w:eastAsia="仿宋" w:cs="仿宋"/>
          <w:color w:val="0000FF"/>
          <w:sz w:val="28"/>
          <w:szCs w:val="32"/>
        </w:rPr>
      </w:pPr>
    </w:p>
    <w:p w14:paraId="2C0162DA">
      <w:pPr>
        <w:pStyle w:val="16"/>
        <w:rPr>
          <w:rFonts w:hint="eastAsia" w:eastAsia="黑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B55943-40B6-4207-A6F6-9810871294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3A70F9E-5661-452E-869E-9AB886DC6DD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EF2C378-008F-4790-A9B1-AEDD548A780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1FB492D-DB1E-481D-9397-2FFF0DB8045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84238E73-4A54-4EF7-9DF0-769894F444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0FBE58D-A0B2-4781-B055-CD987EACBA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AD075">
    <w:pPr>
      <w:pStyle w:val="8"/>
      <w:jc w:val="center"/>
    </w:pPr>
    <w:r>
      <w:pict>
        <v:shape id="文本框 2" o:spid="_x0000_s3073" o:spt="202" type="#_x0000_t202" style="position:absolute;left:0pt;margin-top:0pt;height:21.95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bjY9Z0QAAAAMBAAAPAAAAAAAAAAEAIAAAACIAAABkcnMvZG93&#10;bnJldi54bWxQSwECFAAUAAAACACHTuJARc3s4c4BAACXAwAADgAAAAAAAAABACAAAAAgAQAAZHJz&#10;L2Uyb0RvYy54bWxQSwUGAAAAAAYABgBZAQAAY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AB7F5CE">
                <w:pPr>
                  <w:pStyle w:val="8"/>
                  <w:jc w:val="center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 w14:paraId="1DA6FD4A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3D5B4">
    <w:pPr>
      <w:pStyle w:val="8"/>
    </w:pPr>
    <w:r>
      <w:pict>
        <v:shape id="文本框 1" o:spid="_x0000_s1026" o:spt="202" type="#_x0000_t202" style="position:absolute;left:0pt;margin-top:0pt;height:21.95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b4oDrRAAAAAgEAAA8AAAAAAAAAAQAgAAAAIgAAAGRycy9kb3du&#10;cmV2LnhtbFBLAQIUABQAAAAIAIdO4kBUwCbNzQEAAJYDAAAOAAAAAAAAAAEAIAAAACA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5D14F8F">
                <w:pPr>
                  <w:pStyle w:val="8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3ODJhZGNhYjE3NzQ2MGI4YWVjZGQ1MjYyODBiZTIifQ=="/>
  </w:docVars>
  <w:rsids>
    <w:rsidRoot w:val="00B871A0"/>
    <w:rsid w:val="0003155F"/>
    <w:rsid w:val="00070FE5"/>
    <w:rsid w:val="00084123"/>
    <w:rsid w:val="000856A6"/>
    <w:rsid w:val="000B083B"/>
    <w:rsid w:val="000B6F1C"/>
    <w:rsid w:val="000F1A7D"/>
    <w:rsid w:val="00106BF5"/>
    <w:rsid w:val="001A2EF9"/>
    <w:rsid w:val="001E6B3B"/>
    <w:rsid w:val="001F6A9A"/>
    <w:rsid w:val="00201EFF"/>
    <w:rsid w:val="00204C37"/>
    <w:rsid w:val="00225714"/>
    <w:rsid w:val="00226376"/>
    <w:rsid w:val="002415EE"/>
    <w:rsid w:val="0024190A"/>
    <w:rsid w:val="00275434"/>
    <w:rsid w:val="002976D4"/>
    <w:rsid w:val="002B2277"/>
    <w:rsid w:val="003402A8"/>
    <w:rsid w:val="003B3166"/>
    <w:rsid w:val="00481B5D"/>
    <w:rsid w:val="004E6AD3"/>
    <w:rsid w:val="00537AA9"/>
    <w:rsid w:val="00553624"/>
    <w:rsid w:val="00564927"/>
    <w:rsid w:val="00575A4D"/>
    <w:rsid w:val="00592419"/>
    <w:rsid w:val="005E3018"/>
    <w:rsid w:val="00614EC5"/>
    <w:rsid w:val="00644E9D"/>
    <w:rsid w:val="00671442"/>
    <w:rsid w:val="00676550"/>
    <w:rsid w:val="00686FDF"/>
    <w:rsid w:val="006959C7"/>
    <w:rsid w:val="006F3477"/>
    <w:rsid w:val="007C3090"/>
    <w:rsid w:val="007E47DA"/>
    <w:rsid w:val="007E48E3"/>
    <w:rsid w:val="00807DB1"/>
    <w:rsid w:val="00814441"/>
    <w:rsid w:val="008577F4"/>
    <w:rsid w:val="00867D3F"/>
    <w:rsid w:val="00872FD5"/>
    <w:rsid w:val="008B7292"/>
    <w:rsid w:val="008C0B48"/>
    <w:rsid w:val="00934DCE"/>
    <w:rsid w:val="009508F1"/>
    <w:rsid w:val="00991CB7"/>
    <w:rsid w:val="009C3F86"/>
    <w:rsid w:val="009D774F"/>
    <w:rsid w:val="009E15BC"/>
    <w:rsid w:val="00A14318"/>
    <w:rsid w:val="00A2235C"/>
    <w:rsid w:val="00A741AD"/>
    <w:rsid w:val="00A834A9"/>
    <w:rsid w:val="00AC1885"/>
    <w:rsid w:val="00AC32F0"/>
    <w:rsid w:val="00AC428C"/>
    <w:rsid w:val="00AC7F3A"/>
    <w:rsid w:val="00AE5FE0"/>
    <w:rsid w:val="00B33D92"/>
    <w:rsid w:val="00B62B6C"/>
    <w:rsid w:val="00B62F99"/>
    <w:rsid w:val="00B86205"/>
    <w:rsid w:val="00B871A0"/>
    <w:rsid w:val="00BC3470"/>
    <w:rsid w:val="00BC508E"/>
    <w:rsid w:val="00C308BA"/>
    <w:rsid w:val="00C355AB"/>
    <w:rsid w:val="00C47E20"/>
    <w:rsid w:val="00C90861"/>
    <w:rsid w:val="00CB7CE6"/>
    <w:rsid w:val="00D221D4"/>
    <w:rsid w:val="00D26FE6"/>
    <w:rsid w:val="00D5197B"/>
    <w:rsid w:val="00D708B7"/>
    <w:rsid w:val="00D841CF"/>
    <w:rsid w:val="00DA4FD3"/>
    <w:rsid w:val="00DF23F0"/>
    <w:rsid w:val="00DF6914"/>
    <w:rsid w:val="00E22086"/>
    <w:rsid w:val="00E25094"/>
    <w:rsid w:val="00E41871"/>
    <w:rsid w:val="00E631EA"/>
    <w:rsid w:val="00EC7317"/>
    <w:rsid w:val="00ED6314"/>
    <w:rsid w:val="00EF0DC4"/>
    <w:rsid w:val="00F37DA9"/>
    <w:rsid w:val="00F5669C"/>
    <w:rsid w:val="00FE6975"/>
    <w:rsid w:val="024C35C1"/>
    <w:rsid w:val="038F71C9"/>
    <w:rsid w:val="04EA6B1C"/>
    <w:rsid w:val="051B7DD5"/>
    <w:rsid w:val="052008AE"/>
    <w:rsid w:val="05A641CE"/>
    <w:rsid w:val="06415B86"/>
    <w:rsid w:val="06AD62E4"/>
    <w:rsid w:val="06C83207"/>
    <w:rsid w:val="06F65747"/>
    <w:rsid w:val="07A300AA"/>
    <w:rsid w:val="07AF02ED"/>
    <w:rsid w:val="093F4288"/>
    <w:rsid w:val="0A190B04"/>
    <w:rsid w:val="0AC91C6B"/>
    <w:rsid w:val="0B255E64"/>
    <w:rsid w:val="0E9228D1"/>
    <w:rsid w:val="0FBA11EE"/>
    <w:rsid w:val="10A0140A"/>
    <w:rsid w:val="11FA43A7"/>
    <w:rsid w:val="136D0135"/>
    <w:rsid w:val="14E9654C"/>
    <w:rsid w:val="16ED1278"/>
    <w:rsid w:val="185B2CDF"/>
    <w:rsid w:val="19AC3127"/>
    <w:rsid w:val="1ABD106A"/>
    <w:rsid w:val="1AD80C82"/>
    <w:rsid w:val="1B505038"/>
    <w:rsid w:val="1BA03A7B"/>
    <w:rsid w:val="1E3D5D47"/>
    <w:rsid w:val="1E5B1D1B"/>
    <w:rsid w:val="1E8C34DD"/>
    <w:rsid w:val="1F9C047C"/>
    <w:rsid w:val="229C18AE"/>
    <w:rsid w:val="22FD3CF7"/>
    <w:rsid w:val="23336498"/>
    <w:rsid w:val="23741566"/>
    <w:rsid w:val="243C43AB"/>
    <w:rsid w:val="24B62E6A"/>
    <w:rsid w:val="24CA5A31"/>
    <w:rsid w:val="254275ED"/>
    <w:rsid w:val="254B379F"/>
    <w:rsid w:val="2690209E"/>
    <w:rsid w:val="26C84571"/>
    <w:rsid w:val="289B3D96"/>
    <w:rsid w:val="2915524F"/>
    <w:rsid w:val="29E80EB1"/>
    <w:rsid w:val="2A936495"/>
    <w:rsid w:val="2AF03F76"/>
    <w:rsid w:val="2BBA6C8C"/>
    <w:rsid w:val="2C192088"/>
    <w:rsid w:val="2E1B2772"/>
    <w:rsid w:val="2FFD75DD"/>
    <w:rsid w:val="306B1E48"/>
    <w:rsid w:val="30986D57"/>
    <w:rsid w:val="31F52C3B"/>
    <w:rsid w:val="3333739F"/>
    <w:rsid w:val="340E230B"/>
    <w:rsid w:val="368706E7"/>
    <w:rsid w:val="37CE22F9"/>
    <w:rsid w:val="37EC5DE0"/>
    <w:rsid w:val="383311BB"/>
    <w:rsid w:val="38B9654B"/>
    <w:rsid w:val="38D46E50"/>
    <w:rsid w:val="39840DAD"/>
    <w:rsid w:val="3A9D74A2"/>
    <w:rsid w:val="3AA0523C"/>
    <w:rsid w:val="3C5447C4"/>
    <w:rsid w:val="3C635FA0"/>
    <w:rsid w:val="3CE32E1C"/>
    <w:rsid w:val="420441F4"/>
    <w:rsid w:val="422B6A7B"/>
    <w:rsid w:val="42DC5391"/>
    <w:rsid w:val="43D338BF"/>
    <w:rsid w:val="440F5436"/>
    <w:rsid w:val="46CB3641"/>
    <w:rsid w:val="470D1EAB"/>
    <w:rsid w:val="487666EE"/>
    <w:rsid w:val="49D534EB"/>
    <w:rsid w:val="4A2F57FA"/>
    <w:rsid w:val="4B673198"/>
    <w:rsid w:val="4C52095A"/>
    <w:rsid w:val="4D4E6F03"/>
    <w:rsid w:val="4E6E0AF6"/>
    <w:rsid w:val="4E8A2033"/>
    <w:rsid w:val="558D1E46"/>
    <w:rsid w:val="55E832BF"/>
    <w:rsid w:val="562612F9"/>
    <w:rsid w:val="570010E5"/>
    <w:rsid w:val="572B48BE"/>
    <w:rsid w:val="58B02697"/>
    <w:rsid w:val="59654A62"/>
    <w:rsid w:val="596C2668"/>
    <w:rsid w:val="5A0B6471"/>
    <w:rsid w:val="5BD449C0"/>
    <w:rsid w:val="5C282862"/>
    <w:rsid w:val="5D8D11F8"/>
    <w:rsid w:val="5E0276AF"/>
    <w:rsid w:val="5E20206C"/>
    <w:rsid w:val="5F73441E"/>
    <w:rsid w:val="5F881086"/>
    <w:rsid w:val="629E4FE7"/>
    <w:rsid w:val="62DA2D98"/>
    <w:rsid w:val="6362568A"/>
    <w:rsid w:val="66244E2E"/>
    <w:rsid w:val="66900AAF"/>
    <w:rsid w:val="686B5225"/>
    <w:rsid w:val="693D2234"/>
    <w:rsid w:val="69973BD8"/>
    <w:rsid w:val="6CF52602"/>
    <w:rsid w:val="6E190801"/>
    <w:rsid w:val="6E446ADF"/>
    <w:rsid w:val="702804E6"/>
    <w:rsid w:val="70340B20"/>
    <w:rsid w:val="70644124"/>
    <w:rsid w:val="70FE623D"/>
    <w:rsid w:val="73EE5654"/>
    <w:rsid w:val="741725D4"/>
    <w:rsid w:val="75630D65"/>
    <w:rsid w:val="75AF5D58"/>
    <w:rsid w:val="76B1120D"/>
    <w:rsid w:val="772B5B71"/>
    <w:rsid w:val="7A0305C0"/>
    <w:rsid w:val="7B5C5ADE"/>
    <w:rsid w:val="7C7A00DC"/>
    <w:rsid w:val="7D2853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  <w:rPr>
      <w:szCs w:val="24"/>
    </w:rPr>
  </w:style>
  <w:style w:type="paragraph" w:styleId="3">
    <w:name w:val="Body Text"/>
    <w:basedOn w:val="1"/>
    <w:link w:val="25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line="380" w:lineRule="exact"/>
      <w:ind w:firstLine="480"/>
    </w:pPr>
    <w:rPr>
      <w:rFonts w:eastAsia="方正书宋简体"/>
      <w:kern w:val="0"/>
      <w:sz w:val="24"/>
      <w:szCs w:val="20"/>
    </w:rPr>
  </w:style>
  <w:style w:type="paragraph" w:styleId="5">
    <w:name w:val="Body Text Indent 2"/>
    <w:basedOn w:val="1"/>
    <w:next w:val="6"/>
    <w:unhideWhenUsed/>
    <w:qFormat/>
    <w:uiPriority w:val="99"/>
    <w:pPr>
      <w:spacing w:line="360" w:lineRule="auto"/>
      <w:ind w:firstLine="720"/>
    </w:pPr>
    <w:rPr>
      <w:rFonts w:ascii="Times New Roman" w:hAnsi="Times New Roman" w:eastAsia="宋体" w:cs="Times New Roman"/>
      <w:sz w:val="2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7">
    <w:name w:val="Plain Text"/>
    <w:basedOn w:val="1"/>
    <w:link w:val="21"/>
    <w:qFormat/>
    <w:uiPriority w:val="99"/>
    <w:rPr>
      <w:rFonts w:ascii="宋体" w:hAnsi="Courier New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9"/>
    <w:basedOn w:val="1"/>
    <w:next w:val="1"/>
    <w:qFormat/>
    <w:uiPriority w:val="0"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qFormat/>
    <w:uiPriority w:val="99"/>
    <w:rPr>
      <w:sz w:val="21"/>
    </w:rPr>
  </w:style>
  <w:style w:type="paragraph" w:customStyle="1" w:styleId="16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 w:cs="Times New Roman"/>
      <w:b/>
      <w:bCs/>
      <w:kern w:val="0"/>
      <w:sz w:val="32"/>
      <w:szCs w:val="32"/>
    </w:rPr>
  </w:style>
  <w:style w:type="paragraph" w:customStyle="1" w:styleId="17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纯文本 Char"/>
    <w:qFormat/>
    <w:uiPriority w:val="99"/>
    <w:rPr>
      <w:rFonts w:ascii="宋体" w:hAnsi="Courier New"/>
    </w:rPr>
  </w:style>
  <w:style w:type="character" w:customStyle="1" w:styleId="21">
    <w:name w:val="纯文本 Char1"/>
    <w:basedOn w:val="13"/>
    <w:link w:val="7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2">
    <w:name w:val="正文缩进2格"/>
    <w:basedOn w:val="1"/>
    <w:next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Times New Roman"/>
      <w:sz w:val="28"/>
      <w:szCs w:val="20"/>
    </w:rPr>
  </w:style>
  <w:style w:type="character" w:customStyle="1" w:styleId="23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24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正文文本 Char"/>
    <w:basedOn w:val="13"/>
    <w:link w:val="3"/>
    <w:semiHidden/>
    <w:qFormat/>
    <w:uiPriority w:val="99"/>
    <w:rPr>
      <w:kern w:val="2"/>
      <w:sz w:val="21"/>
      <w:szCs w:val="22"/>
    </w:rPr>
  </w:style>
  <w:style w:type="paragraph" w:customStyle="1" w:styleId="26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2002</Words>
  <Characters>2065</Characters>
  <Lines>26</Lines>
  <Paragraphs>7</Paragraphs>
  <TotalTime>7</TotalTime>
  <ScaleCrop>false</ScaleCrop>
  <LinksUpToDate>false</LinksUpToDate>
  <CharactersWithSpaces>2142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2022-04-15T00:44:00Z</dcterms:created>
  <dc:creator>郑立熔</dc:creator>
  <cp:lastModifiedBy>蚂蚁</cp:lastModifiedBy>
  <cp:lastPrinted>2025-04-30T02:33:00Z</cp:lastPrinted>
  <dcterms:modified xsi:type="dcterms:W3CDTF">2025-05-08T00:24:29Z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AB28A1EA5B974870BF29BF1DFBB28093_13</vt:lpwstr>
  </property>
  <property fmtid="{D5CDD505-2E9C-101B-9397-08002B2CF9AE}" pid="4" name="KSOTemplateDocerSaveRecord">
    <vt:lpwstr>eyJoZGlkIjoiMjY0NGFmNTIxYjBiNjBlNWIwM2M5OWVhZmZkYjYxZWMiLCJ1c2VySWQiOiI0MTgwNTU0NDIifQ==</vt:lpwstr>
  </property>
</Properties>
</file>