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1A581664"/>
    <w:p w14:paraId="793B0EAE">
      <w:pPr>
        <w:jc w:val="center"/>
        <w:spacing w:line="560" w:lineRule="exact"/>
        <w:rPr>
          <w:b w:val="1"/>
          <w:sz w:val="52"/>
          <w:szCs w:val="52"/>
          <w:rFonts w:ascii="华文中宋" w:hAnsi="华文中宋" w:eastAsia="华文中宋"/>
        </w:rPr>
      </w:pPr>
    </w:p>
    <w:p w14:paraId="6DF99684">
      <w:pPr>
        <w:jc w:val="center"/>
        <w:spacing w:line="560" w:lineRule="exact"/>
        <w:rPr>
          <w:b w:val="1"/>
          <w:sz w:val="44"/>
          <w:szCs w:val="44"/>
          <w:rFonts w:ascii="华文中宋" w:hAnsi="华文中宋" w:eastAsia="华文中宋"/>
        </w:rPr>
      </w:pPr>
      <w:r>
        <w:rPr>
          <w:b w:val="1"/>
          <w:sz w:val="44"/>
          <w:szCs w:val="44"/>
          <w:rFonts w:ascii="华文中宋" w:hAnsi="华文中宋" w:eastAsia="华文中宋" w:hint="eastAsia"/>
        </w:rPr>
        <w:t>自治区交通运输综合行政执法局执法装备（</w:t>
      </w:r>
      <w:r>
        <w:rPr>
          <w:b w:val="1"/>
          <w:sz w:val="44"/>
          <w:lang w:val="en-US" w:eastAsia="zh-CN"/>
          <w:szCs w:val="44"/>
          <w:rFonts w:ascii="华文中宋" w:hAnsi="华文中宋" w:eastAsia="华文中宋" w:hint="eastAsia"/>
        </w:rPr>
        <w:t>防护防爆装备</w:t>
      </w:r>
      <w:r>
        <w:rPr>
          <w:b w:val="1"/>
          <w:sz w:val="44"/>
          <w:szCs w:val="44"/>
          <w:rFonts w:ascii="华文中宋" w:hAnsi="华文中宋" w:eastAsia="华文中宋" w:hint="eastAsia"/>
        </w:rPr>
        <w:t>类）购置项目询价采购文件</w:t>
      </w:r>
    </w:p>
    <w:p w14:paraId="457178F1">
      <w:pPr>
        <w:rPr>
          <w:sz w:val="44"/>
          <w:szCs w:val="44"/>
        </w:rPr>
      </w:pPr>
    </w:p>
    <w:p w14:paraId="34E098E5"/>
    <w:p w14:paraId="4B824C88"/>
    <w:p w14:paraId="50279288"/>
    <w:p w14:paraId="7F976F5C"/>
    <w:p w14:paraId="13606973">
      <w:pPr>
        <w:jc w:val="center"/>
        <w:rPr>
          <w:b w:val="1"/>
          <w:sz w:val="84"/>
          <w:szCs w:val="84"/>
        </w:rPr>
      </w:pPr>
    </w:p>
    <w:p w14:paraId="3903C14B"/>
    <w:p w14:paraId="7692E179"/>
    <w:p w14:paraId="3E18FB14"/>
    <w:p w14:paraId="5DD9579E"/>
    <w:p w14:paraId="524094A1"/>
    <w:p w14:paraId="6391C47B">
      <w:pPr>
        <w:rPr>
          <w:b w:val="1"/>
          <w:sz w:val="36"/>
          <w:szCs w:val="36"/>
        </w:rPr>
      </w:pPr>
    </w:p>
    <w:p w14:paraId="4F9FC8F4">
      <w:pPr>
        <w:rPr>
          <w:b w:val="1"/>
          <w:sz w:val="36"/>
          <w:szCs w:val="36"/>
        </w:rPr>
      </w:pPr>
    </w:p>
    <w:p w14:paraId="1FB3641B">
      <w:pPr>
        <w:rPr>
          <w:b w:val="1"/>
          <w:sz w:val="36"/>
          <w:szCs w:val="36"/>
        </w:rPr>
      </w:pPr>
    </w:p>
    <w:p w14:paraId="271486D8">
      <w:pPr>
        <w:rPr>
          <w:b w:val="1"/>
          <w:sz w:val="36"/>
          <w:szCs w:val="36"/>
        </w:rPr>
      </w:pPr>
    </w:p>
    <w:p w14:paraId="0F85CE38">
      <w:pPr>
        <w:jc w:val="center"/>
        <w:rPr>
          <w:b w:val="1"/>
          <w:sz w:val="36"/>
          <w:szCs w:val="36"/>
          <w:rFonts w:ascii="黑体" w:hAnsi="黑体" w:eastAsia="黑体" w:cs="黑体"/>
        </w:rPr>
      </w:pPr>
    </w:p>
    <w:p w14:paraId="0A339194">
      <w:pPr>
        <w:jc w:val="center"/>
        <w:rPr>
          <w:b w:val="1"/>
          <w:sz w:val="36"/>
          <w:szCs w:val="36"/>
          <w:rFonts w:ascii="黑体" w:hAnsi="黑体" w:eastAsia="黑体" w:cs="黑体"/>
        </w:rPr>
      </w:pPr>
    </w:p>
    <w:p w14:paraId="1AA4C644">
      <w:pPr>
        <w:jc w:val="center"/>
        <w:rPr>
          <w:b w:val="1"/>
          <w:sz w:val="36"/>
          <w:szCs w:val="36"/>
          <w:rFonts w:ascii="黑体" w:hAnsi="黑体" w:eastAsia="黑体" w:cs="黑体"/>
        </w:rPr>
      </w:pPr>
    </w:p>
    <w:p w14:paraId="02D57703">
      <w:pPr>
        <w:rPr>
          <w:b w:val="1"/>
          <w:sz w:val="36"/>
          <w:szCs w:val="36"/>
          <w:rFonts w:ascii="黑体" w:hAnsi="黑体" w:eastAsia="黑体" w:cs="黑体"/>
        </w:rPr>
      </w:pPr>
    </w:p>
    <w:p w14:paraId="09CAFD6B">
      <w:pPr>
        <w:jc w:val="center"/>
        <w:rPr>
          <w:b w:val="1"/>
          <w:sz w:val="36"/>
          <w:szCs w:val="36"/>
          <w:rFonts w:ascii="黑体" w:hAnsi="黑体" w:eastAsia="黑体" w:cs="黑体"/>
        </w:rPr>
      </w:pPr>
    </w:p>
    <w:p w14:paraId="00C9E176">
      <w:pPr>
        <w:jc w:val="center"/>
        <w:rPr>
          <w:b w:val="1"/>
          <w:sz w:val="36"/>
          <w:szCs w:val="36"/>
          <w:rFonts w:ascii="黑体" w:hAnsi="黑体" w:eastAsia="黑体" w:cs="黑体"/>
        </w:rPr>
      </w:pPr>
      <w:bookmarkStart w:id="0" w:name="OLE_LINK1"/>
      <w:r>
        <w:rPr>
          <w:b w:val="1"/>
          <w:sz w:val="36"/>
          <w:szCs w:val="36"/>
          <w:rFonts w:ascii="黑体" w:hAnsi="黑体" w:eastAsia="黑体" w:cs="黑体" w:hint="eastAsia"/>
        </w:rPr>
        <w:t>采购单位：自治区交通运输综合行政执法局</w:t>
      </w:r>
      <w:bookmarkEnd w:id="0"/>
    </w:p>
    <w:p w14:paraId="75E30081">
      <w:pPr>
        <w:jc w:val="center"/>
        <w:rPr>
          <w:b w:val="1"/>
          <w:sz w:val="36"/>
          <w:szCs w:val="36"/>
          <w:rFonts w:ascii="黑体" w:hAnsi="黑体" w:eastAsia="黑体" w:cs="黑体" w:hint="eastAsia"/>
        </w:rPr>
      </w:pPr>
      <w:r>
        <w:rPr>
          <w:b w:val="1"/>
          <w:sz w:val="36"/>
          <w:szCs w:val="36"/>
          <w:rFonts w:ascii="黑体" w:hAnsi="黑体" w:eastAsia="黑体" w:cs="黑体" w:hint="eastAsia"/>
        </w:rPr>
        <w:t>日期：2025年</w:t>
      </w:r>
      <w:r>
        <w:rPr>
          <w:b w:val="1"/>
          <w:sz w:val="36"/>
          <w:lang w:val="en-US" w:eastAsia="zh-CN"/>
          <w:szCs w:val="36"/>
          <w:rFonts w:ascii="黑体" w:hAnsi="黑体" w:eastAsia="黑体" w:cs="黑体" w:hint="eastAsia"/>
        </w:rPr>
        <w:t>5</w:t>
      </w:r>
      <w:r>
        <w:rPr>
          <w:b w:val="1"/>
          <w:sz w:val="36"/>
          <w:szCs w:val="36"/>
          <w:rFonts w:ascii="黑体" w:hAnsi="黑体" w:eastAsia="黑体" w:cs="黑体" w:hint="eastAsia"/>
        </w:rPr>
        <w:t>月</w:t>
      </w:r>
      <w:r>
        <w:rPr>
          <w:b w:val="1"/>
          <w:sz w:val="36"/>
          <w:lang w:val="en-US" w:eastAsia="zh-CN"/>
          <w:szCs w:val="36"/>
          <w:rFonts w:ascii="黑体" w:hAnsi="黑体" w:eastAsia="黑体" w:cs="黑体" w:hint="eastAsia"/>
        </w:rPr>
        <w:t>26</w:t>
      </w:r>
      <w:r>
        <w:rPr>
          <w:b w:val="1"/>
          <w:sz w:val="36"/>
          <w:szCs w:val="36"/>
          <w:rFonts w:ascii="黑体" w:hAnsi="黑体" w:eastAsia="黑体" w:cs="黑体" w:hint="eastAsia"/>
        </w:rPr>
        <w:t>日</w:t>
      </w:r>
    </w:p>
    <w:p w14:paraId="3BF047A2">
      <w:pPr>
        <w:jc w:val="center"/>
        <w:spacing w:line="500" w:lineRule="exact"/>
        <w:rPr>
          <w:b w:val="1"/>
          <w:sz w:val="44"/>
          <w:szCs w:val="44"/>
          <w:rFonts w:ascii="华文中宋" w:hAnsi="华文中宋" w:eastAsia="华文中宋" w:hint="eastAsia"/>
        </w:rPr>
      </w:pPr>
    </w:p>
    <w:p w14:paraId="1B778109">
      <w:pPr>
        <w:jc w:val="center"/>
        <w:spacing w:line="500" w:lineRule="exact"/>
        <w:rPr>
          <w:b w:val="1"/>
          <w:sz w:val="44"/>
          <w:szCs w:val="44"/>
          <w:rFonts w:ascii="华文中宋" w:hAnsi="华文中宋" w:eastAsia="华文中宋"/>
        </w:rPr>
      </w:pPr>
      <w:r>
        <w:rPr>
          <w:b w:val="1"/>
          <w:sz w:val="44"/>
          <w:szCs w:val="44"/>
          <w:rFonts w:ascii="华文中宋" w:hAnsi="华文中宋" w:eastAsia="华文中宋" w:hint="eastAsia"/>
        </w:rPr>
        <w:t>自治区交通运输综合行政执法局</w:t>
      </w:r>
    </w:p>
    <w:p w14:paraId="40533B28">
      <w:pPr>
        <w:jc w:val="center"/>
        <w:spacing w:line="500" w:lineRule="exact"/>
        <w:rPr>
          <w:b w:val="1"/>
          <w:sz w:val="44"/>
          <w:szCs w:val="44"/>
          <w:rFonts w:ascii="华文中宋" w:hAnsi="华文中宋" w:eastAsia="华文中宋"/>
        </w:rPr>
      </w:pPr>
      <w:r>
        <w:rPr>
          <w:b w:val="1"/>
          <w:sz w:val="44"/>
          <w:szCs w:val="44"/>
          <w:rFonts w:ascii="华文中宋" w:hAnsi="华文中宋" w:eastAsia="华文中宋" w:hint="eastAsia"/>
        </w:rPr>
        <w:t>采购报价供应商需知</w:t>
      </w:r>
    </w:p>
    <w:p w14:paraId="31DFC403">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我局根据工作开展需要，拟采购</w:t>
      </w:r>
      <w:r>
        <w:rPr>
          <w:sz w:val="32"/>
          <w:lang w:val="en-US" w:eastAsia="zh-CN"/>
          <w:szCs w:val="32"/>
          <w:rFonts w:ascii="仿宋_GB2312" w:hAnsi="Calibri" w:eastAsia="仿宋_GB2312" w:cs="Times New Roman" w:hint="eastAsia"/>
        </w:rPr>
        <w:t>防护防爆装备</w:t>
      </w:r>
      <w:r>
        <w:rPr>
          <w:sz w:val="32"/>
          <w:szCs w:val="32"/>
          <w:rFonts w:ascii="仿宋_GB2312" w:hAnsi="Calibri" w:eastAsia="仿宋_GB2312" w:cs="Times New Roman" w:hint="eastAsia"/>
        </w:rPr>
        <w:t>一批，现邀请</w:t>
      </w:r>
      <w:r>
        <w:rPr>
          <w:color w:val="auto"/>
          <w:sz w:val="32"/>
          <w:lang w:eastAsia="zh-CN"/>
          <w:szCs w:val="32"/>
          <w:rFonts w:ascii="仿宋_GB2312" w:hAnsi="仿宋_GB2312" w:eastAsia="仿宋_GB2312" w:cs="仿宋_GB2312" w:hint="eastAsia"/>
        </w:rPr>
        <w:t>符合条件的机构</w:t>
      </w:r>
      <w:r>
        <w:rPr>
          <w:sz w:val="32"/>
          <w:szCs w:val="32"/>
          <w:rFonts w:ascii="仿宋_GB2312" w:hAnsi="Calibri" w:eastAsia="仿宋_GB2312" w:cs="Times New Roman" w:hint="eastAsia"/>
        </w:rPr>
        <w:t>参与报价。</w:t>
      </w:r>
      <w:r>
        <w:rPr>
          <w:color w:val="auto"/>
          <w:sz w:val="32"/>
          <w:lang w:eastAsia="zh-CN"/>
          <w:szCs w:val="32"/>
          <w:rFonts w:ascii="仿宋_GB2312" w:hAnsi="仿宋_GB2312" w:eastAsia="仿宋_GB2312" w:cs="仿宋_GB2312" w:hint="eastAsia"/>
        </w:rPr>
        <w:t>我</w:t>
      </w:r>
      <w:r>
        <w:rPr>
          <w:color w:val="auto"/>
          <w:sz w:val="32"/>
          <w:lang w:val="en-US" w:eastAsia="zh-CN"/>
          <w:szCs w:val="32"/>
          <w:rFonts w:ascii="仿宋_GB2312" w:hAnsi="仿宋_GB2312" w:eastAsia="仿宋_GB2312" w:cs="仿宋_GB2312" w:hint="eastAsia"/>
        </w:rPr>
        <w:t>局</w:t>
      </w:r>
      <w:r>
        <w:rPr>
          <w:color w:val="auto"/>
          <w:sz w:val="32"/>
          <w:lang w:eastAsia="zh-CN"/>
          <w:szCs w:val="32"/>
          <w:rFonts w:ascii="仿宋_GB2312" w:hAnsi="仿宋_GB2312" w:eastAsia="仿宋_GB2312" w:cs="仿宋_GB2312" w:hint="eastAsia"/>
        </w:rPr>
        <w:t>将根据各公司所报文件中的</w:t>
      </w:r>
      <w:r>
        <w:rPr>
          <w:color w:val="auto"/>
          <w:sz w:val="32"/>
          <w:lang w:val="en-US" w:eastAsia="zh-CN"/>
          <w:szCs w:val="32"/>
          <w:rFonts w:ascii="仿宋_GB2312" w:hAnsi="仿宋_GB2312" w:eastAsia="仿宋_GB2312" w:cs="仿宋_GB2312" w:hint="eastAsia"/>
        </w:rPr>
        <w:t>企业管理能力、履约经验、</w:t>
      </w:r>
      <w:r>
        <w:rPr>
          <w:color w:val="auto"/>
          <w:sz w:val="32"/>
          <w:lang w:eastAsia="zh-CN"/>
          <w:szCs w:val="32"/>
          <w:rFonts w:ascii="仿宋_GB2312" w:hAnsi="仿宋_GB2312" w:eastAsia="仿宋_GB2312" w:cs="仿宋_GB2312" w:hint="eastAsia"/>
        </w:rPr>
        <w:t>报价、</w:t>
      </w:r>
      <w:r>
        <w:rPr>
          <w:color w:val="auto"/>
          <w:sz w:val="32"/>
          <w:lang w:val="en-US" w:eastAsia="zh-CN"/>
          <w:szCs w:val="32"/>
          <w:rFonts w:ascii="仿宋_GB2312" w:hAnsi="仿宋_GB2312" w:eastAsia="仿宋_GB2312" w:cs="仿宋_GB2312" w:hint="eastAsia"/>
        </w:rPr>
        <w:t>产品质量保障</w:t>
      </w:r>
      <w:r>
        <w:rPr>
          <w:color w:val="auto"/>
          <w:sz w:val="32"/>
          <w:lang w:eastAsia="zh-CN"/>
          <w:szCs w:val="32"/>
          <w:rFonts w:ascii="仿宋_GB2312" w:hAnsi="仿宋_GB2312" w:eastAsia="仿宋_GB2312" w:cs="仿宋_GB2312" w:hint="eastAsia"/>
        </w:rPr>
        <w:t>、</w:t>
      </w:r>
      <w:r>
        <w:rPr>
          <w:color w:val="auto"/>
          <w:sz w:val="32"/>
          <w:lang w:val="en-US" w:eastAsia="zh-CN"/>
          <w:szCs w:val="32"/>
          <w:rFonts w:ascii="仿宋_GB2312" w:hAnsi="仿宋_GB2312" w:eastAsia="仿宋_GB2312" w:cs="仿宋_GB2312" w:hint="eastAsia"/>
        </w:rPr>
        <w:t>实物样品、售后服务及保障方案等</w:t>
      </w:r>
      <w:r>
        <w:rPr>
          <w:color w:val="auto"/>
          <w:sz w:val="32"/>
          <w:lang w:eastAsia="zh-CN"/>
          <w:szCs w:val="32"/>
          <w:rFonts w:ascii="仿宋_GB2312" w:hAnsi="仿宋_GB2312" w:eastAsia="仿宋_GB2312" w:cs="仿宋_GB2312" w:hint="eastAsia"/>
        </w:rPr>
        <w:t>方面通过综合评分方式确定成交供应商。</w:t>
      </w:r>
    </w:p>
    <w:p w14:paraId="534D0184">
      <w:pPr>
        <w:spacing w:line="560" w:lineRule="exact"/>
        <w:ind w:firstLine="643" w:firstLineChars="200"/>
        <w:rPr>
          <w:b w:val="1"/>
          <w:sz w:val="32"/>
          <w:bCs/>
          <w:szCs w:val="32"/>
          <w:rFonts w:ascii="仿宋_GB2312" w:hAnsi="Calibri" w:eastAsia="仿宋_GB2312" w:cs="Times New Roman"/>
        </w:rPr>
      </w:pPr>
      <w:r>
        <w:rPr>
          <w:b w:val="1"/>
          <w:sz w:val="32"/>
          <w:bCs/>
          <w:szCs w:val="32"/>
          <w:rFonts w:ascii="仿宋_GB2312" w:hAnsi="Calibri" w:eastAsia="仿宋_GB2312" w:cs="Times New Roman" w:hint="eastAsia"/>
        </w:rPr>
        <w:t>一、项目概况</w:t>
      </w:r>
    </w:p>
    <w:p w14:paraId="3D252816">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（一）项目名称：自治区交通运输综合行政执法局执法装备（</w:t>
      </w:r>
      <w:r>
        <w:rPr>
          <w:sz w:val="32"/>
          <w:lang w:val="en-US" w:eastAsia="zh-CN"/>
          <w:szCs w:val="32"/>
          <w:rFonts w:ascii="仿宋_GB2312" w:hAnsi="Calibri" w:eastAsia="仿宋_GB2312" w:cs="Times New Roman" w:hint="eastAsia"/>
        </w:rPr>
        <w:t>防护防爆装备</w:t>
      </w:r>
      <w:r>
        <w:rPr>
          <w:sz w:val="32"/>
          <w:szCs w:val="32"/>
          <w:rFonts w:ascii="仿宋_GB2312" w:hAnsi="Calibri" w:eastAsia="仿宋_GB2312" w:cs="Times New Roman" w:hint="eastAsia"/>
        </w:rPr>
        <w:t>类）购置项目</w:t>
      </w:r>
    </w:p>
    <w:p w14:paraId="317AAA3F">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（二）采购方式：询价采购</w:t>
      </w:r>
    </w:p>
    <w:p w14:paraId="2A53FBD3">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（三）最高限价为：45.97万</w:t>
      </w:r>
    </w:p>
    <w:p w14:paraId="18D23BFB">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（四）供应商须就清单中的内容作完整报价。总报价包含货物、运费、装卸费、安装人工费、调试费、培训费、税金、售后服务费及其他所有可能发生的一切费用。</w:t>
      </w:r>
      <w:r>
        <w:rPr>
          <w:color w:val="auto"/>
          <w:sz w:val="32"/>
          <w:lang w:eastAsia="zh-CN"/>
          <w:szCs w:val="32"/>
          <w:rFonts w:ascii="仿宋_GB2312" w:hAnsi="仿宋_GB2312" w:eastAsia="仿宋_GB2312" w:cs="仿宋_GB2312" w:hint="eastAsia"/>
        </w:rPr>
        <w:t>本次项目成交供应商中标后，需签署合同并按合同要求完成</w:t>
      </w:r>
      <w:r>
        <w:rPr>
          <w:color w:val="auto"/>
          <w:sz w:val="32"/>
          <w:lang w:val="en-US" w:eastAsia="zh-CN"/>
          <w:szCs w:val="32"/>
          <w:rFonts w:ascii="仿宋_GB2312" w:hAnsi="仿宋_GB2312" w:eastAsia="仿宋_GB2312" w:cs="仿宋_GB2312" w:hint="eastAsia"/>
        </w:rPr>
        <w:t>各项</w:t>
      </w:r>
      <w:r>
        <w:rPr>
          <w:color w:val="auto"/>
          <w:sz w:val="32"/>
          <w:lang w:eastAsia="zh-CN"/>
          <w:szCs w:val="32"/>
          <w:rFonts w:ascii="仿宋_GB2312" w:hAnsi="仿宋_GB2312" w:eastAsia="仿宋_GB2312" w:cs="仿宋_GB2312" w:hint="eastAsia"/>
        </w:rPr>
        <w:t>工作。</w:t>
      </w:r>
    </w:p>
    <w:p w14:paraId="354F9F57">
      <w:pPr>
        <w:spacing w:line="560" w:lineRule="exact"/>
        <w:ind w:firstLine="643" w:firstLineChars="200"/>
        <w:rPr>
          <w:b w:val="1"/>
          <w:sz w:val="32"/>
          <w:bCs/>
          <w:szCs w:val="32"/>
          <w:rFonts w:ascii="仿宋_GB2312" w:hAnsi="Calibri" w:eastAsia="仿宋_GB2312" w:cs="Times New Roman"/>
        </w:rPr>
      </w:pPr>
      <w:r>
        <w:rPr>
          <w:b w:val="1"/>
          <w:sz w:val="32"/>
          <w:bCs/>
          <w:szCs w:val="32"/>
          <w:rFonts w:ascii="仿宋_GB2312" w:hAnsi="Calibri" w:eastAsia="仿宋_GB2312" w:cs="Times New Roman" w:hint="eastAsia"/>
        </w:rPr>
        <w:t>二、资质要求</w:t>
      </w:r>
    </w:p>
    <w:p w14:paraId="34413060">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（一）满足《中华人民共和国政府采购法》第二十二条规定：</w:t>
      </w:r>
    </w:p>
    <w:p w14:paraId="186EFC2E">
      <w:pPr>
        <w:pStyle w:val="10"/>
        <w:spacing w:line="560" w:lineRule="exact"/>
        <w:ind w:firstLine="640"/>
        <w:rPr>
          <w:sz w:val="32"/>
          <w:szCs w:val="32"/>
          <w:rFonts w:ascii="仿宋_GB2312" w:hAnsi="Calibri" w:eastAsia="仿宋_GB2312" w:cs="Times New Roman"/>
        </w:rPr>
      </w:pPr>
      <w:r>
        <w:rPr>
          <w:sz w:val="32"/>
          <w:szCs w:val="32"/>
          <w:rFonts w:ascii="仿宋_GB2312" w:hAnsi="Calibri" w:eastAsia="仿宋_GB2312" w:cs="Times New Roman" w:hint="eastAsia"/>
        </w:rPr>
        <w:t>1.具有独立承担民事责任的能力；</w:t>
      </w:r>
    </w:p>
    <w:p w14:paraId="7067E8DD">
      <w:pPr>
        <w:pStyle w:val="10"/>
        <w:spacing w:line="560" w:lineRule="exact"/>
        <w:ind w:firstLine="640"/>
        <w:rPr>
          <w:sz w:val="32"/>
          <w:szCs w:val="32"/>
          <w:rFonts w:ascii="仿宋_GB2312" w:hAnsi="Calibri" w:eastAsia="仿宋_GB2312" w:cs="Times New Roman"/>
        </w:rPr>
      </w:pPr>
      <w:r>
        <w:rPr>
          <w:sz w:val="32"/>
          <w:szCs w:val="32"/>
          <w:rFonts w:ascii="仿宋_GB2312" w:hAnsi="Calibri" w:eastAsia="仿宋_GB2312" w:cs="Times New Roman" w:hint="eastAsia"/>
        </w:rPr>
        <w:t>2.具有良好的商业信誉和健全的财务会计制度；</w:t>
      </w:r>
    </w:p>
    <w:p w14:paraId="53369129">
      <w:pPr>
        <w:pStyle w:val="10"/>
        <w:spacing w:line="560" w:lineRule="exact"/>
        <w:ind w:firstLine="640"/>
        <w:rPr>
          <w:sz w:val="32"/>
          <w:szCs w:val="32"/>
          <w:rFonts w:ascii="仿宋_GB2312" w:hAnsi="Calibri" w:eastAsia="仿宋_GB2312" w:cs="Times New Roman"/>
        </w:rPr>
      </w:pPr>
      <w:r>
        <w:rPr>
          <w:sz w:val="32"/>
          <w:szCs w:val="32"/>
          <w:rFonts w:ascii="仿宋_GB2312" w:hAnsi="Calibri" w:eastAsia="仿宋_GB2312" w:cs="Times New Roman" w:hint="eastAsia"/>
        </w:rPr>
        <w:t>3.具有履行合同所必需的</w:t>
      </w:r>
      <w:r>
        <w:rPr>
          <w:sz w:val="32"/>
          <w:lang w:eastAsia="zh-CN"/>
          <w:szCs w:val="32"/>
          <w:rFonts w:ascii="仿宋_GB2312" w:hAnsi="Calibri" w:eastAsia="仿宋_GB2312" w:cs="Times New Roman" w:hint="eastAsia"/>
        </w:rPr>
        <w:t>装备</w:t>
      </w:r>
      <w:r>
        <w:rPr>
          <w:sz w:val="32"/>
          <w:szCs w:val="32"/>
          <w:rFonts w:ascii="仿宋_GB2312" w:hAnsi="Calibri" w:eastAsia="仿宋_GB2312" w:cs="Times New Roman" w:hint="eastAsia"/>
        </w:rPr>
        <w:t>和专业技术能力；</w:t>
      </w:r>
    </w:p>
    <w:p w14:paraId="5A2FEF17">
      <w:pPr>
        <w:pStyle w:val="10"/>
        <w:spacing w:line="560" w:lineRule="exact"/>
        <w:ind w:firstLine="640"/>
        <w:rPr>
          <w:sz w:val="32"/>
          <w:szCs w:val="32"/>
          <w:rFonts w:ascii="仿宋_GB2312" w:hAnsi="Calibri" w:eastAsia="仿宋_GB2312" w:cs="Times New Roman"/>
        </w:rPr>
      </w:pPr>
      <w:r>
        <w:rPr>
          <w:sz w:val="32"/>
          <w:szCs w:val="32"/>
          <w:rFonts w:ascii="仿宋_GB2312" w:hAnsi="Calibri" w:eastAsia="仿宋_GB2312" w:cs="Times New Roman" w:hint="eastAsia"/>
        </w:rPr>
        <w:t>4.有依法缴纳税收和社会保障资金的良好记录；</w:t>
      </w:r>
    </w:p>
    <w:p w14:paraId="0C63B971">
      <w:pPr>
        <w:pStyle w:val="10"/>
        <w:spacing w:line="560" w:lineRule="exact"/>
        <w:ind w:firstLine="640"/>
        <w:rPr>
          <w:sz w:val="32"/>
          <w:szCs w:val="32"/>
          <w:rFonts w:ascii="仿宋_GB2312" w:hAnsi="Calibri" w:eastAsia="仿宋_GB2312" w:cs="Times New Roman"/>
        </w:rPr>
      </w:pPr>
      <w:r>
        <w:rPr>
          <w:sz w:val="32"/>
          <w:szCs w:val="32"/>
          <w:rFonts w:ascii="仿宋_GB2312" w:hAnsi="Calibri" w:eastAsia="仿宋_GB2312" w:cs="Times New Roman" w:hint="eastAsia"/>
        </w:rPr>
        <w:t>5.参加政府采购活动前三年内，在经营活动中没有重大违法记录；</w:t>
      </w:r>
    </w:p>
    <w:p w14:paraId="02B42924">
      <w:pPr>
        <w:pStyle w:val="10"/>
        <w:spacing w:line="560" w:lineRule="exact"/>
        <w:ind w:firstLine="640"/>
      </w:pPr>
      <w:r>
        <w:rPr>
          <w:sz w:val="32"/>
          <w:szCs w:val="32"/>
          <w:rFonts w:ascii="仿宋_GB2312" w:hAnsi="Calibri" w:eastAsia="仿宋_GB2312" w:cs="Times New Roman" w:hint="eastAsia"/>
        </w:rPr>
        <w:t>6.法律、行政法规规定的其他条件。</w:t>
      </w:r>
    </w:p>
    <w:p w14:paraId="1B2B89E0">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二）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14:paraId="6CFB83DD">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（三）供应商负责人为同一人或者存在控股、管理关系的不同单位不得同时投标；</w:t>
      </w:r>
    </w:p>
    <w:p w14:paraId="1B90508F">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（四）本项目不接受联合体竞标。</w:t>
      </w:r>
    </w:p>
    <w:p w14:paraId="249998E2">
      <w:pPr>
        <w:spacing w:line="560" w:lineRule="exact"/>
        <w:ind w:firstLine="643" w:firstLineChars="200"/>
        <w:rPr>
          <w:b w:val="1"/>
          <w:sz w:val="32"/>
          <w:bCs/>
          <w:szCs w:val="32"/>
          <w:rFonts w:ascii="仿宋_GB2312" w:hAnsi="Calibri" w:eastAsia="仿宋_GB2312" w:cs="Times New Roman"/>
        </w:rPr>
      </w:pPr>
      <w:r>
        <w:rPr>
          <w:b w:val="1"/>
          <w:sz w:val="32"/>
          <w:bCs/>
          <w:szCs w:val="32"/>
          <w:rFonts w:ascii="仿宋_GB2312" w:hAnsi="Calibri" w:eastAsia="仿宋_GB2312" w:cs="Times New Roman" w:hint="eastAsia"/>
        </w:rPr>
        <w:t>三、商务条款</w:t>
      </w:r>
    </w:p>
    <w:p w14:paraId="6EA560F0">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（一）自签订合同之日起</w:t>
      </w:r>
      <w:r>
        <w:rPr>
          <w:sz w:val="32"/>
          <w:lang w:val="en-US" w:eastAsia="zh-CN"/>
          <w:szCs w:val="32"/>
          <w:rFonts w:ascii="仿宋_GB2312" w:hAnsi="Calibri" w:eastAsia="仿宋_GB2312" w:cs="Times New Roman" w:hint="eastAsia"/>
        </w:rPr>
        <w:t>3</w:t>
      </w:r>
      <w:r>
        <w:rPr>
          <w:sz w:val="32"/>
          <w:szCs w:val="32"/>
          <w:rFonts w:ascii="仿宋_GB2312" w:hAnsi="Calibri" w:eastAsia="仿宋_GB2312" w:cs="Times New Roman" w:hint="eastAsia"/>
        </w:rPr>
        <w:t>0日内全部交货完成并验收合格，所提供的货物必须是未使用过的全新产品，按照采购人指定地点免费送货上门。若质量存在缺陷，3日内免费更换新产品。</w:t>
      </w:r>
    </w:p>
    <w:p w14:paraId="3A019CE1">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二）按产品国家有关“三包”规定，执行“三包”；质保期自货物验收合格之日起计算，不少于1年。（若产品生产厂家免费质保期超过此年限的，合同履行过程中按厂家规定执行；若成交人质保期承诺优于产品生产厂家质保年限的，以成交人承诺执行。）</w:t>
      </w:r>
    </w:p>
    <w:p w14:paraId="3397CF1C">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（三）售后服务要求：</w:t>
      </w:r>
    </w:p>
    <w:p w14:paraId="25AC93A9">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1.免费培训：对采购人进行免费培训，使其全部掌握</w:t>
      </w:r>
      <w:r>
        <w:rPr>
          <w:sz w:val="32"/>
          <w:lang w:eastAsia="zh-CN"/>
          <w:szCs w:val="32"/>
          <w:rFonts w:ascii="仿宋_GB2312" w:hAnsi="Calibri" w:eastAsia="仿宋_GB2312" w:cs="Times New Roman" w:hint="eastAsia"/>
        </w:rPr>
        <w:t>装备</w:t>
      </w:r>
      <w:r>
        <w:rPr>
          <w:sz w:val="32"/>
          <w:szCs w:val="32"/>
          <w:rFonts w:ascii="仿宋_GB2312" w:hAnsi="Calibri" w:eastAsia="仿宋_GB2312" w:cs="Times New Roman" w:hint="eastAsia"/>
        </w:rPr>
        <w:t>的使用和日常维护。</w:t>
      </w:r>
    </w:p>
    <w:p w14:paraId="0228322A">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2.接</w:t>
      </w:r>
      <w:r>
        <w:rPr>
          <w:sz w:val="32"/>
          <w:lang w:eastAsia="zh-CN"/>
          <w:szCs w:val="32"/>
          <w:rFonts w:ascii="仿宋_GB2312" w:hAnsi="Calibri" w:eastAsia="仿宋_GB2312" w:cs="Times New Roman" w:hint="eastAsia"/>
        </w:rPr>
        <w:t>装备</w:t>
      </w:r>
      <w:r>
        <w:rPr>
          <w:sz w:val="32"/>
          <w:szCs w:val="32"/>
          <w:rFonts w:ascii="仿宋_GB2312" w:hAnsi="Calibri" w:eastAsia="仿宋_GB2312" w:cs="Times New Roman" w:hint="eastAsia"/>
        </w:rPr>
        <w:t>故障通知在1小时内需要作出响应，48小时内解决</w:t>
      </w:r>
      <w:r>
        <w:rPr>
          <w:sz w:val="32"/>
          <w:lang w:eastAsia="zh-CN"/>
          <w:szCs w:val="32"/>
          <w:rFonts w:ascii="仿宋_GB2312" w:hAnsi="Calibri" w:eastAsia="仿宋_GB2312" w:cs="Times New Roman" w:hint="eastAsia"/>
        </w:rPr>
        <w:t>装备</w:t>
      </w:r>
      <w:r>
        <w:rPr>
          <w:sz w:val="32"/>
          <w:szCs w:val="32"/>
          <w:rFonts w:ascii="仿宋_GB2312" w:hAnsi="Calibri" w:eastAsia="仿宋_GB2312" w:cs="Times New Roman" w:hint="eastAsia"/>
        </w:rPr>
        <w:t>故障问题。</w:t>
      </w:r>
    </w:p>
    <w:p w14:paraId="2A74A794">
      <w:pPr>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3.在质量保证期内</w:t>
      </w:r>
      <w:r>
        <w:rPr>
          <w:sz w:val="32"/>
          <w:lang w:eastAsia="zh-CN"/>
          <w:szCs w:val="32"/>
          <w:rFonts w:ascii="仿宋_GB2312" w:hAnsi="Calibri" w:eastAsia="仿宋_GB2312" w:cs="Times New Roman" w:hint="eastAsia"/>
        </w:rPr>
        <w:t>装备</w:t>
      </w:r>
      <w:r>
        <w:rPr>
          <w:sz w:val="32"/>
          <w:szCs w:val="32"/>
          <w:rFonts w:ascii="仿宋_GB2312" w:hAnsi="Calibri" w:eastAsia="仿宋_GB2312" w:cs="Times New Roman" w:hint="eastAsia"/>
        </w:rPr>
        <w:t>非因人为及不可抗拒因素的原因而引起损坏或质量问题，成交人应免费予以技术服务、维修或更换，并承担相应费用和零部件的费用。因人为因素出现的故障不在免费保修范围内，成交供应商需积极帮助采购人修理，并提供优惠价格的配件和服务。</w:t>
      </w:r>
    </w:p>
    <w:p w14:paraId="47CFA5FD">
      <w:pPr>
        <w:spacing w:line="560" w:lineRule="exact"/>
        <w:ind w:firstLine="640" w:firstLineChars="200"/>
        <w:rPr>
          <w:sz w:val="32"/>
          <w:szCs w:val="32"/>
          <w:rFonts w:ascii="仿宋" w:hAnsi="仿宋" w:eastAsia="仿宋" w:cs="仿宋"/>
        </w:rPr>
      </w:pPr>
      <w:r>
        <w:rPr>
          <w:sz w:val="32"/>
          <w:lang w:val="en-US" w:eastAsia="zh-CN"/>
          <w:szCs w:val="32"/>
          <w:rFonts w:ascii="仿宋_GB2312" w:hAnsi="Calibri" w:eastAsia="仿宋_GB2312" w:cs="Times New Roman" w:hint="eastAsia"/>
        </w:rPr>
        <w:t>4</w:t>
      </w:r>
      <w:r>
        <w:rPr>
          <w:sz w:val="32"/>
          <w:szCs w:val="32"/>
          <w:rFonts w:ascii="仿宋_GB2312" w:hAnsi="Calibri" w:eastAsia="仿宋_GB2312" w:cs="Times New Roman" w:hint="eastAsia"/>
        </w:rPr>
        <w:t>.</w:t>
      </w:r>
      <w:r>
        <w:rPr>
          <w:sz w:val="32"/>
          <w:szCs w:val="32"/>
          <w:rFonts w:ascii="仿宋" w:hAnsi="仿宋" w:eastAsia="仿宋" w:cs="仿宋" w:hint="eastAsia"/>
        </w:rPr>
        <w:t>因</w:t>
      </w:r>
      <w:r>
        <w:rPr>
          <w:sz w:val="32"/>
          <w:lang w:eastAsia="zh-CN"/>
          <w:szCs w:val="32"/>
          <w:rFonts w:ascii="仿宋" w:hAnsi="仿宋" w:eastAsia="仿宋" w:cs="仿宋" w:hint="eastAsia"/>
        </w:rPr>
        <w:t>装备</w:t>
      </w:r>
      <w:r>
        <w:rPr>
          <w:sz w:val="32"/>
          <w:szCs w:val="32"/>
          <w:rFonts w:ascii="仿宋" w:hAnsi="仿宋" w:eastAsia="仿宋" w:cs="仿宋" w:hint="eastAsia"/>
        </w:rPr>
        <w:t>涉及保修，报价人所供产品应为正规渠道所获产品，不接受已拆封、或导致所供产品得不到厂家保修的其他行为。</w:t>
      </w:r>
    </w:p>
    <w:p w14:paraId="4FAA6201">
      <w:pPr>
        <w:spacing w:line="560" w:lineRule="exact"/>
        <w:ind w:firstLine="640" w:firstLineChars="200"/>
        <w:rPr>
          <w:sz w:val="32"/>
          <w:szCs w:val="32"/>
          <w:rFonts w:ascii="仿宋" w:hAnsi="仿宋" w:eastAsia="仿宋" w:cs="仿宋" w:hint="eastAsia"/>
        </w:rPr>
      </w:pPr>
      <w:r>
        <w:rPr>
          <w:sz w:val="32"/>
          <w:lang w:val="en-US" w:eastAsia="zh-CN"/>
          <w:szCs w:val="32"/>
          <w:rFonts w:ascii="仿宋" w:hAnsi="仿宋" w:eastAsia="仿宋" w:cs="仿宋" w:hint="eastAsia"/>
        </w:rPr>
        <w:t>5</w:t>
      </w:r>
      <w:r>
        <w:rPr>
          <w:sz w:val="32"/>
          <w:szCs w:val="32"/>
          <w:rFonts w:ascii="仿宋" w:hAnsi="仿宋" w:eastAsia="仿宋" w:cs="仿宋" w:hint="eastAsia"/>
        </w:rPr>
        <w:t>.</w:t>
      </w:r>
      <w:r>
        <w:rPr>
          <w:sz w:val="32"/>
          <w:szCs w:val="32"/>
          <w:rFonts w:ascii="仿宋_GB2312" w:hAnsi="Calibri" w:eastAsia="仿宋_GB2312" w:cs="Times New Roman" w:hint="eastAsia"/>
        </w:rPr>
        <w:t>如中标供应商因不可抗力因素影响，无法提供采购方需求</w:t>
      </w:r>
      <w:r>
        <w:rPr>
          <w:sz w:val="32"/>
          <w:szCs w:val="32"/>
          <w:rFonts w:ascii="仿宋" w:hAnsi="仿宋" w:eastAsia="仿宋" w:cs="仿宋" w:hint="eastAsia"/>
        </w:rPr>
        <w:t>货物时，经与采购方协商并同意后，在不低于该货物中标价的情况下，可用同品牌的同档次、同规格的货物替代，并签订补充协议说明。</w:t>
      </w:r>
    </w:p>
    <w:p w14:paraId="2389E858">
      <w:pPr>
        <w:spacing w:line="560" w:lineRule="exact"/>
        <w:ind w:firstLine="643" w:firstLineChars="200"/>
        <w:rPr>
          <w:b w:val="1"/>
          <w:sz w:val="32"/>
          <w:bCs/>
          <w:szCs w:val="32"/>
          <w:rFonts w:ascii="仿宋_GB2312" w:hAnsi="Calibri" w:eastAsia="仿宋_GB2312" w:cs="Times New Roman"/>
        </w:rPr>
      </w:pPr>
      <w:r>
        <w:rPr>
          <w:b w:val="1"/>
          <w:sz w:val="32"/>
          <w:bCs/>
          <w:szCs w:val="32"/>
          <w:rFonts w:ascii="仿宋_GB2312" w:hAnsi="Calibri" w:eastAsia="仿宋_GB2312" w:cs="Times New Roman" w:hint="eastAsia"/>
        </w:rPr>
        <w:t>四、付款方式</w:t>
      </w:r>
    </w:p>
    <w:p w14:paraId="3C2FA7AD">
      <w:pPr>
        <w:spacing w:line="560" w:lineRule="exact"/>
        <w:ind w:firstLine="640" w:firstLineChars="200"/>
        <w:rPr>
          <w:sz w:val="32"/>
          <w:szCs w:val="32"/>
          <w:rFonts w:ascii="仿宋_GB2312" w:hAnsi="仿宋_GB2312" w:eastAsia="仿宋_GB2312" w:cs="仿宋_GB2312"/>
        </w:rPr>
      </w:pPr>
      <w:r>
        <w:rPr>
          <w:sz w:val="32"/>
          <w:szCs w:val="32"/>
          <w:rFonts w:ascii="仿宋_GB2312" w:hAnsi="仿宋_GB2312" w:eastAsia="仿宋_GB2312" w:cs="仿宋_GB2312" w:hint="eastAsia"/>
        </w:rPr>
        <w:t>签订本项目合同，且货物全部配送完毕并验收合格后，采购人在收到发票后三十日内一次性付清供应商的货款。</w:t>
      </w:r>
    </w:p>
    <w:p w14:paraId="3A7BEE8D">
      <w:pPr>
        <w:spacing w:line="560" w:lineRule="exact"/>
        <w:ind w:firstLine="643" w:firstLineChars="200"/>
        <w:rPr>
          <w:b w:val="1"/>
          <w:sz w:val="32"/>
          <w:bCs/>
          <w:szCs w:val="32"/>
          <w:rFonts w:ascii="仿宋_GB2312" w:hAnsi="Calibri" w:eastAsia="仿宋_GB2312" w:cs="Times New Roman"/>
        </w:rPr>
      </w:pPr>
      <w:r>
        <w:rPr>
          <w:b w:val="1"/>
          <w:sz w:val="32"/>
          <w:bCs/>
          <w:szCs w:val="32"/>
          <w:rFonts w:ascii="仿宋_GB2312" w:hAnsi="Calibri" w:eastAsia="仿宋_GB2312" w:cs="Times New Roman" w:hint="eastAsia"/>
        </w:rPr>
        <w:t>五、验收标准</w:t>
      </w:r>
    </w:p>
    <w:p w14:paraId="45CC2304">
      <w:pPr>
        <w:spacing w:line="560" w:lineRule="exact"/>
        <w:ind w:firstLine="640" w:firstLineChars="200"/>
        <w:rPr>
          <w:sz w:val="32"/>
          <w:szCs w:val="32"/>
          <w:rFonts w:ascii="仿宋_GB2312" w:hAnsi="仿宋_GB2312" w:eastAsia="仿宋_GB2312" w:cs="仿宋_GB2312" w:hint="eastAsia"/>
        </w:rPr>
      </w:pPr>
      <w:r>
        <w:rPr>
          <w:sz w:val="32"/>
          <w:szCs w:val="32"/>
          <w:rFonts w:ascii="仿宋_GB2312" w:hAnsi="仿宋_GB2312" w:eastAsia="仿宋_GB2312" w:cs="仿宋_GB2312" w:hint="eastAsia"/>
        </w:rPr>
        <w:t>所有产品在验收时应当符合国家法律法规，执行国家相关标准、行业标准，并符合采购文件中要求的技术标准。产品到达现场后，成交供应商应在采购人单位人员在场情况下当面开箱，共同清点、检查外观。成交供应商应保证货物到达采购人所在地完好无损，如有缺漏、损坏或者存在手工和制作质量问题，成交供应商必须无条件负责调换、补齐。成交供应商应提供完备的装箱单和合格证等，并派遣专业人员进行现场验收。验收合格条件如下：</w:t>
      </w:r>
    </w:p>
    <w:p w14:paraId="303C92F5">
      <w:pPr>
        <w:spacing w:line="560" w:lineRule="exact"/>
        <w:ind w:firstLine="640" w:firstLineChars="200"/>
        <w:rPr>
          <w:sz w:val="32"/>
          <w:szCs w:val="32"/>
          <w:rFonts w:ascii="仿宋_GB2312" w:hAnsi="仿宋_GB2312" w:eastAsia="仿宋_GB2312" w:cs="仿宋_GB2312" w:hint="eastAsia"/>
        </w:rPr>
      </w:pPr>
      <w:r>
        <w:rPr>
          <w:sz w:val="32"/>
          <w:szCs w:val="32"/>
          <w:rFonts w:ascii="仿宋_GB2312" w:hAnsi="仿宋_GB2312" w:eastAsia="仿宋_GB2312" w:cs="仿宋_GB2312" w:hint="eastAsia"/>
        </w:rPr>
        <w:t>（一）货物技术参数与采购合同一致，性能或指标达到规定的标准。</w:t>
      </w:r>
    </w:p>
    <w:p w14:paraId="0D4544E7">
      <w:pPr>
        <w:spacing w:line="560" w:lineRule="exact"/>
        <w:ind w:firstLine="640" w:firstLineChars="200"/>
        <w:rPr>
          <w:sz w:val="32"/>
          <w:szCs w:val="32"/>
          <w:rFonts w:ascii="仿宋_GB2312" w:hAnsi="仿宋_GB2312" w:eastAsia="仿宋_GB2312" w:cs="仿宋_GB2312" w:hint="eastAsia"/>
        </w:rPr>
      </w:pPr>
      <w:r>
        <w:rPr>
          <w:sz w:val="32"/>
          <w:szCs w:val="32"/>
          <w:rFonts w:ascii="仿宋_GB2312" w:hAnsi="仿宋_GB2312" w:eastAsia="仿宋_GB2312" w:cs="仿宋_GB2312" w:hint="eastAsia"/>
        </w:rPr>
        <w:t>（二）技术或资料、装箱单、合格证等资料齐全。</w:t>
      </w:r>
    </w:p>
    <w:p w14:paraId="7A64538D">
      <w:pPr>
        <w:spacing w:line="560" w:lineRule="exact"/>
        <w:ind w:firstLine="640" w:firstLineChars="200"/>
        <w:rPr>
          <w:sz w:val="32"/>
          <w:szCs w:val="32"/>
          <w:rFonts w:ascii="仿宋_GB2312" w:hAnsi="仿宋_GB2312" w:eastAsia="仿宋_GB2312" w:cs="仿宋_GB2312"/>
        </w:rPr>
      </w:pPr>
      <w:r>
        <w:rPr>
          <w:sz w:val="32"/>
          <w:szCs w:val="32"/>
          <w:rFonts w:ascii="仿宋_GB2312" w:hAnsi="仿宋_GB2312" w:eastAsia="仿宋_GB2312" w:cs="仿宋_GB2312" w:hint="eastAsia"/>
        </w:rPr>
        <w:t>（三）在规定时间内完成交货，并经采购人确认。</w:t>
      </w:r>
    </w:p>
    <w:p w14:paraId="2A4BAEBF">
      <w:pPr>
        <w:spacing w:line="560" w:lineRule="exact"/>
        <w:ind w:firstLine="643" w:firstLineChars="200"/>
        <w:rPr>
          <w:b w:val="1"/>
          <w:sz w:val="32"/>
          <w:bCs/>
          <w:szCs w:val="32"/>
          <w:rFonts w:ascii="仿宋_GB2312" w:hAnsi="Calibri" w:eastAsia="仿宋_GB2312" w:cs="Times New Roman"/>
        </w:rPr>
      </w:pPr>
      <w:r>
        <w:rPr>
          <w:b w:val="1"/>
          <w:sz w:val="32"/>
          <w:bCs/>
          <w:szCs w:val="32"/>
          <w:rFonts w:ascii="仿宋_GB2312" w:hAnsi="Calibri" w:eastAsia="仿宋_GB2312" w:cs="Times New Roman" w:hint="eastAsia"/>
        </w:rPr>
        <w:t xml:space="preserve">六、报价文件组成内容 </w:t>
      </w:r>
    </w:p>
    <w:p w14:paraId="7E15C9AD">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（一）《营业执照》复印件、法定代表人委托授权书、法定代表人身份证复印件均加盖公章。</w:t>
      </w:r>
    </w:p>
    <w:p w14:paraId="5CC7E33C">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sz w:val="32"/>
          <w:szCs w:val="32"/>
          <w:rFonts w:ascii="仿宋_GB2312" w:hAnsi="Calibri" w:eastAsia="仿宋_GB2312" w:cs="Times New Roman" w:hint="eastAsia"/>
        </w:rPr>
      </w:pPr>
      <w:r>
        <w:rPr>
          <w:sz w:val="32"/>
          <w:szCs w:val="32"/>
          <w:rFonts w:ascii="仿宋_GB2312" w:hAnsi="Calibri" w:eastAsia="仿宋_GB2312" w:cs="Times New Roman" w:hint="eastAsia"/>
        </w:rPr>
        <w:t>（二）报价表（按照采购报价表填报并加盖公章）。</w:t>
      </w:r>
    </w:p>
    <w:p w14:paraId="2F034B86">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sz w:val="32"/>
          <w:szCs w:val="32"/>
          <w:rFonts w:ascii="仿宋_GB2312" w:hAnsi="Calibri" w:eastAsia="仿宋_GB2312" w:cs="Times New Roman" w:hint="eastAsia"/>
        </w:rPr>
      </w:pPr>
      <w:r>
        <w:rPr>
          <w:color w:val="auto"/>
          <w:sz w:val="32"/>
          <w:lang w:eastAsia="zh-CN"/>
          <w:szCs w:val="32"/>
          <w:rFonts w:ascii="仿宋_GB2312" w:hAnsi="仿宋_GB2312" w:eastAsia="仿宋_GB2312" w:cs="仿宋_GB2312" w:hint="eastAsia"/>
        </w:rPr>
        <w:t>（</w:t>
      </w:r>
      <w:r>
        <w:rPr>
          <w:color w:val="auto"/>
          <w:sz w:val="32"/>
          <w:lang w:val="en-US" w:eastAsia="zh-CN"/>
          <w:szCs w:val="32"/>
          <w:rFonts w:ascii="仿宋_GB2312" w:hAnsi="仿宋_GB2312" w:eastAsia="仿宋_GB2312" w:cs="仿宋_GB2312" w:hint="eastAsia"/>
        </w:rPr>
        <w:t>三</w:t>
      </w:r>
      <w:r>
        <w:rPr>
          <w:color w:val="auto"/>
          <w:sz w:val="32"/>
          <w:lang w:eastAsia="zh-CN"/>
          <w:szCs w:val="32"/>
          <w:rFonts w:ascii="仿宋_GB2312" w:hAnsi="仿宋_GB2312" w:eastAsia="仿宋_GB2312" w:cs="仿宋_GB2312" w:hint="eastAsia"/>
        </w:rPr>
        <w:t>）技术响应、偏离情况说明表。</w:t>
      </w:r>
    </w:p>
    <w:p w14:paraId="14180C5F">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sz w:val="32"/>
          <w:szCs w:val="32"/>
          <w:rFonts w:ascii="仿宋_GB2312" w:hAnsi="Calibri" w:eastAsia="仿宋_GB2312" w:cs="Times New Roman" w:hint="eastAsia"/>
        </w:rPr>
      </w:pPr>
      <w:r>
        <w:rPr>
          <w:sz w:val="32"/>
          <w:szCs w:val="32"/>
          <w:rFonts w:ascii="仿宋_GB2312" w:hAnsi="Calibri" w:eastAsia="仿宋_GB2312" w:cs="Times New Roman" w:hint="eastAsia"/>
        </w:rPr>
        <w:t>（</w:t>
      </w:r>
      <w:r>
        <w:rPr>
          <w:sz w:val="32"/>
          <w:lang w:val="en-US" w:eastAsia="zh-CN"/>
          <w:szCs w:val="32"/>
          <w:rFonts w:ascii="仿宋_GB2312" w:hAnsi="Calibri" w:eastAsia="仿宋_GB2312" w:cs="Times New Roman" w:hint="eastAsia"/>
        </w:rPr>
        <w:t>四</w:t>
      </w:r>
      <w:r>
        <w:rPr>
          <w:sz w:val="32"/>
          <w:szCs w:val="32"/>
          <w:rFonts w:ascii="仿宋_GB2312" w:hAnsi="Calibri" w:eastAsia="仿宋_GB2312" w:cs="Times New Roman" w:hint="eastAsia"/>
        </w:rPr>
        <w:t>）售后服务及售后承诺。</w:t>
      </w:r>
    </w:p>
    <w:p w14:paraId="5002FAF2">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lang w:eastAsia="zh-CN"/>
          <w:szCs w:val="32"/>
          <w:rFonts w:ascii="仿宋_GB2312" w:hAnsi="仿宋_GB2312" w:eastAsia="仿宋_GB2312" w:cs="仿宋_GB2312" w:hint="eastAsia"/>
        </w:rPr>
      </w:pPr>
      <w:r>
        <w:rPr>
          <w:color w:val="auto"/>
          <w:sz w:val="32"/>
          <w:lang w:eastAsia="zh-CN"/>
          <w:szCs w:val="32"/>
          <w:rFonts w:ascii="仿宋_GB2312" w:hAnsi="仿宋_GB2312" w:eastAsia="仿宋_GB2312" w:cs="仿宋_GB2312" w:hint="eastAsia"/>
        </w:rPr>
        <w:t>（</w:t>
      </w:r>
      <w:r>
        <w:rPr>
          <w:color w:val="auto"/>
          <w:sz w:val="32"/>
          <w:lang w:val="en-US" w:eastAsia="zh-CN"/>
          <w:szCs w:val="32"/>
          <w:rFonts w:ascii="仿宋_GB2312" w:hAnsi="仿宋_GB2312" w:eastAsia="仿宋_GB2312" w:cs="仿宋_GB2312" w:hint="eastAsia"/>
        </w:rPr>
        <w:t>五</w:t>
      </w:r>
      <w:r>
        <w:rPr>
          <w:color w:val="auto"/>
          <w:sz w:val="32"/>
          <w:lang w:eastAsia="zh-CN"/>
          <w:szCs w:val="32"/>
          <w:rFonts w:ascii="仿宋_GB2312" w:hAnsi="仿宋_GB2312" w:eastAsia="仿宋_GB2312" w:cs="仿宋_GB2312" w:hint="eastAsia"/>
        </w:rPr>
        <w:t>）产品</w:t>
      </w:r>
      <w:r>
        <w:rPr>
          <w:color w:val="auto"/>
          <w:sz w:val="32"/>
          <w:lang w:val="en-US" w:eastAsia="zh-CN"/>
          <w:szCs w:val="32"/>
          <w:rFonts w:ascii="仿宋_GB2312" w:hAnsi="仿宋_GB2312" w:eastAsia="仿宋_GB2312" w:cs="仿宋_GB2312" w:hint="eastAsia"/>
        </w:rPr>
        <w:t>实物样品</w:t>
      </w:r>
      <w:r>
        <w:rPr>
          <w:color w:val="auto"/>
          <w:sz w:val="32"/>
          <w:lang w:eastAsia="zh-CN"/>
          <w:szCs w:val="32"/>
          <w:rFonts w:ascii="仿宋_GB2312" w:hAnsi="仿宋_GB2312" w:eastAsia="仿宋_GB2312" w:cs="仿宋_GB2312" w:hint="eastAsia"/>
        </w:rPr>
        <w:t>。</w:t>
      </w:r>
    </w:p>
    <w:p w14:paraId="1A07FB9E">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sz w:val="32"/>
          <w:szCs w:val="32"/>
          <w:rFonts w:ascii="仿宋_GB2312" w:hAnsi="Calibri" w:eastAsia="仿宋_GB2312" w:cs="Times New Roman" w:hint="eastAsia"/>
        </w:rPr>
      </w:pPr>
      <w:r>
        <w:rPr>
          <w:color w:val="auto"/>
          <w:sz w:val="32"/>
          <w:lang w:val="en-US" w:eastAsia="zh-CN"/>
          <w:szCs w:val="32"/>
          <w:rFonts w:ascii="仿宋_GB2312" w:hAnsi="仿宋_GB2312" w:eastAsia="仿宋_GB2312" w:cs="仿宋_GB2312" w:hint="eastAsia"/>
        </w:rPr>
        <w:t>（六）</w:t>
      </w:r>
      <w:r>
        <w:rPr>
          <w:color w:val="auto"/>
          <w:sz w:val="32"/>
          <w:lang w:eastAsia="zh-CN"/>
          <w:szCs w:val="32"/>
          <w:rFonts w:ascii="仿宋_GB2312" w:hAnsi="仿宋_GB2312" w:eastAsia="仿宋_GB2312" w:cs="仿宋_GB2312" w:hint="eastAsia"/>
        </w:rPr>
        <w:t>业绩证明材料（2022年以来同类项目产品或公检法司等执法单位的成功案例，以合同</w:t>
      </w:r>
      <w:r>
        <w:rPr>
          <w:color w:val="auto"/>
          <w:sz w:val="32"/>
          <w:lang w:val="en-US" w:eastAsia="zh-CN"/>
          <w:szCs w:val="32"/>
          <w:rFonts w:ascii="仿宋_GB2312" w:hAnsi="仿宋_GB2312" w:eastAsia="仿宋_GB2312" w:cs="仿宋_GB2312" w:hint="eastAsia"/>
        </w:rPr>
        <w:t>及验收报告</w:t>
      </w:r>
      <w:r>
        <w:rPr>
          <w:color w:val="auto"/>
          <w:sz w:val="32"/>
          <w:lang w:eastAsia="zh-CN"/>
          <w:szCs w:val="32"/>
          <w:rFonts w:ascii="仿宋_GB2312" w:hAnsi="仿宋_GB2312" w:eastAsia="仿宋_GB2312" w:cs="仿宋_GB2312" w:hint="eastAsia"/>
        </w:rPr>
        <w:t>复印件加盖</w:t>
      </w:r>
      <w:r>
        <w:rPr>
          <w:color w:val="auto"/>
          <w:sz w:val="32"/>
          <w:lang w:val="en-US" w:eastAsia="zh-CN"/>
          <w:szCs w:val="32"/>
          <w:rFonts w:ascii="仿宋_GB2312" w:hAnsi="仿宋_GB2312" w:eastAsia="仿宋_GB2312" w:cs="仿宋_GB2312" w:hint="eastAsia"/>
        </w:rPr>
        <w:t>供应商</w:t>
      </w:r>
      <w:r>
        <w:rPr>
          <w:color w:val="auto"/>
          <w:sz w:val="32"/>
          <w:lang w:eastAsia="zh-CN"/>
          <w:szCs w:val="32"/>
          <w:rFonts w:ascii="仿宋_GB2312" w:hAnsi="仿宋_GB2312" w:eastAsia="仿宋_GB2312" w:cs="仿宋_GB2312" w:hint="eastAsia"/>
        </w:rPr>
        <w:t>印章为准）。</w:t>
      </w:r>
    </w:p>
    <w:p w14:paraId="3AC615F7">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sz w:val="32"/>
          <w:szCs w:val="32"/>
          <w:rFonts w:ascii="仿宋_GB2312" w:hAnsi="Calibri" w:eastAsia="仿宋_GB2312" w:cs="Times New Roman"/>
        </w:rPr>
      </w:pPr>
      <w:r>
        <w:rPr>
          <w:sz w:val="32"/>
          <w:szCs w:val="32"/>
          <w:rFonts w:ascii="仿宋_GB2312" w:hAnsi="Calibri" w:eastAsia="仿宋_GB2312" w:cs="Times New Roman" w:hint="eastAsia"/>
        </w:rPr>
        <w:t>（</w:t>
      </w:r>
      <w:r>
        <w:rPr>
          <w:sz w:val="32"/>
          <w:lang w:val="en-US" w:eastAsia="zh-CN"/>
          <w:szCs w:val="32"/>
          <w:rFonts w:ascii="仿宋_GB2312" w:hAnsi="Calibri" w:eastAsia="仿宋_GB2312" w:cs="Times New Roman" w:hint="eastAsia"/>
        </w:rPr>
        <w:t>七</w:t>
      </w:r>
      <w:r>
        <w:rPr>
          <w:sz w:val="32"/>
          <w:szCs w:val="32"/>
          <w:rFonts w:ascii="仿宋_GB2312" w:hAnsi="Calibri" w:eastAsia="仿宋_GB2312" w:cs="Times New Roman" w:hint="eastAsia"/>
        </w:rPr>
        <w:t>）报名时提供其在“信用中国”网站(www.creditchina.gov.cn)和中国政府采购网(www.ccgp.gov.cn)查询到的主体信用记录结果。</w:t>
      </w:r>
    </w:p>
    <w:p w14:paraId="58AE5E21">
      <w:pPr>
        <w:pStyle w:val="10"/>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rPr>
          <w:color w:val="auto"/>
          <w:sz w:val="32"/>
          <w:lang w:eastAsia="zh-CN"/>
          <w:szCs w:val="32"/>
          <w:rFonts w:ascii="仿宋_GB2312" w:hAnsi="仿宋_GB2312" w:eastAsia="仿宋_GB2312" w:cs="仿宋_GB2312" w:hint="eastAsia"/>
        </w:rPr>
      </w:pPr>
      <w:r>
        <w:rPr>
          <w:sz w:val="32"/>
          <w:szCs w:val="32"/>
          <w:rFonts w:ascii="仿宋_GB2312" w:hAnsi="Calibri" w:eastAsia="仿宋_GB2312" w:cs="Times New Roman" w:hint="eastAsia"/>
        </w:rPr>
        <w:t>（</w:t>
      </w:r>
      <w:r>
        <w:rPr>
          <w:sz w:val="32"/>
          <w:lang w:val="en-US" w:eastAsia="zh-CN"/>
          <w:szCs w:val="32"/>
          <w:rFonts w:ascii="仿宋_GB2312" w:hAnsi="Calibri" w:eastAsia="仿宋_GB2312" w:cs="Times New Roman" w:hint="eastAsia"/>
        </w:rPr>
        <w:t>八</w:t>
      </w:r>
      <w:r>
        <w:rPr>
          <w:sz w:val="32"/>
          <w:szCs w:val="32"/>
          <w:rFonts w:ascii="仿宋_GB2312" w:hAnsi="Calibri" w:eastAsia="仿宋_GB2312" w:cs="Times New Roman" w:hint="eastAsia"/>
        </w:rPr>
        <w:t>）除采购文件规定必须提供以外，供应商认为需要提供的其他证明材料。（供应商根据附件“项目</w:t>
      </w:r>
      <w:r>
        <w:rPr>
          <w:w w:val="95"/>
          <w:sz w:val="32"/>
          <w:szCs w:val="32"/>
          <w:rFonts w:ascii="仿宋_GB2312" w:hAnsi="Calibri" w:eastAsia="仿宋_GB2312" w:cs="Times New Roman" w:hint="eastAsia"/>
        </w:rPr>
        <w:t>采购清单</w:t>
      </w:r>
      <w:r>
        <w:rPr>
          <w:sz w:val="32"/>
          <w:szCs w:val="32"/>
          <w:rFonts w:ascii="仿宋_GB2312" w:hAnsi="Calibri" w:eastAsia="仿宋_GB2312" w:cs="Times New Roman" w:hint="eastAsia"/>
        </w:rPr>
        <w:t>”要求提供有关证明材料）。</w:t>
      </w:r>
    </w:p>
    <w:p w14:paraId="770BD78E">
      <w:pPr>
        <w:spacing w:line="560" w:lineRule="exact"/>
        <w:ind w:firstLine="643" w:firstLineChars="200"/>
        <w:rPr>
          <w:b w:val="1"/>
          <w:sz w:val="32"/>
          <w:bCs/>
          <w:szCs w:val="32"/>
          <w:rFonts w:ascii="仿宋_GB2312" w:hAnsi="Calibri" w:eastAsia="仿宋_GB2312" w:cs="Times New Roman"/>
        </w:rPr>
      </w:pPr>
      <w:r>
        <w:rPr>
          <w:b w:val="1"/>
          <w:sz w:val="32"/>
          <w:bCs/>
          <w:szCs w:val="32"/>
          <w:rFonts w:ascii="仿宋_GB2312" w:hAnsi="Calibri" w:eastAsia="仿宋_GB2312" w:cs="Times New Roman" w:hint="eastAsia"/>
        </w:rPr>
        <w:t>七、报价文件递交</w:t>
      </w:r>
    </w:p>
    <w:p w14:paraId="2A43CD6E">
      <w:pPr>
        <w:spacing w:line="560" w:lineRule="exact"/>
        <w:ind w:firstLine="640" w:firstLineChars="200"/>
        <w:rPr>
          <w:sz w:val="32"/>
          <w:szCs w:val="32"/>
          <w:rFonts w:ascii="仿宋_GB2312" w:hAnsi="Calibri" w:eastAsia="仿宋_GB2312" w:cs="Times New Roman" w:hint="eastAsia"/>
        </w:rPr>
      </w:pPr>
      <w:r>
        <w:rPr>
          <w:sz w:val="32"/>
          <w:szCs w:val="32"/>
          <w:rFonts w:ascii="仿宋_GB2312" w:hAnsi="Calibri" w:eastAsia="仿宋_GB2312" w:cs="Times New Roman" w:hint="eastAsia"/>
        </w:rPr>
        <w:t>请于2025年</w:t>
      </w:r>
      <w:r>
        <w:rPr>
          <w:sz w:val="32"/>
          <w:lang w:val="en-US" w:eastAsia="zh-CN"/>
          <w:szCs w:val="32"/>
          <w:rFonts w:ascii="仿宋_GB2312" w:hAnsi="Calibri" w:eastAsia="仿宋_GB2312" w:cs="Times New Roman" w:hint="eastAsia"/>
        </w:rPr>
        <w:t>6</w:t>
      </w:r>
      <w:r>
        <w:rPr>
          <w:sz w:val="32"/>
          <w:szCs w:val="32"/>
          <w:rFonts w:ascii="仿宋_GB2312" w:hAnsi="Calibri" w:eastAsia="仿宋_GB2312" w:cs="Times New Roman" w:hint="eastAsia"/>
        </w:rPr>
        <w:t>月</w:t>
      </w:r>
      <w:r>
        <w:rPr>
          <w:sz w:val="32"/>
          <w:lang w:val="en-US" w:eastAsia="zh-CN"/>
          <w:szCs w:val="32"/>
          <w:rFonts w:ascii="仿宋_GB2312" w:hAnsi="Calibri" w:eastAsia="仿宋_GB2312" w:cs="Times New Roman" w:hint="eastAsia"/>
        </w:rPr>
        <w:t>5</w:t>
      </w:r>
      <w:r>
        <w:rPr>
          <w:sz w:val="32"/>
          <w:szCs w:val="32"/>
          <w:rFonts w:ascii="仿宋_GB2312" w:hAnsi="Calibri" w:eastAsia="仿宋_GB2312" w:cs="Times New Roman" w:hint="eastAsia"/>
        </w:rPr>
        <w:t>日1</w:t>
      </w:r>
      <w:r>
        <w:rPr>
          <w:sz w:val="32"/>
          <w:lang w:val="en-US" w:eastAsia="zh-CN"/>
          <w:szCs w:val="32"/>
          <w:rFonts w:ascii="仿宋_GB2312" w:hAnsi="Calibri" w:eastAsia="仿宋_GB2312" w:cs="Times New Roman" w:hint="eastAsia"/>
        </w:rPr>
        <w:t>8</w:t>
      </w:r>
      <w:r>
        <w:rPr>
          <w:sz w:val="32"/>
          <w:szCs w:val="32"/>
          <w:rFonts w:ascii="仿宋_GB2312" w:hAnsi="Calibri" w:eastAsia="仿宋_GB2312" w:cs="Times New Roman" w:hint="eastAsia"/>
        </w:rPr>
        <w:t>点前将装订成册的报价文件（一式三份）用信封密封好，送至我局（南宁市滨湖路66号公路大厦808室）。如需邮寄送达，请用信封密封好并在邮寄封面注明投标资料和投标单位。联系人：张微，联系电话：0771-2115929；项目联系人：梁毅，联系电话：0771-2115456。</w:t>
      </w:r>
    </w:p>
    <w:p w14:paraId="447243C9">
      <w:pPr>
        <w:widowControl w:val="0"/>
        <w:keepNext w:val="0"/>
        <w:keepLines w:val="0"/>
        <w:pageBreakBefore w:val="0"/>
        <w:wordWrap w:val="1"/>
        <w:overflowPunct w:val="1"/>
        <w:topLinePunct w:val="0"/>
        <w:kinsoku w:val="1"/>
        <w:autoSpaceDE w:val="1"/>
        <w:autoSpaceDN w:val="1"/>
        <w:bidi w:val="0"/>
        <w:adjustRightInd w:val="1"/>
        <w:snapToGrid w:val="1"/>
        <w:numPr>
          <w:ilvl w:val="0"/>
          <w:numId w:val="0"/>
        </w:numPr>
        <w:spacing w:line="560" w:lineRule="exact"/>
        <w:ind w:firstLine="608" w:firstLineChars="200"/>
        <w:rPr>
          <w:w w:val="95"/>
          <w:sz w:val="32"/>
          <w:lang w:val="en-US" w:eastAsia="zh-CN"/>
          <w:szCs w:val="32"/>
          <w:rFonts w:ascii="仿宋_GB2312" w:hAnsi="Calibri" w:eastAsia="仿宋_GB2312" w:cs="Times New Roman" w:hint="eastAsia"/>
        </w:rPr>
      </w:pPr>
      <w:r>
        <w:rPr>
          <w:w w:val="95"/>
          <w:sz w:val="32"/>
          <w:szCs w:val="32"/>
          <w:rFonts w:ascii="仿宋_GB2312" w:hAnsi="Calibri" w:eastAsia="仿宋_GB2312" w:cs="Times New Roman" w:hint="eastAsia"/>
        </w:rPr>
        <w:t>附件</w:t>
      </w:r>
      <w:r>
        <w:rPr>
          <w:sz w:val="32"/>
          <w:szCs w:val="32"/>
          <w:rFonts w:ascii="仿宋_GB2312" w:hAnsi="仿宋_GB2312" w:eastAsia="仿宋_GB2312" w:cs="仿宋_GB2312" w:hint="eastAsia"/>
        </w:rPr>
        <w:t>1.评审办法及评分标准</w:t>
      </w:r>
    </w:p>
    <w:p w14:paraId="43822A2E">
      <w:pPr>
        <w:spacing w:line="560" w:lineRule="exact"/>
        <w:ind w:firstLine="1216" w:firstLineChars="400"/>
        <w:rPr>
          <w:w w:val="95"/>
          <w:sz w:val="32"/>
          <w:szCs w:val="32"/>
          <w:rFonts w:ascii="仿宋_GB2312" w:hAnsi="Calibri" w:eastAsia="仿宋_GB2312" w:cs="Times New Roman" w:hint="eastAsia"/>
        </w:rPr>
      </w:pPr>
      <w:r>
        <w:rPr>
          <w:w w:val="95"/>
          <w:sz w:val="32"/>
          <w:lang w:val="en-US" w:eastAsia="zh-CN"/>
          <w:szCs w:val="32"/>
          <w:rFonts w:ascii="仿宋_GB2312" w:hAnsi="Calibri" w:eastAsia="仿宋_GB2312" w:cs="Times New Roman" w:hint="eastAsia"/>
        </w:rPr>
        <w:t>2</w:t>
      </w:r>
      <w:r>
        <w:rPr>
          <w:w w:val="95"/>
          <w:sz w:val="32"/>
          <w:szCs w:val="32"/>
          <w:rFonts w:ascii="仿宋_GB2312" w:hAnsi="Calibri" w:eastAsia="仿宋_GB2312" w:cs="Times New Roman" w:hint="eastAsia"/>
        </w:rPr>
        <w:t>：</w:t>
      </w:r>
      <w:r>
        <w:rPr>
          <w:sz w:val="32"/>
          <w:szCs w:val="32"/>
          <w:rFonts w:ascii="仿宋_GB2312" w:hAnsi="Calibri" w:eastAsia="仿宋_GB2312" w:cs="Times New Roman" w:hint="eastAsia"/>
        </w:rPr>
        <w:t>自治区交通运输综合行政执法局执法装备（</w:t>
      </w:r>
      <w:r>
        <w:rPr>
          <w:sz w:val="32"/>
          <w:lang w:val="en-US" w:eastAsia="zh-CN"/>
          <w:szCs w:val="32"/>
          <w:rFonts w:ascii="仿宋_GB2312" w:hAnsi="Calibri" w:eastAsia="仿宋_GB2312" w:cs="Times New Roman" w:hint="eastAsia"/>
        </w:rPr>
        <w:t>防护防爆</w:t>
      </w:r>
      <w:r>
        <w:rPr>
          <w:sz w:val="32"/>
          <w:lang w:eastAsia="zh-CN"/>
          <w:szCs w:val="32"/>
          <w:rFonts w:ascii="仿宋_GB2312" w:hAnsi="Calibri" w:eastAsia="仿宋_GB2312" w:cs="Times New Roman" w:hint="eastAsia"/>
        </w:rPr>
        <w:t>装备</w:t>
      </w:r>
      <w:r>
        <w:rPr>
          <w:sz w:val="32"/>
          <w:szCs w:val="32"/>
          <w:rFonts w:ascii="仿宋_GB2312" w:hAnsi="Calibri" w:eastAsia="仿宋_GB2312" w:cs="Times New Roman" w:hint="eastAsia"/>
        </w:rPr>
        <w:t>类）购置项目</w:t>
      </w:r>
      <w:r>
        <w:rPr>
          <w:w w:val="95"/>
          <w:sz w:val="32"/>
          <w:szCs w:val="32"/>
          <w:rFonts w:ascii="仿宋_GB2312" w:hAnsi="Calibri" w:eastAsia="仿宋_GB2312" w:cs="Times New Roman" w:hint="eastAsia"/>
        </w:rPr>
        <w:t>采购清单。</w:t>
      </w:r>
    </w:p>
    <w:p w14:paraId="25C16CE4">
      <w:pPr>
        <w:spacing w:line="560" w:lineRule="exact"/>
        <w:ind w:firstLine="1216" w:firstLineChars="400"/>
        <w:rPr>
          <w:w w:val="95"/>
          <w:sz w:val="32"/>
          <w:lang w:val="en-US" w:eastAsia="zh-CN"/>
          <w:szCs w:val="32"/>
          <w:rFonts w:ascii="仿宋_GB2312" w:hAnsi="Calibri" w:eastAsia="仿宋_GB2312" w:cs="Times New Roman" w:hint="eastAsia"/>
        </w:rPr>
      </w:pPr>
    </w:p>
    <w:p w14:paraId="0EC2BED9">
      <w:pPr>
        <w:widowControl w:val="0"/>
        <w:keepNext w:val="0"/>
        <w:keepLines w:val="0"/>
        <w:pageBreakBefore w:val="0"/>
        <w:wordWrap w:val="1"/>
        <w:overflowPunct w:val="1"/>
        <w:topLinePunct w:val="0"/>
        <w:kinsoku w:val="1"/>
        <w:autoSpaceDE w:val="1"/>
        <w:autoSpaceDN w:val="1"/>
        <w:bidi w:val="0"/>
        <w:adjustRightInd w:val="1"/>
        <w:snapToGrid w:val="1"/>
        <w:jc w:val="left"/>
        <w:spacing w:line="560" w:lineRule="exact"/>
        <w:rPr>
          <w:b w:val="0"/>
          <w:sz w:val="32"/>
          <w:bCs/>
          <w:szCs w:val="32"/>
          <w:rFonts w:ascii="黑体" w:hAnsi="黑体" w:eastAsia="黑体" w:cs="黑体" w:hint="eastAsia"/>
        </w:rPr>
      </w:pPr>
      <w:r>
        <w:rPr>
          <w:b w:val="0"/>
          <w:sz w:val="32"/>
          <w:lang w:val="en-US" w:eastAsia="zh-CN"/>
          <w:bCs/>
          <w:szCs w:val="32"/>
          <w:rFonts w:ascii="仿宋_GB2312" w:hAnsi="仿宋_GB2312" w:eastAsia="仿宋_GB2312" w:cs="仿宋_GB2312" w:hint="eastAsia"/>
        </w:rPr>
        <w:t xml:space="preserve">                            </w:t>
      </w:r>
    </w:p>
    <w:p w14:paraId="2A7D37A1">
      <w:pPr>
        <w:widowControl w:val="0"/>
        <w:keepNext w:val="0"/>
        <w:keepLines w:val="0"/>
        <w:pageBreakBefore w:val="0"/>
        <w:wordWrap w:val="1"/>
        <w:overflowPunct w:val="1"/>
        <w:topLinePunct w:val="0"/>
        <w:kinsoku w:val="1"/>
        <w:autoSpaceDE w:val="1"/>
        <w:autoSpaceDN w:val="1"/>
        <w:bidi w:val="0"/>
        <w:adjustRightInd w:val="1"/>
        <w:snapToGrid w:val="1"/>
        <w:spacing w:line="560" w:lineRule="exact"/>
        <w:rPr>
          <w:b w:val="0"/>
          <w:sz w:val="32"/>
          <w:bCs/>
          <w:szCs w:val="32"/>
          <w:rFonts w:ascii="黑体" w:hAnsi="黑体" w:eastAsia="黑体" w:cs="黑体" w:hint="eastAsia"/>
        </w:rPr>
      </w:pPr>
      <w:r>
        <w:rPr>
          <w:b w:val="0"/>
          <w:sz w:val="32"/>
          <w:bCs/>
          <w:szCs w:val="32"/>
          <w:rFonts w:ascii="黑体" w:hAnsi="黑体" w:eastAsia="黑体" w:cs="黑体" w:hint="eastAsia"/>
        </w:rPr>
        <w:t>附件1</w:t>
      </w:r>
    </w:p>
    <w:p w14:paraId="6B7D86E0">
      <w:pPr>
        <w:widowControl w:val="0"/>
        <w:keepNext w:val="0"/>
        <w:keepLines w:val="0"/>
        <w:pageBreakBefore w:val="0"/>
        <w:wordWrap w:val="1"/>
        <w:overflowPunct w:val="1"/>
        <w:topLinePunct w:val="0"/>
        <w:kinsoku w:val="1"/>
        <w:autoSpaceDE w:val="1"/>
        <w:autoSpaceDN w:val="1"/>
        <w:bidi w:val="0"/>
        <w:adjustRightInd w:val="1"/>
        <w:snapToGrid w:val="1"/>
        <w:jc w:val="center"/>
        <w:spacing w:line="560" w:lineRule="exact"/>
        <w:rPr>
          <w:sz w:val="44"/>
          <w:szCs w:val="44"/>
          <w:rFonts w:ascii="仿宋_GB2312" w:hAnsi="仿宋_GB2312" w:eastAsia="仿宋_GB2312" w:cs="仿宋_GB2312" w:hint="eastAsia"/>
        </w:rPr>
      </w:pPr>
      <w:r>
        <w:rPr>
          <w:sz w:val="44"/>
          <w:szCs w:val="44"/>
          <w:rFonts w:ascii="仿宋_GB2312" w:hAnsi="仿宋_GB2312" w:eastAsia="仿宋_GB2312" w:cs="仿宋_GB2312" w:hint="eastAsia"/>
        </w:rPr>
        <w:t>评审办法及评分标准</w:t>
      </w:r>
    </w:p>
    <w:p w14:paraId="0410767E">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sz w:val="32"/>
          <w:bCs w:val="0"/>
          <w:szCs w:val="32"/>
          <w:rFonts w:ascii="黑体" w:hAnsi="黑体" w:eastAsia="黑体" w:cs="黑体" w:hint="eastAsia"/>
        </w:rPr>
      </w:pPr>
      <w:r>
        <w:rPr>
          <w:b w:val="0"/>
          <w:sz w:val="32"/>
          <w:bCs w:val="0"/>
          <w:szCs w:val="32"/>
          <w:rFonts w:ascii="黑体" w:hAnsi="黑体" w:eastAsia="黑体" w:cs="黑体" w:hint="eastAsia"/>
        </w:rPr>
        <w:t>一、评审原则</w:t>
      </w:r>
    </w:p>
    <w:p w14:paraId="623F22DD">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sz w:val="32"/>
          <w:bCs w:val="0"/>
          <w:szCs w:val="32"/>
          <w:rFonts w:ascii="仿宋_GB2312" w:hAnsi="仿宋_GB2312" w:eastAsia="仿宋_GB2312" w:cs="仿宋_GB2312" w:hint="eastAsia"/>
        </w:rPr>
      </w:pPr>
      <w:r>
        <w:rPr>
          <w:b w:val="0"/>
          <w:sz w:val="32"/>
          <w:bCs w:val="0"/>
          <w:szCs w:val="32"/>
          <w:rFonts w:ascii="仿宋_GB2312" w:hAnsi="仿宋_GB2312" w:eastAsia="仿宋_GB2312" w:cs="仿宋_GB2312" w:hint="eastAsia"/>
        </w:rPr>
        <w:t>（一）评委组成：本次询价采购项目的评审委员会由采购人代表组成，成员人数应当为5人以上单数。</w:t>
      </w:r>
    </w:p>
    <w:p w14:paraId="71B46A73">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sz w:val="32"/>
          <w:bCs w:val="0"/>
          <w:szCs w:val="32"/>
          <w:rFonts w:ascii="仿宋_GB2312" w:hAnsi="仿宋_GB2312" w:eastAsia="仿宋_GB2312" w:cs="仿宋_GB2312" w:hint="eastAsia"/>
        </w:rPr>
      </w:pPr>
      <w:r>
        <w:rPr>
          <w:b w:val="0"/>
          <w:sz w:val="32"/>
          <w:bCs w:val="0"/>
          <w:szCs w:val="32"/>
          <w:rFonts w:ascii="仿宋_GB2312" w:hAnsi="仿宋_GB2312" w:eastAsia="仿宋_GB2312" w:cs="仿宋_GB2312" w:hint="eastAsia"/>
        </w:rPr>
        <w:t>（二）评审依据：评委将以询价文件为评审依据，对报价人的</w:t>
      </w:r>
      <w:r>
        <w:rPr>
          <w:color w:val="auto"/>
          <w:sz w:val="32"/>
          <w:lang w:val="en-US" w:eastAsia="zh-CN"/>
          <w:szCs w:val="32"/>
          <w:rFonts w:ascii="仿宋_GB2312" w:hAnsi="仿宋_GB2312" w:eastAsia="仿宋_GB2312" w:cs="仿宋_GB2312" w:hint="eastAsia"/>
        </w:rPr>
        <w:t>企业管理能力、履约经验、</w:t>
      </w:r>
      <w:r>
        <w:rPr>
          <w:color w:val="auto"/>
          <w:sz w:val="32"/>
          <w:lang w:eastAsia="zh-CN"/>
          <w:szCs w:val="32"/>
          <w:rFonts w:ascii="仿宋_GB2312" w:hAnsi="仿宋_GB2312" w:eastAsia="仿宋_GB2312" w:cs="仿宋_GB2312" w:hint="eastAsia"/>
        </w:rPr>
        <w:t>报价、</w:t>
      </w:r>
      <w:r>
        <w:rPr>
          <w:color w:val="auto"/>
          <w:sz w:val="32"/>
          <w:lang w:val="en-US" w:eastAsia="zh-CN"/>
          <w:szCs w:val="32"/>
          <w:rFonts w:ascii="仿宋_GB2312" w:hAnsi="仿宋_GB2312" w:eastAsia="仿宋_GB2312" w:cs="仿宋_GB2312" w:hint="eastAsia"/>
        </w:rPr>
        <w:t>产品技术参数</w:t>
      </w:r>
      <w:r>
        <w:rPr>
          <w:color w:val="auto"/>
          <w:sz w:val="32"/>
          <w:lang w:eastAsia="zh-CN"/>
          <w:szCs w:val="32"/>
          <w:rFonts w:ascii="仿宋_GB2312" w:hAnsi="仿宋_GB2312" w:eastAsia="仿宋_GB2312" w:cs="仿宋_GB2312" w:hint="eastAsia"/>
        </w:rPr>
        <w:t>、</w:t>
      </w:r>
      <w:r>
        <w:rPr>
          <w:color w:val="auto"/>
          <w:sz w:val="32"/>
          <w:lang w:val="en-US" w:eastAsia="zh-CN"/>
          <w:szCs w:val="32"/>
          <w:rFonts w:ascii="仿宋_GB2312" w:hAnsi="仿宋_GB2312" w:eastAsia="仿宋_GB2312" w:cs="仿宋_GB2312" w:hint="eastAsia"/>
        </w:rPr>
        <w:t>实物样品符合度、售后服务及保障方案</w:t>
      </w:r>
      <w:r>
        <w:rPr>
          <w:b w:val="0"/>
          <w:sz w:val="32"/>
          <w:bCs w:val="0"/>
          <w:szCs w:val="32"/>
          <w:rFonts w:ascii="仿宋_GB2312" w:hAnsi="仿宋_GB2312" w:eastAsia="仿宋_GB2312" w:cs="仿宋_GB2312" w:hint="eastAsia"/>
        </w:rPr>
        <w:t>等内容按综合评分法进行打分。</w:t>
      </w:r>
    </w:p>
    <w:p w14:paraId="6739464C">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sz w:val="32"/>
          <w:bCs w:val="0"/>
          <w:szCs w:val="32"/>
          <w:rFonts w:ascii="黑体" w:hAnsi="黑体" w:eastAsia="黑体" w:cs="黑体" w:hint="eastAsia"/>
        </w:rPr>
      </w:pPr>
      <w:r>
        <w:rPr>
          <w:b w:val="0"/>
          <w:sz w:val="32"/>
          <w:bCs w:val="0"/>
          <w:szCs w:val="32"/>
          <w:rFonts w:ascii="黑体" w:hAnsi="黑体" w:eastAsia="黑体" w:cs="黑体" w:hint="eastAsia"/>
        </w:rPr>
        <w:t>二、评审方法</w:t>
      </w:r>
    </w:p>
    <w:p w14:paraId="7158A286">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sz w:val="32"/>
          <w:bCs w:val="0"/>
          <w:szCs w:val="32"/>
          <w:rFonts w:ascii="仿宋_GB2312" w:hAnsi="仿宋_GB2312" w:eastAsia="仿宋_GB2312" w:cs="仿宋_GB2312" w:hint="eastAsia"/>
        </w:rPr>
      </w:pPr>
      <w:r>
        <w:rPr>
          <w:b w:val="0"/>
          <w:sz w:val="32"/>
          <w:bCs w:val="0"/>
          <w:szCs w:val="32"/>
          <w:rFonts w:ascii="仿宋_GB2312" w:hAnsi="仿宋_GB2312" w:eastAsia="仿宋_GB2312" w:cs="仿宋_GB2312" w:hint="eastAsia"/>
        </w:rPr>
        <w:t>（一）对进入详评的，采用百分制综合评分法。</w:t>
      </w:r>
    </w:p>
    <w:p w14:paraId="710648CB">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sz w:val="32"/>
          <w:lang w:eastAsia="zh-CN"/>
          <w:bCs w:val="0"/>
          <w:szCs w:val="32"/>
          <w:rFonts w:ascii="仿宋_GB2312" w:hAnsi="仿宋_GB2312" w:eastAsia="仿宋_GB2312" w:cs="仿宋_GB2312" w:hint="eastAsia"/>
        </w:rPr>
      </w:pPr>
      <w:r>
        <w:rPr>
          <w:b w:val="0"/>
          <w:sz w:val="32"/>
          <w:bCs w:val="0"/>
          <w:szCs w:val="32"/>
          <w:rFonts w:ascii="仿宋_GB2312" w:hAnsi="仿宋_GB2312" w:eastAsia="仿宋_GB2312" w:cs="仿宋_GB2312" w:hint="eastAsia"/>
        </w:rPr>
        <w:t>（二）计分办法（按四舍五入取至百分位）</w:t>
      </w:r>
      <w:r>
        <w:rPr>
          <w:b w:val="0"/>
          <w:sz w:val="32"/>
          <w:lang w:eastAsia="zh-CN"/>
          <w:bCs w:val="0"/>
          <w:szCs w:val="32"/>
          <w:rFonts w:ascii="仿宋_GB2312" w:hAnsi="仿宋_GB2312" w:eastAsia="仿宋_GB2312" w:cs="仿宋_GB2312" w:hint="eastAsia"/>
        </w:rPr>
        <w:t>。</w:t>
      </w:r>
    </w:p>
    <w:p w14:paraId="75296468">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sz w:val="32"/>
          <w:bCs w:val="0"/>
          <w:szCs w:val="32"/>
          <w:rFonts w:ascii="黑体" w:hAnsi="黑体" w:eastAsia="黑体" w:cs="黑体" w:hint="eastAsia"/>
        </w:rPr>
      </w:pPr>
      <w:r>
        <w:rPr>
          <w:b w:val="0"/>
          <w:sz w:val="32"/>
          <w:bCs w:val="0"/>
          <w:szCs w:val="32"/>
          <w:rFonts w:ascii="黑体" w:hAnsi="黑体" w:eastAsia="黑体" w:cs="黑体" w:hint="eastAsia"/>
        </w:rPr>
        <w:t>三、评分标准</w:t>
      </w:r>
    </w:p>
    <w:p w14:paraId="4B3989B8">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color w:val="auto"/>
          <w:sz w:val="32"/>
          <w:bCs w:val="0"/>
          <w:szCs w:val="32"/>
          <w:rFonts w:ascii="仿宋_GB2312" w:hAnsi="仿宋_GB2312" w:eastAsia="仿宋_GB2312" w:cs="仿宋_GB2312" w:hint="eastAsia"/>
        </w:rPr>
      </w:pPr>
      <w:r>
        <w:rPr>
          <w:b w:val="0"/>
          <w:color w:val="auto"/>
          <w:sz w:val="32"/>
          <w:bCs w:val="0"/>
          <w:szCs w:val="32"/>
          <w:rFonts w:ascii="仿宋_GB2312" w:hAnsi="仿宋_GB2312" w:eastAsia="仿宋_GB2312" w:cs="仿宋_GB2312" w:hint="eastAsia"/>
        </w:rPr>
        <w:t>（一）价格部分（满分</w:t>
      </w:r>
      <w:r>
        <w:rPr>
          <w:b w:val="0"/>
          <w:color w:val="auto"/>
          <w:sz w:val="32"/>
          <w:lang w:val="en-US" w:eastAsia="zh-CN"/>
          <w:bCs w:val="0"/>
          <w:szCs w:val="32"/>
          <w:rFonts w:ascii="仿宋_GB2312" w:hAnsi="仿宋_GB2312" w:eastAsia="仿宋_GB2312" w:cs="仿宋_GB2312" w:hint="eastAsia"/>
        </w:rPr>
        <w:t>30</w:t>
      </w:r>
      <w:r>
        <w:rPr>
          <w:b w:val="0"/>
          <w:color w:val="auto"/>
          <w:sz w:val="32"/>
          <w:bCs w:val="0"/>
          <w:szCs w:val="32"/>
          <w:rFonts w:ascii="仿宋_GB2312" w:hAnsi="仿宋_GB2312" w:eastAsia="仿宋_GB2312" w:cs="仿宋_GB2312" w:hint="eastAsia"/>
        </w:rPr>
        <w:t>分）</w:t>
      </w:r>
    </w:p>
    <w:p w14:paraId="39E61FB1">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（1）满足招标文件要求且投标报价最低的投标报价为评标基准价。</w:t>
      </w:r>
    </w:p>
    <w:p w14:paraId="0CB77666">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（2）价格分计算公式：</w:t>
      </w:r>
    </w:p>
    <w:p w14:paraId="35F053FC">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color w:val="auto"/>
          <w:sz w:val="32"/>
          <w:bCs w:val="0"/>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价格分=（评标基准价／投标报价）×30分</w:t>
      </w:r>
    </w:p>
    <w:p w14:paraId="7A0B56D8">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color w:val="auto"/>
          <w:sz w:val="32"/>
          <w:bCs w:val="0"/>
          <w:szCs w:val="32"/>
          <w:rFonts w:ascii="仿宋_GB2312" w:hAnsi="仿宋_GB2312" w:eastAsia="仿宋_GB2312" w:cs="仿宋_GB2312" w:hint="eastAsia"/>
        </w:rPr>
      </w:pPr>
      <w:r>
        <w:rPr>
          <w:b w:val="0"/>
          <w:color w:val="auto"/>
          <w:sz w:val="32"/>
          <w:bCs w:val="0"/>
          <w:szCs w:val="32"/>
          <w:rFonts w:ascii="仿宋_GB2312" w:hAnsi="仿宋_GB2312" w:eastAsia="仿宋_GB2312" w:cs="仿宋_GB2312" w:hint="eastAsia"/>
        </w:rPr>
        <w:t>（二）商务部分（满分</w:t>
      </w:r>
      <w:r>
        <w:rPr>
          <w:b w:val="0"/>
          <w:color w:val="auto"/>
          <w:sz w:val="32"/>
          <w:lang w:val="en-US" w:eastAsia="zh-CN"/>
          <w:bCs w:val="0"/>
          <w:szCs w:val="32"/>
          <w:rFonts w:ascii="仿宋_GB2312" w:hAnsi="仿宋_GB2312" w:eastAsia="仿宋_GB2312" w:cs="仿宋_GB2312" w:hint="eastAsia"/>
        </w:rPr>
        <w:t>10</w:t>
      </w:r>
      <w:r>
        <w:rPr>
          <w:b w:val="0"/>
          <w:color w:val="auto"/>
          <w:sz w:val="32"/>
          <w:bCs w:val="0"/>
          <w:szCs w:val="32"/>
          <w:rFonts w:ascii="仿宋_GB2312" w:hAnsi="仿宋_GB2312" w:eastAsia="仿宋_GB2312" w:cs="仿宋_GB2312" w:hint="eastAsia"/>
        </w:rPr>
        <w:t>分）</w:t>
      </w:r>
    </w:p>
    <w:p w14:paraId="7018E359">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sz w:val="32"/>
          <w:bCs w:val="0"/>
          <w:szCs w:val="32"/>
          <w:rFonts w:ascii="仿宋_GB2312" w:hAnsi="仿宋_GB2312" w:eastAsia="仿宋_GB2312" w:cs="仿宋_GB2312" w:hint="eastAsia"/>
        </w:rPr>
      </w:pPr>
      <w:r>
        <w:rPr>
          <w:b w:val="0"/>
          <w:sz w:val="32"/>
          <w:bCs w:val="0"/>
          <w:szCs w:val="32"/>
          <w:rFonts w:ascii="仿宋_GB2312" w:hAnsi="仿宋_GB2312" w:eastAsia="仿宋_GB2312" w:cs="仿宋_GB2312" w:hint="eastAsia"/>
        </w:rPr>
        <w:t>按“评分表”要求进行打分。</w:t>
      </w:r>
    </w:p>
    <w:p w14:paraId="21F8294B">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sz w:val="32"/>
          <w:bCs w:val="0"/>
          <w:szCs w:val="32"/>
          <w:rFonts w:ascii="仿宋_GB2312" w:hAnsi="仿宋_GB2312" w:eastAsia="仿宋_GB2312" w:cs="仿宋_GB2312" w:hint="eastAsia"/>
        </w:rPr>
      </w:pPr>
      <w:r>
        <w:rPr>
          <w:b w:val="0"/>
          <w:sz w:val="32"/>
          <w:bCs w:val="0"/>
          <w:szCs w:val="32"/>
          <w:rFonts w:ascii="仿宋_GB2312" w:hAnsi="仿宋_GB2312" w:eastAsia="仿宋_GB2312" w:cs="仿宋_GB2312" w:hint="eastAsia"/>
        </w:rPr>
        <w:t>（三）</w:t>
      </w:r>
      <w:r>
        <w:rPr>
          <w:b w:val="0"/>
          <w:sz w:val="32"/>
          <w:lang w:val="en-US" w:eastAsia="zh-CN"/>
          <w:bCs w:val="0"/>
          <w:szCs w:val="32"/>
          <w:rFonts w:ascii="仿宋_GB2312" w:hAnsi="仿宋_GB2312" w:eastAsia="仿宋_GB2312" w:cs="仿宋_GB2312" w:hint="eastAsia"/>
        </w:rPr>
        <w:t>质量</w:t>
      </w:r>
      <w:r>
        <w:rPr>
          <w:b w:val="0"/>
          <w:sz w:val="32"/>
          <w:bCs w:val="0"/>
          <w:szCs w:val="32"/>
          <w:rFonts w:ascii="仿宋_GB2312" w:hAnsi="仿宋_GB2312" w:eastAsia="仿宋_GB2312" w:cs="仿宋_GB2312" w:hint="eastAsia"/>
        </w:rPr>
        <w:t>部分（满分</w:t>
      </w:r>
      <w:r>
        <w:rPr>
          <w:b w:val="0"/>
          <w:sz w:val="32"/>
          <w:lang w:val="en-US" w:eastAsia="zh-CN"/>
          <w:bCs w:val="0"/>
          <w:szCs w:val="32"/>
          <w:rFonts w:ascii="仿宋_GB2312" w:hAnsi="仿宋_GB2312" w:eastAsia="仿宋_GB2312" w:cs="仿宋_GB2312" w:hint="eastAsia"/>
        </w:rPr>
        <w:t>50</w:t>
      </w:r>
      <w:r>
        <w:rPr>
          <w:b w:val="0"/>
          <w:sz w:val="32"/>
          <w:bCs w:val="0"/>
          <w:szCs w:val="32"/>
          <w:rFonts w:ascii="仿宋_GB2312" w:hAnsi="仿宋_GB2312" w:eastAsia="仿宋_GB2312" w:cs="仿宋_GB2312" w:hint="eastAsia"/>
        </w:rPr>
        <w:t>分）</w:t>
      </w:r>
    </w:p>
    <w:p w14:paraId="59E4D3FC">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b w:val="0"/>
          <w:sz w:val="32"/>
          <w:bCs w:val="0"/>
          <w:szCs w:val="32"/>
          <w:rFonts w:ascii="仿宋_GB2312" w:hAnsi="仿宋_GB2312" w:eastAsia="仿宋_GB2312" w:cs="仿宋_GB2312" w:hint="eastAsia"/>
        </w:rPr>
      </w:pPr>
      <w:r>
        <w:rPr>
          <w:b w:val="0"/>
          <w:sz w:val="32"/>
          <w:bCs w:val="0"/>
          <w:szCs w:val="32"/>
          <w:rFonts w:ascii="仿宋_GB2312" w:hAnsi="仿宋_GB2312" w:eastAsia="仿宋_GB2312" w:cs="仿宋_GB2312" w:hint="eastAsia"/>
        </w:rPr>
        <w:t>按“评分表”要求进行打分。</w:t>
      </w:r>
    </w:p>
    <w:p w14:paraId="72903E47">
      <w:pPr>
        <w:widowControl w:val="0"/>
        <w:keepNext w:val="0"/>
        <w:keepLines w:val="0"/>
        <w:pageBreakBefore w:val="0"/>
        <w:wordWrap w:val="1"/>
        <w:overflowPunct w:val="1"/>
        <w:topLinePunct w:val="0"/>
        <w:kinsoku w:val="1"/>
        <w:autoSpaceDE w:val="1"/>
        <w:autoSpaceDN w:val="1"/>
        <w:bidi w:val="0"/>
        <w:adjustRightInd w:val="1"/>
        <w:snapToGrid w:val="1"/>
        <w:numPr>
          <w:ilvl w:val="0"/>
          <w:numId w:val="1"/>
        </w:numPr>
        <w:spacing w:line="560" w:lineRule="exact"/>
        <w:ind w:firstLine="640" w:firstLineChars="200"/>
        <w:rPr>
          <w:b w:val="0"/>
          <w:sz w:val="32"/>
          <w:lang w:eastAsia="zh-CN"/>
          <w:bCs w:val="0"/>
          <w:szCs w:val="32"/>
          <w:rFonts w:ascii="仿宋_GB2312" w:hAnsi="仿宋_GB2312" w:eastAsia="仿宋_GB2312" w:cs="仿宋_GB2312" w:hint="eastAsia"/>
        </w:rPr>
      </w:pPr>
      <w:r>
        <w:rPr>
          <w:b w:val="0"/>
          <w:sz w:val="32"/>
          <w:lang w:eastAsia="zh-CN"/>
          <w:bCs w:val="0"/>
          <w:szCs w:val="32"/>
          <w:rFonts w:ascii="仿宋_GB2312" w:hAnsi="仿宋_GB2312" w:eastAsia="仿宋_GB2312" w:cs="仿宋_GB2312" w:hint="eastAsia"/>
        </w:rPr>
        <w:t>售后服务及服务保障方案（</w:t>
      </w:r>
      <w:r>
        <w:rPr>
          <w:b w:val="0"/>
          <w:sz w:val="32"/>
          <w:lang w:val="en-US" w:eastAsia="zh-CN"/>
          <w:bCs w:val="0"/>
          <w:szCs w:val="32"/>
          <w:rFonts w:ascii="仿宋_GB2312" w:hAnsi="仿宋_GB2312" w:eastAsia="仿宋_GB2312" w:cs="仿宋_GB2312" w:hint="eastAsia"/>
        </w:rPr>
        <w:t>满分10分</w:t>
      </w:r>
      <w:r>
        <w:rPr>
          <w:b w:val="0"/>
          <w:sz w:val="32"/>
          <w:lang w:eastAsia="zh-CN"/>
          <w:bCs w:val="0"/>
          <w:szCs w:val="32"/>
          <w:rFonts w:ascii="仿宋_GB2312" w:hAnsi="仿宋_GB2312" w:eastAsia="仿宋_GB2312" w:cs="仿宋_GB2312" w:hint="eastAsia"/>
        </w:rPr>
        <w:t>）</w:t>
      </w:r>
    </w:p>
    <w:p w14:paraId="1072AE58">
      <w:pPr>
        <w:widowControl w:val="0"/>
        <w:keepNext w:val="0"/>
        <w:keepLines w:val="0"/>
        <w:pageBreakBefore w:val="0"/>
        <w:wordWrap w:val="1"/>
        <w:overflowPunct w:val="1"/>
        <w:topLinePunct w:val="0"/>
        <w:kinsoku w:val="1"/>
        <w:autoSpaceDE w:val="1"/>
        <w:autoSpaceDN w:val="1"/>
        <w:bidi w:val="0"/>
        <w:adjustRightInd w:val="1"/>
        <w:snapToGrid w:val="1"/>
        <w:numPr>
          <w:ilvl w:val="0"/>
          <w:numId w:val="0"/>
        </w:numPr>
        <w:spacing w:line="560" w:lineRule="exact"/>
        <w:rPr>
          <w:b w:val="0"/>
          <w:sz w:val="32"/>
          <w:lang w:val="en-US" w:eastAsia="zh-CN"/>
          <w:bCs w:val="0"/>
          <w:szCs w:val="32"/>
          <w:rFonts w:ascii="仿宋_GB2312" w:hAnsi="仿宋_GB2312" w:eastAsia="仿宋_GB2312" w:cs="仿宋_GB2312" w:hint="default"/>
        </w:rPr>
      </w:pPr>
      <w:r>
        <w:rPr>
          <w:b w:val="0"/>
          <w:sz w:val="32"/>
          <w:lang w:val="en-US" w:eastAsia="zh-CN"/>
          <w:bCs w:val="0"/>
          <w:szCs w:val="32"/>
          <w:rFonts w:ascii="仿宋_GB2312" w:hAnsi="仿宋_GB2312" w:eastAsia="仿宋_GB2312" w:cs="仿宋_GB2312" w:hint="eastAsia"/>
        </w:rPr>
        <w:t xml:space="preserve">    </w:t>
      </w:r>
      <w:r>
        <w:rPr>
          <w:b w:val="0"/>
          <w:sz w:val="32"/>
          <w:bCs w:val="0"/>
          <w:szCs w:val="32"/>
          <w:rFonts w:ascii="仿宋_GB2312" w:hAnsi="仿宋_GB2312" w:eastAsia="仿宋_GB2312" w:cs="仿宋_GB2312" w:hint="eastAsia"/>
        </w:rPr>
        <w:t>按“评分表”要求进行打分。</w:t>
      </w:r>
    </w:p>
    <w:p w14:paraId="0C845743">
      <w:pPr>
        <w:jc w:val="center"/>
        <w:rPr>
          <w:b w:val="1"/>
          <w:sz w:val="36"/>
          <w:bCs/>
          <w:kern w:val="0"/>
          <w:szCs w:val="36"/>
          <w:rFonts w:ascii="方正仿宋_GB2312" w:eastAsia="方正仿宋_GB2312" w:hint="eastAsia"/>
        </w:rPr>
      </w:pPr>
    </w:p>
    <w:p w14:paraId="53EA8B5E">
      <w:pPr>
        <w:jc w:val="center"/>
        <w:rPr>
          <w:b w:val="1"/>
          <w:sz w:val="36"/>
          <w:bCs/>
          <w:kern w:val="0"/>
          <w:szCs w:val="36"/>
          <w:rFonts w:ascii="方正仿宋_GB2312" w:eastAsia="方正仿宋_GB2312" w:hint="eastAsia"/>
        </w:rPr>
      </w:pPr>
    </w:p>
    <w:p w14:paraId="7C25C8ED">
      <w:pPr>
        <w:jc w:val="center"/>
        <w:rPr>
          <w:b w:val="1"/>
          <w:sz w:val="36"/>
          <w:bCs/>
          <w:kern w:val="0"/>
          <w:szCs w:val="36"/>
          <w:rFonts w:ascii="方正仿宋_GB2312" w:eastAsia="方正仿宋_GB2312" w:hint="eastAsia"/>
        </w:rPr>
      </w:pPr>
      <w:r>
        <w:rPr>
          <w:b w:val="1"/>
          <w:sz w:val="36"/>
          <w:bCs/>
          <w:kern w:val="0"/>
          <w:szCs w:val="36"/>
          <w:rFonts w:ascii="方正仿宋_GB2312" w:eastAsia="方正仿宋_GB2312" w:hint="eastAsia"/>
        </w:rPr>
        <w:t>评分表</w:t>
      </w:r>
    </w:p>
    <w:tbl>
      <w:tblPr>
        <w:tblStyle w:val="8"/>
        <w:tblW w:w="0" w:type="auto"/>
        <w:jc w:val="center"/>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827.000000"/>
        <w:gridCol w:w="1200.000000"/>
        <w:gridCol w:w="1430.000000"/>
        <w:gridCol w:w="5065.000000"/>
      </w:tblGrid>
      <w:tr w14:paraId="45AA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54" w:hRule="atLeast"/>
          <w:jc w:val="center"/>
        </w:trPr>
        <w:tc>
          <w:tcPr>
            <w:tcW w:w="827" w:type="dxa"/>
            <w:vAlign w:val="top"/>
            <w:tcBorders>
              <w:top w:val="single" w:color="auto" w:sz="4" w:space="0"/>
              <w:left w:val="single" w:color="auto" w:sz="4" w:space="0"/>
              <w:bottom w:val="single" w:color="auto" w:sz="4" w:space="0"/>
              <w:right w:val="single" w:color="auto" w:sz="4" w:space="0"/>
            </w:tcBorders>
            <w:noWrap w:val="0"/>
          </w:tcPr>
          <w:p w14:paraId="27610407">
            <w:pPr>
              <w:pStyle w:val="15"/>
              <w:keepNext w:val="0"/>
              <w:keepLines w:val="0"/>
              <w:pageBreakBefore w:val="0"/>
              <w:wordWrap w:val="1"/>
              <w:overflowPunct w:val="1"/>
              <w:topLinePunct w:val="0"/>
              <w:kinsoku w:val="1"/>
              <w:autoSpaceDE w:val="1"/>
              <w:autoSpaceDN w:val="1"/>
              <w:bidi w:val="0"/>
              <w:snapToGrid w:val="1"/>
              <w:jc w:val="center"/>
              <w:spacing w:line="560" w:lineRule="exact"/>
              <w:ind w:firstLine="0" w:firstLineChars="0"/>
              <w:rPr>
                <w:b w:val="1"/>
                <w:sz w:val="24"/>
                <w:bCs/>
                <w:szCs w:val="24"/>
                <w:rFonts w:ascii="方正仿宋_GB2312" w:hAnsi="方正仿宋_GB2312" w:eastAsia="方正仿宋_GB2312" w:cs="方正仿宋_GB2312" w:hint="eastAsia"/>
              </w:rPr>
            </w:pPr>
            <w:r>
              <w:rPr>
                <w:b w:val="1"/>
                <w:sz w:val="24"/>
                <w:bCs/>
                <w:szCs w:val="24"/>
                <w:rFonts w:ascii="方正仿宋_GB2312" w:hAnsi="方正仿宋_GB2312" w:eastAsia="方正仿宋_GB2312" w:cs="方正仿宋_GB2312" w:hint="eastAsia"/>
              </w:rPr>
              <w:t>序号</w:t>
            </w:r>
          </w:p>
        </w:tc>
        <w:tc>
          <w:tcPr>
            <w:tcW w:w="1200" w:type="dxa"/>
            <w:vAlign w:val="top"/>
            <w:tcBorders>
              <w:top w:val="single" w:color="auto" w:sz="4" w:space="0"/>
              <w:left w:val="nil"/>
              <w:bottom w:val="single" w:color="auto" w:sz="4" w:space="0"/>
              <w:right w:val="single" w:color="auto" w:sz="4" w:space="0"/>
            </w:tcBorders>
            <w:noWrap w:val="0"/>
          </w:tcPr>
          <w:p w14:paraId="138B25D4">
            <w:pPr>
              <w:pStyle w:val="15"/>
              <w:keepNext w:val="0"/>
              <w:keepLines w:val="0"/>
              <w:pageBreakBefore w:val="0"/>
              <w:wordWrap w:val="1"/>
              <w:overflowPunct w:val="1"/>
              <w:topLinePunct w:val="0"/>
              <w:kinsoku w:val="1"/>
              <w:autoSpaceDE w:val="1"/>
              <w:autoSpaceDN w:val="1"/>
              <w:bidi w:val="0"/>
              <w:snapToGrid w:val="1"/>
              <w:jc w:val="center"/>
              <w:spacing w:line="560" w:lineRule="exact"/>
              <w:ind w:firstLine="0" w:firstLineChars="0"/>
              <w:rPr>
                <w:b w:val="1"/>
                <w:sz w:val="24"/>
                <w:bCs/>
                <w:szCs w:val="24"/>
                <w:rFonts w:ascii="方正仿宋_GB2312" w:hAnsi="方正仿宋_GB2312" w:eastAsia="方正仿宋_GB2312" w:cs="方正仿宋_GB2312" w:hint="eastAsia"/>
              </w:rPr>
            </w:pPr>
            <w:r>
              <w:rPr>
                <w:b w:val="1"/>
                <w:sz w:val="24"/>
                <w:bCs/>
                <w:szCs w:val="24"/>
                <w:rFonts w:ascii="方正仿宋_GB2312" w:hAnsi="方正仿宋_GB2312" w:eastAsia="方正仿宋_GB2312" w:cs="方正仿宋_GB2312" w:hint="eastAsia"/>
              </w:rPr>
              <w:t>评审项目</w:t>
            </w:r>
          </w:p>
        </w:tc>
        <w:tc>
          <w:tcPr>
            <w:tcW w:w="1430" w:type="dxa"/>
            <w:vAlign w:val="top"/>
            <w:tcBorders>
              <w:top w:val="single" w:color="auto" w:sz="4" w:space="0"/>
              <w:left w:val="nil"/>
              <w:bottom w:val="single" w:color="auto" w:sz="4" w:space="0"/>
              <w:right w:val="single" w:color="auto" w:sz="4" w:space="0"/>
            </w:tcBorders>
            <w:noWrap w:val="0"/>
          </w:tcPr>
          <w:p w14:paraId="2EA18755">
            <w:pPr>
              <w:pStyle w:val="15"/>
              <w:keepNext w:val="0"/>
              <w:keepLines w:val="0"/>
              <w:pageBreakBefore w:val="0"/>
              <w:wordWrap w:val="1"/>
              <w:overflowPunct w:val="1"/>
              <w:topLinePunct w:val="0"/>
              <w:kinsoku w:val="1"/>
              <w:autoSpaceDE w:val="1"/>
              <w:autoSpaceDN w:val="1"/>
              <w:bidi w:val="0"/>
              <w:snapToGrid w:val="1"/>
              <w:jc w:val="center"/>
              <w:spacing w:line="560" w:lineRule="exact"/>
              <w:ind w:firstLine="0" w:firstLineChars="0"/>
              <w:rPr>
                <w:b w:val="1"/>
                <w:sz w:val="24"/>
                <w:lang w:val="en-US" w:eastAsia="zh-CN"/>
                <w:bCs/>
                <w:szCs w:val="24"/>
                <w:rFonts w:ascii="方正仿宋_GB2312" w:hAnsi="方正仿宋_GB2312" w:eastAsia="方正仿宋_GB2312" w:cs="方正仿宋_GB2312" w:hint="eastAsia"/>
              </w:rPr>
            </w:pPr>
            <w:r>
              <w:rPr>
                <w:b w:val="1"/>
                <w:sz w:val="24"/>
                <w:bCs/>
                <w:szCs w:val="24"/>
                <w:rFonts w:ascii="方正仿宋_GB2312" w:hAnsi="方正仿宋_GB2312" w:eastAsia="方正仿宋_GB2312" w:cs="方正仿宋_GB2312" w:hint="eastAsia"/>
              </w:rPr>
              <w:t>分值</w:t>
            </w:r>
            <w:r>
              <w:rPr>
                <w:b w:val="1"/>
                <w:sz w:val="24"/>
                <w:lang w:val="en-US" w:eastAsia="zh-CN"/>
                <w:bCs/>
                <w:szCs w:val="24"/>
                <w:rFonts w:ascii="方正仿宋_GB2312" w:hAnsi="方正仿宋_GB2312" w:eastAsia="方正仿宋_GB2312" w:cs="方正仿宋_GB2312" w:hint="eastAsia"/>
              </w:rPr>
              <w:t>100分</w:t>
            </w:r>
          </w:p>
        </w:tc>
        <w:tc>
          <w:tcPr>
            <w:tcW w:w="5065" w:type="dxa"/>
            <w:vAlign w:val="top"/>
            <w:tcBorders>
              <w:top w:val="single" w:color="auto" w:sz="4" w:space="0"/>
              <w:left w:val="nil"/>
              <w:bottom w:val="single" w:color="auto" w:sz="4" w:space="0"/>
              <w:right w:val="single" w:color="auto" w:sz="4" w:space="0"/>
            </w:tcBorders>
            <w:noWrap w:val="0"/>
          </w:tcPr>
          <w:p w14:paraId="184041D1">
            <w:pPr>
              <w:pStyle w:val="15"/>
              <w:keepNext w:val="0"/>
              <w:keepLines w:val="0"/>
              <w:pageBreakBefore w:val="0"/>
              <w:wordWrap w:val="1"/>
              <w:overflowPunct w:val="1"/>
              <w:topLinePunct w:val="0"/>
              <w:kinsoku w:val="1"/>
              <w:autoSpaceDE w:val="1"/>
              <w:autoSpaceDN w:val="1"/>
              <w:bidi w:val="0"/>
              <w:snapToGrid w:val="1"/>
              <w:jc w:val="center"/>
              <w:spacing w:line="560" w:lineRule="exact"/>
              <w:ind w:firstLine="0" w:firstLineChars="0"/>
              <w:rPr>
                <w:b w:val="1"/>
                <w:sz w:val="24"/>
                <w:bCs/>
                <w:szCs w:val="24"/>
                <w:rFonts w:ascii="方正仿宋_GB2312" w:hAnsi="方正仿宋_GB2312" w:eastAsia="方正仿宋_GB2312" w:cs="方正仿宋_GB2312" w:hint="eastAsia"/>
              </w:rPr>
            </w:pPr>
            <w:r>
              <w:rPr>
                <w:b w:val="1"/>
                <w:sz w:val="24"/>
                <w:bCs/>
                <w:szCs w:val="24"/>
                <w:rFonts w:ascii="方正仿宋_GB2312" w:hAnsi="方正仿宋_GB2312" w:eastAsia="方正仿宋_GB2312" w:cs="方正仿宋_GB2312" w:hint="eastAsia"/>
              </w:rPr>
              <w:t>评审细则</w:t>
            </w:r>
          </w:p>
        </w:tc>
      </w:tr>
      <w:tr w14:paraId="62AD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54" w:hRule="atLeast"/>
          <w:jc w:val="center"/>
        </w:trPr>
        <w:tc>
          <w:tcPr>
            <w:tcW w:w="8522" w:type="dxa"/>
            <w:gridSpan w:val="4"/>
            <w:vAlign w:val="center"/>
            <w:tcBorders>
              <w:top w:val="single" w:color="auto" w:sz="4" w:space="0"/>
              <w:left w:val="single" w:color="auto" w:sz="4" w:space="0"/>
              <w:bottom w:val="single" w:color="auto" w:sz="4" w:space="0"/>
              <w:right w:val="single" w:color="auto" w:sz="4" w:space="0"/>
            </w:tcBorders>
            <w:noWrap w:val="0"/>
          </w:tcPr>
          <w:p w14:paraId="0DF29E2D">
            <w:pPr>
              <w:pStyle w:val="15"/>
              <w:keepNext w:val="0"/>
              <w:keepLines w:val="0"/>
              <w:pageBreakBefore w:val="0"/>
              <w:wordWrap w:val="1"/>
              <w:overflowPunct w:val="1"/>
              <w:topLinePunct w:val="0"/>
              <w:kinsoku w:val="1"/>
              <w:autoSpaceDE w:val="1"/>
              <w:autoSpaceDN w:val="1"/>
              <w:bidi w:val="0"/>
              <w:snapToGrid w:val="1"/>
              <w:jc w:val="center"/>
              <w:spacing w:line="560" w:lineRule="exact"/>
              <w:ind w:firstLine="0" w:firstLineChars="0"/>
              <w:rPr>
                <w:b w:val="1"/>
                <w:sz w:val="21"/>
                <w:bCs/>
                <w:szCs w:val="21"/>
                <w:rFonts w:ascii="方正仿宋_GB2312" w:hAnsi="方正仿宋_GB2312" w:eastAsia="方正仿宋_GB2312" w:cs="方正仿宋_GB2312" w:hint="eastAsia"/>
              </w:rPr>
            </w:pPr>
            <w:r>
              <w:rPr>
                <w:b w:val="1"/>
                <w:sz w:val="28"/>
                <w:bCs/>
                <w:szCs w:val="28"/>
                <w:rFonts w:ascii="方正仿宋_GB2312" w:hAnsi="方正仿宋_GB2312" w:eastAsia="方正仿宋_GB2312" w:cs="方正仿宋_GB2312" w:hint="eastAsia"/>
              </w:rPr>
              <w:t>商务评审（</w:t>
            </w:r>
            <w:r>
              <w:rPr>
                <w:b w:val="1"/>
                <w:sz w:val="28"/>
                <w:lang w:val="en-US" w:eastAsia="zh-CN"/>
                <w:bCs/>
                <w:szCs w:val="28"/>
                <w:rFonts w:ascii="方正仿宋_GB2312" w:hAnsi="方正仿宋_GB2312" w:eastAsia="方正仿宋_GB2312" w:cs="方正仿宋_GB2312" w:hint="eastAsia"/>
              </w:rPr>
              <w:t>10</w:t>
            </w:r>
            <w:r>
              <w:rPr>
                <w:b w:val="1"/>
                <w:sz w:val="28"/>
                <w:bCs/>
                <w:szCs w:val="28"/>
                <w:rFonts w:ascii="方正仿宋_GB2312" w:hAnsi="方正仿宋_GB2312" w:eastAsia="方正仿宋_GB2312" w:cs="方正仿宋_GB2312" w:hint="eastAsia"/>
              </w:rPr>
              <w:t>分）</w:t>
            </w:r>
          </w:p>
        </w:tc>
      </w:tr>
      <w:tr w14:paraId="124D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54" w:hRule="atLeast"/>
          <w:jc w:val="center"/>
        </w:trPr>
        <w:tc>
          <w:tcPr>
            <w:tcW w:w="827" w:type="dxa"/>
            <w:vAlign w:val="center"/>
            <w:tcBorders>
              <w:left w:val="single" w:color="auto" w:sz="4" w:space="0"/>
              <w:bottom w:val="single" w:color="auto" w:sz="4" w:space="0"/>
              <w:right w:val="single" w:color="auto" w:sz="4" w:space="0"/>
            </w:tcBorders>
            <w:noWrap w:val="0"/>
          </w:tcPr>
          <w:p w14:paraId="2F4699AD">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rPr>
                <w:b w:val="0"/>
                <w:color w:val="auto"/>
                <w:sz w:val="24"/>
                <w:lang w:val="en-US" w:eastAsia="zh-CN" w:bidi="ar-SA"/>
                <w:bCs/>
                <w:kern w:val="2"/>
                <w:szCs w:val="24"/>
                <w:rFonts w:ascii="仿宋_GB2312" w:hAnsi="仿宋_GB2312" w:eastAsia="仿宋_GB2312" w:cs="仿宋_GB2312" w:hint="eastAsia"/>
              </w:rPr>
            </w:pPr>
            <w:r>
              <w:rPr>
                <w:b w:val="0"/>
                <w:color w:val="auto"/>
                <w:sz w:val="24"/>
                <w:lang w:val="en-US" w:eastAsia="zh-CN"/>
                <w:bCs/>
                <w:szCs w:val="24"/>
                <w:rFonts w:hAnsi="仿宋_GB2312" w:cs="仿宋_GB2312" w:hint="eastAsia"/>
              </w:rPr>
              <w:t>1</w:t>
            </w:r>
          </w:p>
        </w:tc>
        <w:tc>
          <w:tcPr>
            <w:tcW w:w="1200" w:type="dxa"/>
            <w:vAlign w:val="center"/>
            <w:tcBorders>
              <w:top w:val="single" w:color="auto" w:sz="4" w:space="0"/>
              <w:left w:val="nil"/>
              <w:bottom w:val="single" w:color="auto" w:sz="4" w:space="0"/>
              <w:right w:val="single" w:color="auto" w:sz="4" w:space="0"/>
            </w:tcBorders>
            <w:noWrap w:val="0"/>
          </w:tcPr>
          <w:p w14:paraId="6ADA0BCB">
            <w:pPr>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rPr>
                <w:b w:val="0"/>
                <w:color w:val="auto"/>
                <w:sz w:val="24"/>
                <w:lang w:val="en-US" w:eastAsia="zh-CN" w:bidi="ar-SA"/>
                <w:bCs/>
                <w:kern w:val="2"/>
                <w:szCs w:val="24"/>
                <w:rFonts w:ascii="仿宋_GB2312" w:hAnsi="仿宋_GB2312" w:eastAsia="仿宋_GB2312" w:cs="仿宋_GB2312" w:hint="eastAsia"/>
              </w:rPr>
            </w:pPr>
            <w:r>
              <w:rPr>
                <w:b w:val="0"/>
                <w:color w:val="auto"/>
                <w:sz w:val="24"/>
                <w:bCs/>
                <w:szCs w:val="24"/>
                <w:rFonts w:ascii="仿宋_GB2312" w:hAnsi="仿宋_GB2312" w:eastAsia="仿宋_GB2312" w:cs="仿宋_GB2312" w:hint="eastAsia"/>
              </w:rPr>
              <w:t>履约经验</w:t>
            </w:r>
          </w:p>
        </w:tc>
        <w:tc>
          <w:tcPr>
            <w:tcW w:w="1430" w:type="dxa"/>
            <w:vAlign w:val="center"/>
            <w:tcBorders>
              <w:top w:val="single" w:color="auto" w:sz="4" w:space="0"/>
              <w:left w:val="nil"/>
              <w:bottom w:val="single" w:color="auto" w:sz="4" w:space="0"/>
              <w:right w:val="single" w:color="auto" w:sz="4" w:space="0"/>
            </w:tcBorders>
            <w:noWrap w:val="0"/>
          </w:tcPr>
          <w:p w14:paraId="7E78DDA8">
            <w:pPr>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rPr>
                <w:b w:val="0"/>
                <w:color w:val="auto"/>
                <w:sz w:val="24"/>
                <w:lang w:val="en-US" w:eastAsia="zh-CN" w:bidi="ar-SA"/>
                <w:bCs/>
                <w:kern w:val="2"/>
                <w:szCs w:val="24"/>
                <w:rFonts w:ascii="仿宋_GB2312" w:hAnsi="仿宋_GB2312" w:eastAsia="仿宋_GB2312" w:cs="仿宋_GB2312" w:hint="eastAsia"/>
              </w:rPr>
            </w:pPr>
            <w:r>
              <w:rPr>
                <w:b w:val="0"/>
                <w:color w:val="auto"/>
                <w:sz w:val="24"/>
                <w:lang w:val="en-US" w:eastAsia="zh-CN"/>
                <w:bCs/>
                <w:szCs w:val="24"/>
                <w:rFonts w:ascii="仿宋_GB2312" w:hAnsi="仿宋_GB2312" w:eastAsia="仿宋_GB2312" w:cs="仿宋_GB2312" w:hint="eastAsia"/>
              </w:rPr>
              <w:t>10</w:t>
            </w:r>
            <w:r>
              <w:rPr>
                <w:b w:val="0"/>
                <w:color w:val="auto"/>
                <w:sz w:val="24"/>
                <w:bCs/>
                <w:szCs w:val="24"/>
                <w:rFonts w:ascii="仿宋_GB2312" w:hAnsi="仿宋_GB2312" w:eastAsia="仿宋_GB2312" w:cs="仿宋_GB2312" w:hint="eastAsia"/>
              </w:rPr>
              <w:t>分</w:t>
            </w:r>
          </w:p>
        </w:tc>
        <w:tc>
          <w:tcPr>
            <w:tcW w:w="5065" w:type="dxa"/>
            <w:vAlign w:val="top"/>
            <w:tcBorders>
              <w:top w:val="single" w:color="auto" w:sz="4" w:space="0"/>
              <w:left w:val="nil"/>
              <w:bottom w:val="single" w:color="auto" w:sz="4" w:space="0"/>
              <w:right w:val="single" w:color="auto" w:sz="4" w:space="0"/>
            </w:tcBorders>
            <w:noWrap w:val="0"/>
          </w:tcPr>
          <w:p w14:paraId="2243CDE5">
            <w:pPr>
              <w:pStyle w:val="15"/>
              <w:widowControl w:val="0"/>
              <w:keepNext w:val="0"/>
              <w:keepLines w:val="0"/>
              <w:pageBreakBefore w:val="0"/>
              <w:wordWrap w:val="1"/>
              <w:overflowPunct w:val="1"/>
              <w:topLinePunct w:val="0"/>
              <w:kinsoku w:val="1"/>
              <w:autoSpaceDE w:val="1"/>
              <w:autoSpaceDN w:val="1"/>
              <w:bidi w:val="0"/>
              <w:adjustRightInd w:val="1"/>
              <w:snapToGrid w:val="1"/>
              <w:spacing w:line="440" w:lineRule="exact"/>
              <w:ind w:firstLine="0" w:firstLineChars="0" w:left="0" w:leftChars="0"/>
              <w:rPr>
                <w:color w:val="auto"/>
                <w:sz w:val="24"/>
                <w:lang w:val="en-US" w:eastAsia="zh-CN" w:bidi="ar-SA"/>
                <w:kern w:val="2"/>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供应商提供已完成的2022年以来同类项目产品或公检法司等执法单位的类似项目业绩,每提供一个合同业绩得</w:t>
            </w:r>
            <w:r>
              <w:rPr>
                <w:color w:val="auto"/>
                <w:sz w:val="24"/>
                <w:lang w:val="en-US" w:eastAsia="zh-CN"/>
                <w:szCs w:val="24"/>
                <w:rFonts w:hAnsi="仿宋_GB2312" w:cs="仿宋_GB2312" w:hint="eastAsia"/>
              </w:rPr>
              <w:t>0.5</w:t>
            </w:r>
            <w:r>
              <w:rPr>
                <w:color w:val="auto"/>
                <w:sz w:val="24"/>
                <w:lang w:val="en-US" w:eastAsia="zh-CN"/>
                <w:szCs w:val="24"/>
                <w:rFonts w:ascii="仿宋_GB2312" w:hAnsi="仿宋_GB2312" w:eastAsia="仿宋_GB2312" w:cs="仿宋_GB2312" w:hint="eastAsia"/>
              </w:rPr>
              <w:t>分,本项最高得</w:t>
            </w:r>
            <w:r>
              <w:rPr>
                <w:color w:val="auto"/>
                <w:sz w:val="24"/>
                <w:lang w:val="en-US" w:eastAsia="zh-CN"/>
                <w:szCs w:val="24"/>
                <w:rFonts w:hAnsi="仿宋_GB2312" w:cs="仿宋_GB2312" w:hint="eastAsia"/>
              </w:rPr>
              <w:t>1</w:t>
            </w:r>
            <w:r>
              <w:rPr>
                <w:color w:val="auto"/>
                <w:sz w:val="24"/>
                <w:lang w:val="en-US" w:eastAsia="zh-CN"/>
                <w:szCs w:val="24"/>
                <w:rFonts w:ascii="仿宋_GB2312" w:hAnsi="仿宋_GB2312" w:eastAsia="仿宋_GB2312" w:cs="仿宋_GB2312" w:hint="eastAsia"/>
              </w:rPr>
              <w:t>0分。</w:t>
            </w:r>
            <w:r>
              <w:rPr>
                <w:color w:val="auto"/>
                <w:sz w:val="24"/>
                <w:szCs w:val="24"/>
                <w:rFonts w:ascii="仿宋_GB2312" w:hAnsi="仿宋_GB2312" w:eastAsia="仿宋_GB2312" w:cs="仿宋_GB2312" w:hint="eastAsia"/>
              </w:rPr>
              <w:t>注：以上合同不得重复，合同复印件并同时加盖供应商公章，</w:t>
            </w:r>
            <w:r>
              <w:rPr>
                <w:color w:val="auto"/>
                <w:sz w:val="24"/>
                <w:lang w:val="en-US" w:eastAsia="zh-CN"/>
                <w:szCs w:val="24"/>
                <w:rFonts w:hAnsi="仿宋_GB2312" w:cs="仿宋_GB2312" w:hint="eastAsia"/>
              </w:rPr>
              <w:t>并</w:t>
            </w:r>
            <w:r>
              <w:rPr>
                <w:color w:val="auto"/>
                <w:sz w:val="24"/>
                <w:szCs w:val="24"/>
                <w:rFonts w:ascii="仿宋_GB2312" w:hAnsi="仿宋_GB2312" w:eastAsia="仿宋_GB2312" w:cs="仿宋_GB2312" w:hint="eastAsia"/>
              </w:rPr>
              <w:t>同时提供</w:t>
            </w:r>
            <w:r>
              <w:rPr>
                <w:color w:val="auto"/>
                <w:sz w:val="24"/>
                <w:lang w:val="en-US" w:eastAsia="zh-CN"/>
                <w:szCs w:val="24"/>
                <w:rFonts w:hAnsi="仿宋_GB2312" w:cs="仿宋_GB2312" w:hint="eastAsia"/>
              </w:rPr>
              <w:t>原件核对</w:t>
            </w:r>
            <w:r>
              <w:rPr>
                <w:color w:val="auto"/>
                <w:sz w:val="24"/>
                <w:lang w:eastAsia="zh-CN"/>
                <w:szCs w:val="24"/>
                <w:rFonts w:ascii="仿宋_GB2312" w:hAnsi="仿宋_GB2312" w:eastAsia="仿宋_GB2312" w:cs="仿宋_GB2312" w:hint="eastAsia"/>
              </w:rPr>
              <w:t>，</w:t>
            </w:r>
            <w:r>
              <w:rPr>
                <w:color w:val="auto"/>
                <w:sz w:val="24"/>
                <w:szCs w:val="24"/>
                <w:rFonts w:ascii="仿宋_GB2312" w:hAnsi="仿宋_GB2312" w:eastAsia="仿宋_GB2312" w:cs="仿宋_GB2312" w:hint="eastAsia"/>
              </w:rPr>
              <w:t>不符合以上要求</w:t>
            </w:r>
            <w:r>
              <w:rPr>
                <w:color w:val="auto"/>
                <w:sz w:val="24"/>
                <w:lang w:eastAsia="zh-CN"/>
                <w:szCs w:val="24"/>
                <w:rFonts w:ascii="仿宋_GB2312" w:hAnsi="仿宋_GB2312" w:eastAsia="仿宋_GB2312" w:cs="仿宋_GB2312" w:hint="eastAsia"/>
              </w:rPr>
              <w:t>的</w:t>
            </w:r>
            <w:r>
              <w:rPr>
                <w:color w:val="auto"/>
                <w:sz w:val="24"/>
                <w:szCs w:val="24"/>
                <w:rFonts w:ascii="仿宋_GB2312" w:hAnsi="仿宋_GB2312" w:eastAsia="仿宋_GB2312" w:cs="仿宋_GB2312" w:hint="eastAsia"/>
              </w:rPr>
              <w:t>不得分。</w:t>
            </w:r>
          </w:p>
        </w:tc>
      </w:tr>
      <w:tr w14:paraId="0881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54" w:hRule="atLeast"/>
          <w:jc w:val="center"/>
        </w:trPr>
        <w:tc>
          <w:tcPr>
            <w:tcW w:w="8522" w:type="dxa"/>
            <w:gridSpan w:val="4"/>
            <w:vAlign w:val="center"/>
            <w:tcBorders>
              <w:top w:val="single" w:color="auto" w:sz="4" w:space="0"/>
              <w:left w:val="single" w:color="auto" w:sz="4" w:space="0"/>
              <w:bottom w:val="single" w:color="auto" w:sz="4" w:space="0"/>
              <w:right w:val="single" w:color="auto" w:sz="4" w:space="0"/>
            </w:tcBorders>
            <w:noWrap w:val="0"/>
          </w:tcPr>
          <w:p w14:paraId="1EB3ADCB">
            <w:pPr>
              <w:pStyle w:val="15"/>
              <w:widowControl w:val="0"/>
              <w:keepNext w:val="0"/>
              <w:keepLines w:val="0"/>
              <w:pageBreakBefore w:val="0"/>
              <w:wordWrap w:val="1"/>
              <w:overflowPunct w:val="1"/>
              <w:topLinePunct w:val="0"/>
              <w:kinsoku w:val="1"/>
              <w:autoSpaceDE w:val="1"/>
              <w:autoSpaceDN w:val="1"/>
              <w:bidi w:val="0"/>
              <w:adjustRightInd w:val="1"/>
              <w:snapToGrid w:val="1"/>
              <w:jc w:val="both"/>
              <w:spacing w:line="440" w:lineRule="exact"/>
              <w:ind w:firstLine="3092" w:firstLineChars="1100"/>
              <w:rPr>
                <w:color w:val="auto"/>
                <w:sz w:val="24"/>
                <w:lang w:val="en-US" w:eastAsia="zh-CN"/>
                <w:szCs w:val="24"/>
                <w:rFonts w:ascii="方正仿宋_GB2312" w:hAnsi="方正仿宋_GB2312" w:eastAsia="方正仿宋_GB2312" w:cs="方正仿宋_GB2312" w:hint="eastAsia"/>
              </w:rPr>
            </w:pPr>
            <w:r>
              <w:rPr>
                <w:b w:val="1"/>
                <w:sz w:val="28"/>
                <w:lang w:val="en-US" w:eastAsia="zh-CN"/>
                <w:bCs/>
                <w:szCs w:val="28"/>
                <w:rFonts w:ascii="方正仿宋_GB2312" w:hAnsi="方正仿宋_GB2312" w:eastAsia="方正仿宋_GB2312" w:cs="方正仿宋_GB2312" w:hint="eastAsia"/>
              </w:rPr>
              <w:t>价格分</w:t>
            </w:r>
            <w:r>
              <w:rPr>
                <w:b w:val="1"/>
                <w:color w:val="auto"/>
                <w:sz w:val="28"/>
                <w:lang w:val="en-US" w:eastAsia="zh-CN"/>
                <w:bCs/>
                <w:szCs w:val="28"/>
                <w:rFonts w:ascii="方正仿宋_GB2312" w:hAnsi="方正仿宋_GB2312" w:eastAsia="方正仿宋_GB2312" w:cs="方正仿宋_GB2312" w:hint="eastAsia"/>
              </w:rPr>
              <w:t>（30分）</w:t>
            </w:r>
          </w:p>
        </w:tc>
      </w:tr>
      <w:tr w14:paraId="2C67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54" w:hRule="atLeast"/>
          <w:jc w:val="center"/>
        </w:trPr>
        <w:tc>
          <w:tcPr>
            <w:tcW w:w="827" w:type="dxa"/>
            <w:vAlign w:val="center"/>
            <w:tcBorders>
              <w:top w:val="single" w:color="auto" w:sz="4" w:space="0"/>
              <w:left w:val="single" w:color="auto" w:sz="4" w:space="0"/>
              <w:bottom w:val="single" w:color="auto" w:sz="4" w:space="0"/>
              <w:right w:val="single" w:color="auto" w:sz="4" w:space="0"/>
            </w:tcBorders>
            <w:noWrap w:val="0"/>
          </w:tcPr>
          <w:p w14:paraId="1278DE60">
            <w:pPr>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rPr>
                <w:color w:val="auto"/>
                <w:sz w:val="24"/>
                <w:lang w:val="en-US" w:eastAsia="zh-CN"/>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2</w:t>
            </w:r>
          </w:p>
        </w:tc>
        <w:tc>
          <w:tcPr>
            <w:tcW w:w="1200" w:type="dxa"/>
            <w:vAlign w:val="center"/>
            <w:tcBorders>
              <w:top w:val="single" w:color="auto" w:sz="4" w:space="0"/>
              <w:left w:val="nil"/>
              <w:bottom w:val="single" w:color="auto" w:sz="4" w:space="0"/>
              <w:right w:val="single" w:color="auto" w:sz="4" w:space="0"/>
            </w:tcBorders>
            <w:noWrap w:val="0"/>
          </w:tcPr>
          <w:p w14:paraId="397D06A7">
            <w:pPr>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rPr>
                <w:color w:val="auto"/>
                <w:sz w:val="24"/>
                <w:lang w:eastAsia="zh-CN"/>
                <w:bCs/>
                <w:szCs w:val="24"/>
                <w:rFonts w:ascii="仿宋_GB2312" w:hAnsi="仿宋_GB2312" w:eastAsia="仿宋_GB2312" w:cs="仿宋_GB2312" w:hint="eastAsia"/>
              </w:rPr>
            </w:pPr>
            <w:r>
              <w:rPr>
                <w:color w:val="auto"/>
                <w:sz w:val="24"/>
                <w:lang w:eastAsia="zh-CN"/>
                <w:bCs/>
                <w:szCs w:val="24"/>
                <w:rFonts w:ascii="仿宋_GB2312" w:hAnsi="仿宋_GB2312" w:eastAsia="仿宋_GB2312" w:cs="仿宋_GB2312" w:hint="eastAsia"/>
              </w:rPr>
              <w:t>价格分</w:t>
            </w:r>
          </w:p>
        </w:tc>
        <w:tc>
          <w:tcPr>
            <w:tcW w:w="1430" w:type="dxa"/>
            <w:vAlign w:val="center"/>
            <w:tcBorders>
              <w:top w:val="single" w:color="auto" w:sz="4" w:space="0"/>
              <w:left w:val="nil"/>
              <w:bottom w:val="single" w:color="auto" w:sz="4" w:space="0"/>
              <w:right w:val="single" w:color="auto" w:sz="4" w:space="0"/>
            </w:tcBorders>
            <w:noWrap w:val="0"/>
          </w:tcPr>
          <w:p w14:paraId="3E060A99">
            <w:pPr>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rPr>
                <w:color w:val="auto"/>
                <w:sz w:val="24"/>
                <w:lang w:val="en-US" w:eastAsia="zh-CN"/>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30分</w:t>
            </w:r>
          </w:p>
        </w:tc>
        <w:tc>
          <w:tcPr>
            <w:tcW w:w="5065" w:type="dxa"/>
            <w:vAlign w:val="top"/>
            <w:tcBorders>
              <w:top w:val="single" w:color="auto" w:sz="4" w:space="0"/>
              <w:left w:val="nil"/>
              <w:bottom w:val="single" w:color="auto" w:sz="4" w:space="0"/>
              <w:right w:val="single" w:color="auto" w:sz="4" w:space="0"/>
            </w:tcBorders>
            <w:noWrap w:val="0"/>
          </w:tcPr>
          <w:p w14:paraId="29478026">
            <w:pPr>
              <w:pStyle w:val="15"/>
              <w:widowControl w:val="0"/>
              <w:keepNext w:val="0"/>
              <w:keepLines w:val="0"/>
              <w:pageBreakBefore w:val="0"/>
              <w:wordWrap w:val="1"/>
              <w:overflowPunct w:val="1"/>
              <w:topLinePunct w:val="0"/>
              <w:kinsoku w:val="1"/>
              <w:autoSpaceDE w:val="1"/>
              <w:autoSpaceDN w:val="1"/>
              <w:bidi w:val="0"/>
              <w:adjustRightInd w:val="1"/>
              <w:snapToGrid w:val="1"/>
              <w:spacing w:line="440" w:lineRule="exact"/>
              <w:ind w:firstLine="0" w:firstLineChars="0" w:left="0" w:leftChars="0"/>
              <w:rPr>
                <w:color w:val="auto"/>
                <w:sz w:val="24"/>
                <w:lang w:val="en-US" w:eastAsia="zh-CN"/>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满足询价文件要求且报价最低的供应商为基准价，得</w:t>
            </w:r>
            <w:r>
              <w:rPr>
                <w:color w:val="auto"/>
                <w:sz w:val="24"/>
                <w:lang w:val="en-US" w:eastAsia="zh-CN"/>
                <w:szCs w:val="24"/>
                <w:rFonts w:hAnsi="仿宋_GB2312" w:cs="仿宋_GB2312" w:hint="eastAsia"/>
              </w:rPr>
              <w:t>3</w:t>
            </w:r>
            <w:r>
              <w:rPr>
                <w:color w:val="auto"/>
                <w:sz w:val="24"/>
                <w:lang w:val="en-US" w:eastAsia="zh-CN"/>
                <w:szCs w:val="24"/>
                <w:rFonts w:ascii="仿宋_GB2312" w:hAnsi="仿宋_GB2312" w:eastAsia="仿宋_GB2312" w:cs="仿宋_GB2312" w:hint="eastAsia"/>
              </w:rPr>
              <w:t>0分。其他供应商的价格按照公式计算：报价得分=（基准价÷报价）×</w:t>
            </w:r>
            <w:r>
              <w:rPr>
                <w:color w:val="auto"/>
                <w:sz w:val="24"/>
                <w:lang w:val="en-US" w:eastAsia="zh-CN"/>
                <w:szCs w:val="24"/>
                <w:rFonts w:hAnsi="仿宋_GB2312" w:cs="仿宋_GB2312" w:hint="eastAsia"/>
              </w:rPr>
              <w:t>3</w:t>
            </w:r>
            <w:r>
              <w:rPr>
                <w:color w:val="auto"/>
                <w:sz w:val="24"/>
                <w:lang w:val="en-US" w:eastAsia="zh-CN"/>
                <w:szCs w:val="24"/>
                <w:rFonts w:ascii="仿宋_GB2312" w:hAnsi="仿宋_GB2312" w:eastAsia="仿宋_GB2312" w:cs="仿宋_GB2312" w:hint="eastAsia"/>
              </w:rPr>
              <w:t>0。根据《政府采购货物和服务招标投标管理办法》（财政部令第87号）第六十条</w:t>
            </w:r>
            <w:r>
              <w:rPr>
                <w:color w:val="auto"/>
                <w:sz w:val="24"/>
                <w:lang w:val="en-US" w:eastAsia="zh-CN"/>
                <w:szCs w:val="24"/>
                <w:rFonts w:hAnsi="仿宋_GB2312" w:cs="仿宋_GB2312" w:hint="eastAsia"/>
              </w:rPr>
              <w:t>的</w:t>
            </w:r>
            <w:r>
              <w:rPr>
                <w:color w:val="auto"/>
                <w:sz w:val="24"/>
                <w:lang w:val="en-US" w:eastAsia="zh-CN"/>
                <w:szCs w:val="24"/>
                <w:rFonts w:ascii="仿宋_GB2312" w:hAnsi="仿宋_GB2312" w:eastAsia="仿宋_GB2312" w:cs="仿宋_GB2312" w:hint="eastAsia"/>
              </w:rPr>
              <w:t>规定，投标人的报价明显低于其他通过符合性审查投标人</w:t>
            </w:r>
            <w:r>
              <w:rPr>
                <w:color w:val="auto"/>
                <w:sz w:val="24"/>
                <w:lang w:val="en-US" w:eastAsia="zh-CN"/>
                <w:szCs w:val="24"/>
                <w:rFonts w:hAnsi="仿宋_GB2312" w:cs="仿宋_GB2312" w:hint="eastAsia"/>
              </w:rPr>
              <w:t>的</w:t>
            </w:r>
            <w:r>
              <w:rPr>
                <w:color w:val="auto"/>
                <w:sz w:val="24"/>
                <w:lang w:val="en-US" w:eastAsia="zh-CN"/>
                <w:szCs w:val="24"/>
                <w:rFonts w:ascii="仿宋_GB2312" w:hAnsi="仿宋_GB2312" w:eastAsia="仿宋_GB2312" w:cs="仿宋_GB2312" w:hint="eastAsia"/>
              </w:rPr>
              <w:t>报价，且可能影响产品质量或者不能诚信履约的，被认为属于异常低价，投标人对此种情况下报价的合理性负有证明义务。</w:t>
            </w:r>
          </w:p>
        </w:tc>
      </w:tr>
      <w:tr w14:paraId="5A21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54" w:hRule="atLeast"/>
          <w:jc w:val="center"/>
        </w:trPr>
        <w:tc>
          <w:tcPr>
            <w:tcW w:w="8522" w:type="dxa"/>
            <w:gridSpan w:val="4"/>
            <w:vAlign w:val="center"/>
            <w:tcBorders>
              <w:top w:val="single" w:color="auto" w:sz="4" w:space="0"/>
              <w:left w:val="single" w:color="auto" w:sz="4" w:space="0"/>
              <w:bottom w:val="single" w:color="auto" w:sz="4" w:space="0"/>
              <w:right w:val="single" w:color="auto" w:sz="4" w:space="0"/>
            </w:tcBorders>
            <w:noWrap w:val="0"/>
          </w:tcPr>
          <w:p w14:paraId="02332168">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left="0" w:leftChars="0"/>
              <w:rPr>
                <w:color w:val="auto"/>
                <w:sz w:val="24"/>
                <w:lang w:val="en-US" w:eastAsia="zh-CN"/>
                <w:szCs w:val="24"/>
                <w:rFonts w:ascii="方正仿宋_GB2312" w:hAnsi="方正仿宋_GB2312" w:eastAsia="方正仿宋_GB2312" w:cs="方正仿宋_GB2312" w:hint="eastAsia"/>
              </w:rPr>
            </w:pPr>
            <w:r>
              <w:rPr>
                <w:b w:val="1"/>
                <w:sz w:val="28"/>
                <w:lang w:val="en-US" w:eastAsia="zh-CN"/>
                <w:bCs/>
                <w:szCs w:val="28"/>
                <w:rFonts w:ascii="方正仿宋_GB2312" w:hAnsi="方正仿宋_GB2312" w:eastAsia="方正仿宋_GB2312" w:cs="方正仿宋_GB2312" w:hint="eastAsia"/>
              </w:rPr>
              <w:t>质量评审</w:t>
            </w:r>
            <w:r>
              <w:rPr>
                <w:b w:val="1"/>
                <w:color w:val="auto"/>
                <w:sz w:val="28"/>
                <w:lang w:val="en-US" w:eastAsia="zh-CN"/>
                <w:bCs/>
                <w:szCs w:val="28"/>
                <w:rFonts w:ascii="方正仿宋_GB2312" w:hAnsi="方正仿宋_GB2312" w:eastAsia="方正仿宋_GB2312" w:cs="方正仿宋_GB2312" w:hint="eastAsia"/>
              </w:rPr>
              <w:t>（50分）</w:t>
            </w:r>
          </w:p>
        </w:tc>
      </w:tr>
      <w:tr w14:paraId="7A35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700" w:hRule="atLeast"/>
          <w:jc w:val="center"/>
        </w:trPr>
        <w:tc>
          <w:tcPr>
            <w:tcW w:w="827" w:type="dxa"/>
            <w:vAlign w:val="center"/>
            <w:tcBorders>
              <w:top w:val="single" w:color="auto" w:sz="4" w:space="0"/>
              <w:left w:val="single" w:color="auto" w:sz="4" w:space="0"/>
              <w:right w:val="single" w:color="auto" w:sz="4" w:space="0"/>
            </w:tcBorders>
            <w:noWrap w:val="0"/>
          </w:tcPr>
          <w:p w14:paraId="48D02B42">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rPr>
                <w:sz w:val="24"/>
                <w:lang w:val="en-US" w:eastAsia="zh-CN"/>
                <w:szCs w:val="24"/>
                <w:rFonts w:ascii="仿宋_GB2312" w:hAnsi="仿宋_GB2312" w:eastAsia="仿宋_GB2312" w:cs="仿宋_GB2312" w:hint="eastAsia"/>
              </w:rPr>
            </w:pPr>
            <w:r>
              <w:rPr>
                <w:sz w:val="24"/>
                <w:lang w:val="en-US" w:eastAsia="zh-CN"/>
                <w:szCs w:val="24"/>
                <w:rFonts w:hAnsi="仿宋_GB2312" w:cs="仿宋_GB2312" w:hint="eastAsia"/>
              </w:rPr>
              <w:t>3</w:t>
            </w:r>
          </w:p>
        </w:tc>
        <w:tc>
          <w:tcPr>
            <w:tcW w:w="1200" w:type="dxa"/>
            <w:vAlign w:val="center"/>
            <w:tcBorders>
              <w:top w:val="single" w:color="auto" w:sz="4" w:space="0"/>
              <w:left w:val="nil"/>
              <w:bottom w:val="single" w:color="auto" w:sz="4" w:space="0"/>
              <w:right w:val="single" w:color="auto" w:sz="4" w:space="0"/>
            </w:tcBorders>
            <w:noWrap w:val="0"/>
          </w:tcPr>
          <w:p w14:paraId="28288D37">
            <w:pPr>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rPr>
                <w:sz w:val="24"/>
                <w:lang w:val="en-US" w:eastAsia="zh-CN"/>
                <w:szCs w:val="24"/>
                <w:rFonts w:ascii="仿宋_GB2312" w:hAnsi="仿宋_GB2312" w:eastAsia="仿宋_GB2312" w:cs="仿宋_GB2312" w:hint="default"/>
              </w:rPr>
            </w:pPr>
            <w:r>
              <w:rPr>
                <w:sz w:val="24"/>
                <w:szCs w:val="24"/>
                <w:rFonts w:ascii="仿宋_GB2312" w:hAnsi="仿宋_GB2312" w:eastAsia="仿宋_GB2312" w:cs="仿宋_GB2312" w:hint="eastAsia"/>
              </w:rPr>
              <w:t>产品</w:t>
            </w:r>
            <w:r>
              <w:rPr>
                <w:sz w:val="24"/>
                <w:lang w:val="en-US" w:eastAsia="zh-CN"/>
                <w:szCs w:val="24"/>
                <w:rFonts w:ascii="仿宋_GB2312" w:hAnsi="仿宋_GB2312" w:eastAsia="仿宋_GB2312" w:cs="仿宋_GB2312" w:hint="eastAsia"/>
              </w:rPr>
              <w:t>质量保障</w:t>
            </w:r>
          </w:p>
        </w:tc>
        <w:tc>
          <w:tcPr>
            <w:tcW w:w="1430" w:type="dxa"/>
            <w:vAlign w:val="center"/>
            <w:tcBorders>
              <w:top w:val="single" w:color="auto" w:sz="4" w:space="0"/>
              <w:left w:val="nil"/>
              <w:bottom w:val="single" w:color="auto" w:sz="4" w:space="0"/>
              <w:right w:val="single" w:color="auto" w:sz="4" w:space="0"/>
            </w:tcBorders>
            <w:noWrap w:val="0"/>
          </w:tcPr>
          <w:p w14:paraId="0FC289C2">
            <w:pPr>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rPr>
                <w:sz w:val="24"/>
                <w:szCs w:val="24"/>
                <w:rFonts w:ascii="仿宋_GB2312" w:hAnsi="仿宋_GB2312" w:eastAsia="仿宋_GB2312" w:cs="仿宋_GB2312" w:hint="eastAsia"/>
              </w:rPr>
            </w:pPr>
            <w:r>
              <w:rPr>
                <w:sz w:val="24"/>
                <w:lang w:val="en-US" w:eastAsia="zh-CN"/>
                <w:szCs w:val="24"/>
                <w:rFonts w:ascii="仿宋_GB2312" w:hAnsi="仿宋_GB2312" w:eastAsia="仿宋_GB2312" w:cs="仿宋_GB2312" w:hint="eastAsia"/>
              </w:rPr>
              <w:t>40</w:t>
            </w:r>
            <w:r>
              <w:rPr>
                <w:sz w:val="24"/>
                <w:szCs w:val="24"/>
                <w:rFonts w:ascii="仿宋_GB2312" w:hAnsi="仿宋_GB2312" w:eastAsia="仿宋_GB2312" w:cs="仿宋_GB2312" w:hint="eastAsia"/>
              </w:rPr>
              <w:t>分</w:t>
            </w:r>
          </w:p>
        </w:tc>
        <w:tc>
          <w:tcPr>
            <w:tcW w:w="5065" w:type="dxa"/>
            <w:vAlign w:val="center"/>
            <w:tcBorders>
              <w:top w:val="single" w:color="auto" w:sz="4" w:space="0"/>
              <w:left w:val="nil"/>
              <w:bottom w:val="single" w:color="auto" w:sz="4" w:space="0"/>
              <w:right w:val="single" w:color="auto" w:sz="4" w:space="0"/>
            </w:tcBorders>
            <w:noWrap w:val="0"/>
          </w:tcPr>
          <w:p w14:paraId="39299C54">
            <w:pPr>
              <w:widowControl w:val="0"/>
              <w:keepNext w:val="0"/>
              <w:keepLines w:val="0"/>
              <w:pageBreakBefore w:val="0"/>
              <w:wordWrap w:val="1"/>
              <w:overflowPunct w:val="1"/>
              <w:topLinePunct w:val="0"/>
              <w:kinsoku w:val="1"/>
              <w:autoSpaceDE w:val="1"/>
              <w:autoSpaceDN w:val="1"/>
              <w:bidi w:val="0"/>
              <w:adjustRightInd w:val="1"/>
              <w:snapToGrid w:val="1"/>
              <w:jc w:val="left"/>
              <w:spacing w:line="440" w:lineRule="exact"/>
              <w:rPr>
                <w:color w:val="auto"/>
                <w:sz w:val="24"/>
                <w:lang w:val="en-US" w:eastAsia="zh-CN"/>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对供应商所提交的“项目采购清单”中产品的实质性核心技术参数要求（即附件2中</w:t>
            </w:r>
            <w:r>
              <w:rPr>
                <w:b w:val="0"/>
                <w:sz w:val="24"/>
                <w:bCs w:val="0"/>
                <w:kern w:val="0"/>
                <w:szCs w:val="24"/>
                <w:rFonts w:ascii="仿宋_GB2312" w:hAnsi="仿宋_GB2312" w:eastAsia="仿宋_GB2312" w:cs="仿宋_GB2312" w:hint="eastAsia"/>
              </w:rPr>
              <w:t>标注▲</w:t>
            </w:r>
            <w:r>
              <w:rPr>
                <w:b w:val="0"/>
                <w:sz w:val="24"/>
                <w:lang w:eastAsia="zh-CN"/>
                <w:bCs w:val="0"/>
                <w:kern w:val="0"/>
                <w:szCs w:val="24"/>
                <w:rFonts w:ascii="仿宋_GB2312" w:hAnsi="仿宋_GB2312" w:eastAsia="仿宋_GB2312" w:cs="仿宋_GB2312" w:hint="eastAsia"/>
              </w:rPr>
              <w:t>、</w:t>
            </w:r>
            <w:r>
              <w:rPr>
                <w:b w:val="0"/>
                <w:color w:val="auto"/>
                <w:sz w:val="24"/>
                <w:bCs w:val="0"/>
                <w:szCs w:val="24"/>
                <w:rFonts w:ascii="仿宋_GB2312" w:hAnsi="仿宋_GB2312" w:eastAsia="仿宋_GB2312" w:cs="仿宋_GB2312" w:hint="eastAsia"/>
              </w:rPr>
              <w:t>★</w:t>
            </w:r>
            <w:r>
              <w:rPr>
                <w:b w:val="0"/>
                <w:color w:val="auto"/>
                <w:sz w:val="24"/>
                <w:lang w:val="en-US" w:eastAsia="zh-CN"/>
                <w:bCs w:val="0"/>
                <w:szCs w:val="24"/>
                <w:rFonts w:ascii="仿宋_GB2312" w:hAnsi="仿宋_GB2312" w:eastAsia="仿宋_GB2312" w:cs="仿宋_GB2312" w:hint="eastAsia"/>
              </w:rPr>
              <w:t>符号</w:t>
            </w:r>
            <w:r>
              <w:rPr>
                <w:b w:val="0"/>
                <w:sz w:val="24"/>
                <w:bCs w:val="0"/>
                <w:kern w:val="0"/>
                <w:szCs w:val="24"/>
                <w:rFonts w:ascii="仿宋_GB2312" w:hAnsi="仿宋_GB2312" w:eastAsia="仿宋_GB2312" w:cs="仿宋_GB2312" w:hint="eastAsia"/>
              </w:rPr>
              <w:t>的</w:t>
            </w:r>
            <w:r>
              <w:rPr>
                <w:b w:val="0"/>
                <w:sz w:val="24"/>
                <w:lang w:val="en-US" w:eastAsia="zh-CN"/>
                <w:bCs w:val="0"/>
                <w:kern w:val="0"/>
                <w:szCs w:val="24"/>
                <w:rFonts w:ascii="仿宋_GB2312" w:hAnsi="仿宋_GB2312" w:eastAsia="仿宋_GB2312" w:cs="仿宋_GB2312" w:hint="eastAsia"/>
              </w:rPr>
              <w:t>指标参数</w:t>
            </w:r>
            <w:r>
              <w:rPr>
                <w:color w:val="auto"/>
                <w:sz w:val="24"/>
                <w:lang w:val="en-US" w:eastAsia="zh-CN"/>
                <w:szCs w:val="24"/>
                <w:rFonts w:ascii="仿宋_GB2312" w:hAnsi="仿宋_GB2312" w:eastAsia="仿宋_GB2312" w:cs="仿宋_GB2312" w:hint="eastAsia"/>
              </w:rPr>
              <w:t>）进行逐项比对，投标文件中提供产品有CMA/CNAS/CAL之一标志的</w:t>
            </w:r>
            <w:r>
              <w:rPr>
                <w:color w:val="auto"/>
                <w:sz w:val="24"/>
                <w:lang w:val="en-US" w:eastAsia="zh-CN"/>
                <w:szCs w:val="24"/>
                <w:rFonts w:ascii="仿宋_GB2312" w:hAnsi="仿宋_GB2312" w:eastAsia="仿宋_GB2312" w:cs="仿宋_GB2312" w:hint="eastAsia"/>
              </w:rPr>
              <w:t>国家认可的第三方产品质量监督检测（验）机构出具的符合技术参数要求的产品检测（验）报告原件扫描件并加盖生产厂家及响应人单位公章，同时提供原件核查，不提供不得分，并按如下计分方式打分：</w:t>
            </w:r>
          </w:p>
          <w:p w14:paraId="7F7A1386">
            <w:pPr>
              <w:widowControl w:val="0"/>
              <w:keepNext w:val="0"/>
              <w:keepLines w:val="0"/>
              <w:pageBreakBefore w:val="0"/>
              <w:wordWrap w:val="1"/>
              <w:overflowPunct w:val="1"/>
              <w:topLinePunct w:val="0"/>
              <w:kinsoku w:val="1"/>
              <w:autoSpaceDE w:val="1"/>
              <w:autoSpaceDN w:val="1"/>
              <w:bidi w:val="0"/>
              <w:adjustRightInd w:val="1"/>
              <w:snapToGrid w:val="1"/>
              <w:jc w:val="left"/>
              <w:numPr>
                <w:ilvl w:val="0"/>
                <w:numId w:val="2"/>
              </w:numPr>
              <w:spacing w:line="440" w:lineRule="exact"/>
              <w:rPr>
                <w:color w:val="auto"/>
                <w:sz w:val="24"/>
                <w:lang w:val="en-US" w:eastAsia="zh-CN"/>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检测（验）报告内容与“项目采购清单”中产品的实质性核心技术参数要求（即附件2中</w:t>
            </w:r>
            <w:r>
              <w:rPr>
                <w:b w:val="0"/>
                <w:sz w:val="24"/>
                <w:bCs w:val="0"/>
                <w:kern w:val="0"/>
                <w:szCs w:val="24"/>
                <w:rFonts w:ascii="仿宋_GB2312" w:hAnsi="仿宋_GB2312" w:eastAsia="仿宋_GB2312" w:cs="仿宋_GB2312" w:hint="eastAsia"/>
              </w:rPr>
              <w:t>标注▲</w:t>
            </w:r>
            <w:r>
              <w:rPr>
                <w:b w:val="0"/>
                <w:sz w:val="24"/>
                <w:lang w:eastAsia="zh-CN"/>
                <w:bCs w:val="0"/>
                <w:kern w:val="0"/>
                <w:szCs w:val="24"/>
                <w:rFonts w:ascii="仿宋_GB2312" w:hAnsi="仿宋_GB2312" w:eastAsia="仿宋_GB2312" w:cs="仿宋_GB2312" w:hint="eastAsia"/>
              </w:rPr>
              <w:t>、</w:t>
            </w:r>
            <w:r>
              <w:rPr>
                <w:b w:val="0"/>
                <w:color w:val="auto"/>
                <w:sz w:val="24"/>
                <w:bCs w:val="0"/>
                <w:szCs w:val="24"/>
                <w:rFonts w:ascii="仿宋_GB2312" w:hAnsi="仿宋_GB2312" w:eastAsia="仿宋_GB2312" w:cs="仿宋_GB2312" w:hint="eastAsia"/>
              </w:rPr>
              <w:t>★</w:t>
            </w:r>
            <w:r>
              <w:rPr>
                <w:b w:val="0"/>
                <w:color w:val="auto"/>
                <w:sz w:val="24"/>
                <w:lang w:val="en-US" w:eastAsia="zh-CN"/>
                <w:bCs w:val="0"/>
                <w:szCs w:val="24"/>
                <w:rFonts w:ascii="仿宋_GB2312" w:hAnsi="仿宋_GB2312" w:eastAsia="仿宋_GB2312" w:cs="仿宋_GB2312" w:hint="eastAsia"/>
              </w:rPr>
              <w:t>符号</w:t>
            </w:r>
            <w:r>
              <w:rPr>
                <w:b w:val="0"/>
                <w:sz w:val="24"/>
                <w:bCs w:val="0"/>
                <w:kern w:val="0"/>
                <w:szCs w:val="24"/>
                <w:rFonts w:ascii="仿宋_GB2312" w:hAnsi="仿宋_GB2312" w:eastAsia="仿宋_GB2312" w:cs="仿宋_GB2312" w:hint="eastAsia"/>
              </w:rPr>
              <w:t>的</w:t>
            </w:r>
            <w:r>
              <w:rPr>
                <w:b w:val="0"/>
                <w:sz w:val="24"/>
                <w:lang w:val="en-US" w:eastAsia="zh-CN"/>
                <w:bCs w:val="0"/>
                <w:kern w:val="0"/>
                <w:szCs w:val="24"/>
                <w:rFonts w:ascii="仿宋_GB2312" w:hAnsi="仿宋_GB2312" w:eastAsia="仿宋_GB2312" w:cs="仿宋_GB2312" w:hint="eastAsia"/>
              </w:rPr>
              <w:t>指标参数</w:t>
            </w:r>
            <w:r>
              <w:rPr>
                <w:color w:val="auto"/>
                <w:sz w:val="24"/>
                <w:lang w:val="en-US" w:eastAsia="zh-CN"/>
                <w:szCs w:val="24"/>
                <w:rFonts w:ascii="仿宋_GB2312" w:hAnsi="仿宋_GB2312" w:eastAsia="仿宋_GB2312" w:cs="仿宋_GB2312" w:hint="eastAsia"/>
              </w:rPr>
              <w:t>）进行比对，符合参数要求</w:t>
            </w:r>
            <w:r>
              <w:rPr>
                <w:color w:val="auto"/>
                <w:sz w:val="24"/>
                <w:lang w:val="en-US" w:eastAsia="zh-CN"/>
                <w:szCs w:val="24"/>
                <w:rFonts w:ascii="仿宋_GB2312" w:hAnsi="仿宋_GB2312" w:eastAsia="仿宋_GB2312" w:cs="仿宋_GB2312" w:hint="eastAsia"/>
              </w:rPr>
              <w:t>10项以下的，即被认定为不符合实质性核心技术参数要求，不得分；</w:t>
            </w:r>
          </w:p>
          <w:p w14:paraId="72CAD393">
            <w:pPr>
              <w:widowControl w:val="0"/>
              <w:keepNext w:val="0"/>
              <w:keepLines w:val="0"/>
              <w:pageBreakBefore w:val="0"/>
              <w:wordWrap w:val="1"/>
              <w:overflowPunct w:val="1"/>
              <w:topLinePunct w:val="0"/>
              <w:kinsoku w:val="1"/>
              <w:autoSpaceDE w:val="1"/>
              <w:autoSpaceDN w:val="1"/>
              <w:bidi w:val="0"/>
              <w:adjustRightInd w:val="1"/>
              <w:snapToGrid w:val="1"/>
              <w:jc w:val="left"/>
              <w:spacing w:line="440" w:lineRule="exact"/>
              <w:rPr>
                <w:color w:val="auto"/>
                <w:highlight w:val="yellow"/>
                <w:sz w:val="24"/>
                <w:lang w:val="en-US" w:eastAsia="zh-CN"/>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2.检测（验）报告内容与“采购需求”中产品的实质性核心技术参数要求（即附件2中</w:t>
            </w:r>
            <w:r>
              <w:rPr>
                <w:b w:val="0"/>
                <w:sz w:val="24"/>
                <w:bCs w:val="0"/>
                <w:kern w:val="0"/>
                <w:szCs w:val="24"/>
                <w:rFonts w:ascii="仿宋_GB2312" w:hAnsi="仿宋_GB2312" w:eastAsia="仿宋_GB2312" w:cs="仿宋_GB2312" w:hint="eastAsia"/>
              </w:rPr>
              <w:t>标注▲</w:t>
            </w:r>
            <w:r>
              <w:rPr>
                <w:b w:val="0"/>
                <w:sz w:val="24"/>
                <w:lang w:eastAsia="zh-CN"/>
                <w:bCs w:val="0"/>
                <w:kern w:val="0"/>
                <w:szCs w:val="24"/>
                <w:rFonts w:ascii="仿宋_GB2312" w:hAnsi="仿宋_GB2312" w:eastAsia="仿宋_GB2312" w:cs="仿宋_GB2312" w:hint="eastAsia"/>
              </w:rPr>
              <w:t>、</w:t>
            </w:r>
            <w:r>
              <w:rPr>
                <w:b w:val="0"/>
                <w:color w:val="auto"/>
                <w:sz w:val="24"/>
                <w:bCs w:val="0"/>
                <w:szCs w:val="24"/>
                <w:rFonts w:ascii="仿宋_GB2312" w:hAnsi="仿宋_GB2312" w:eastAsia="仿宋_GB2312" w:cs="仿宋_GB2312" w:hint="eastAsia"/>
              </w:rPr>
              <w:t>★</w:t>
            </w:r>
            <w:r>
              <w:rPr>
                <w:b w:val="0"/>
                <w:color w:val="auto"/>
                <w:sz w:val="24"/>
                <w:lang w:val="en-US" w:eastAsia="zh-CN"/>
                <w:bCs w:val="0"/>
                <w:szCs w:val="24"/>
                <w:rFonts w:ascii="仿宋_GB2312" w:hAnsi="仿宋_GB2312" w:eastAsia="仿宋_GB2312" w:cs="仿宋_GB2312" w:hint="eastAsia"/>
              </w:rPr>
              <w:t>符号</w:t>
            </w:r>
            <w:r>
              <w:rPr>
                <w:b w:val="0"/>
                <w:sz w:val="24"/>
                <w:bCs w:val="0"/>
                <w:kern w:val="0"/>
                <w:szCs w:val="24"/>
                <w:rFonts w:ascii="仿宋_GB2312" w:hAnsi="仿宋_GB2312" w:eastAsia="仿宋_GB2312" w:cs="仿宋_GB2312" w:hint="eastAsia"/>
              </w:rPr>
              <w:t>的</w:t>
            </w:r>
            <w:r>
              <w:rPr>
                <w:b w:val="0"/>
                <w:sz w:val="24"/>
                <w:lang w:val="en-US" w:eastAsia="zh-CN"/>
                <w:bCs w:val="0"/>
                <w:kern w:val="0"/>
                <w:szCs w:val="24"/>
                <w:rFonts w:ascii="仿宋_GB2312" w:hAnsi="仿宋_GB2312" w:eastAsia="仿宋_GB2312" w:cs="仿宋_GB2312" w:hint="eastAsia"/>
              </w:rPr>
              <w:t>指标参数</w:t>
            </w:r>
            <w:r>
              <w:rPr>
                <w:color w:val="auto"/>
                <w:sz w:val="24"/>
                <w:lang w:val="en-US" w:eastAsia="zh-CN"/>
                <w:szCs w:val="24"/>
                <w:rFonts w:ascii="仿宋_GB2312" w:hAnsi="仿宋_GB2312" w:eastAsia="仿宋_GB2312" w:cs="仿宋_GB2312" w:hint="eastAsia"/>
              </w:rPr>
              <w:t>）进行比对，符合参数要求达到</w:t>
            </w:r>
            <w:r>
              <w:rPr>
                <w:color w:val="auto"/>
                <w:sz w:val="24"/>
                <w:lang w:val="en-US" w:eastAsia="zh-CN"/>
                <w:szCs w:val="24"/>
                <w:rFonts w:ascii="仿宋_GB2312" w:hAnsi="仿宋_GB2312" w:eastAsia="仿宋_GB2312" w:cs="仿宋_GB2312" w:hint="eastAsia"/>
              </w:rPr>
              <w:t>10项以上20项以下的，得10分；</w:t>
            </w:r>
          </w:p>
          <w:p w14:paraId="2A281440">
            <w:pPr>
              <w:widowControl w:val="0"/>
              <w:keepNext w:val="0"/>
              <w:keepLines w:val="0"/>
              <w:pageBreakBefore w:val="0"/>
              <w:wordWrap w:val="1"/>
              <w:overflowPunct w:val="1"/>
              <w:topLinePunct w:val="0"/>
              <w:kinsoku w:val="1"/>
              <w:autoSpaceDE w:val="1"/>
              <w:autoSpaceDN w:val="1"/>
              <w:bidi w:val="0"/>
              <w:adjustRightInd w:val="1"/>
              <w:snapToGrid w:val="1"/>
              <w:jc w:val="left"/>
              <w:spacing w:line="440" w:lineRule="exact"/>
              <w:rPr>
                <w:color w:val="auto"/>
                <w:sz w:val="24"/>
                <w:lang w:val="en-US" w:eastAsia="zh-CN"/>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3.检测（验）报告内容与“采购需求”中产品的实质性核心技术参数要求（即附件2中</w:t>
            </w:r>
            <w:r>
              <w:rPr>
                <w:b w:val="0"/>
                <w:sz w:val="24"/>
                <w:bCs w:val="0"/>
                <w:kern w:val="0"/>
                <w:szCs w:val="24"/>
                <w:rFonts w:ascii="仿宋_GB2312" w:hAnsi="仿宋_GB2312" w:eastAsia="仿宋_GB2312" w:cs="仿宋_GB2312" w:hint="eastAsia"/>
              </w:rPr>
              <w:t>标注▲</w:t>
            </w:r>
            <w:r>
              <w:rPr>
                <w:b w:val="0"/>
                <w:sz w:val="24"/>
                <w:lang w:eastAsia="zh-CN"/>
                <w:bCs w:val="0"/>
                <w:kern w:val="0"/>
                <w:szCs w:val="24"/>
                <w:rFonts w:ascii="仿宋_GB2312" w:hAnsi="仿宋_GB2312" w:eastAsia="仿宋_GB2312" w:cs="仿宋_GB2312" w:hint="eastAsia"/>
              </w:rPr>
              <w:t>、</w:t>
            </w:r>
            <w:r>
              <w:rPr>
                <w:b w:val="0"/>
                <w:color w:val="auto"/>
                <w:sz w:val="24"/>
                <w:bCs w:val="0"/>
                <w:szCs w:val="24"/>
                <w:rFonts w:ascii="仿宋_GB2312" w:hAnsi="仿宋_GB2312" w:eastAsia="仿宋_GB2312" w:cs="仿宋_GB2312" w:hint="eastAsia"/>
              </w:rPr>
              <w:t>★</w:t>
            </w:r>
            <w:r>
              <w:rPr>
                <w:b w:val="0"/>
                <w:color w:val="auto"/>
                <w:sz w:val="24"/>
                <w:lang w:val="en-US" w:eastAsia="zh-CN"/>
                <w:bCs w:val="0"/>
                <w:szCs w:val="24"/>
                <w:rFonts w:ascii="仿宋_GB2312" w:hAnsi="仿宋_GB2312" w:eastAsia="仿宋_GB2312" w:cs="仿宋_GB2312" w:hint="eastAsia"/>
              </w:rPr>
              <w:t>符号</w:t>
            </w:r>
            <w:r>
              <w:rPr>
                <w:b w:val="0"/>
                <w:sz w:val="24"/>
                <w:bCs w:val="0"/>
                <w:kern w:val="0"/>
                <w:szCs w:val="24"/>
                <w:rFonts w:ascii="仿宋_GB2312" w:hAnsi="仿宋_GB2312" w:eastAsia="仿宋_GB2312" w:cs="仿宋_GB2312" w:hint="eastAsia"/>
              </w:rPr>
              <w:t>的</w:t>
            </w:r>
            <w:r>
              <w:rPr>
                <w:b w:val="0"/>
                <w:sz w:val="24"/>
                <w:lang w:val="en-US" w:eastAsia="zh-CN"/>
                <w:bCs w:val="0"/>
                <w:kern w:val="0"/>
                <w:szCs w:val="24"/>
                <w:rFonts w:ascii="仿宋_GB2312" w:hAnsi="仿宋_GB2312" w:eastAsia="仿宋_GB2312" w:cs="仿宋_GB2312" w:hint="eastAsia"/>
              </w:rPr>
              <w:t>指标参数</w:t>
            </w:r>
            <w:r>
              <w:rPr>
                <w:color w:val="auto"/>
                <w:sz w:val="24"/>
                <w:lang w:val="en-US" w:eastAsia="zh-CN"/>
                <w:szCs w:val="24"/>
                <w:rFonts w:ascii="仿宋_GB2312" w:hAnsi="仿宋_GB2312" w:eastAsia="仿宋_GB2312" w:cs="仿宋_GB2312" w:hint="eastAsia"/>
              </w:rPr>
              <w:t>）进行比对，符合参数要求达到</w:t>
            </w:r>
            <w:r>
              <w:rPr>
                <w:color w:val="auto"/>
                <w:sz w:val="24"/>
                <w:lang w:val="en-US" w:eastAsia="zh-CN"/>
                <w:szCs w:val="24"/>
                <w:rFonts w:ascii="仿宋_GB2312" w:hAnsi="仿宋_GB2312" w:eastAsia="仿宋_GB2312" w:cs="仿宋_GB2312" w:hint="eastAsia"/>
              </w:rPr>
              <w:t>20项以上30项以下的，得20分；</w:t>
            </w:r>
          </w:p>
          <w:p w14:paraId="207E2A64">
            <w:pPr>
              <w:widowControl w:val="0"/>
              <w:keepNext w:val="0"/>
              <w:keepLines w:val="0"/>
              <w:pageBreakBefore w:val="0"/>
              <w:wordWrap w:val="1"/>
              <w:overflowPunct w:val="1"/>
              <w:topLinePunct w:val="0"/>
              <w:kinsoku w:val="1"/>
              <w:autoSpaceDE w:val="1"/>
              <w:autoSpaceDN w:val="1"/>
              <w:bidi w:val="0"/>
              <w:adjustRightInd w:val="1"/>
              <w:snapToGrid w:val="1"/>
              <w:jc w:val="left"/>
              <w:spacing w:line="440" w:lineRule="exact"/>
              <w:rPr>
                <w:color w:val="auto"/>
                <w:sz w:val="24"/>
                <w:lang w:val="en-US" w:eastAsia="zh-CN"/>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4.检测（验）报告内容与“采购需求”中产品的实质性核心技术参数要求（即附件2中</w:t>
            </w:r>
            <w:r>
              <w:rPr>
                <w:b w:val="0"/>
                <w:sz w:val="24"/>
                <w:bCs w:val="0"/>
                <w:kern w:val="0"/>
                <w:szCs w:val="24"/>
                <w:rFonts w:ascii="仿宋_GB2312" w:hAnsi="仿宋_GB2312" w:eastAsia="仿宋_GB2312" w:cs="仿宋_GB2312" w:hint="eastAsia"/>
              </w:rPr>
              <w:t>标注▲</w:t>
            </w:r>
            <w:r>
              <w:rPr>
                <w:b w:val="0"/>
                <w:sz w:val="24"/>
                <w:lang w:eastAsia="zh-CN"/>
                <w:bCs w:val="0"/>
                <w:kern w:val="0"/>
                <w:szCs w:val="24"/>
                <w:rFonts w:ascii="仿宋_GB2312" w:hAnsi="仿宋_GB2312" w:eastAsia="仿宋_GB2312" w:cs="仿宋_GB2312" w:hint="eastAsia"/>
              </w:rPr>
              <w:t>、</w:t>
            </w:r>
            <w:r>
              <w:rPr>
                <w:b w:val="0"/>
                <w:color w:val="auto"/>
                <w:sz w:val="24"/>
                <w:bCs w:val="0"/>
                <w:szCs w:val="24"/>
                <w:rFonts w:ascii="仿宋_GB2312" w:hAnsi="仿宋_GB2312" w:eastAsia="仿宋_GB2312" w:cs="仿宋_GB2312" w:hint="eastAsia"/>
              </w:rPr>
              <w:t>★</w:t>
            </w:r>
            <w:r>
              <w:rPr>
                <w:b w:val="0"/>
                <w:color w:val="auto"/>
                <w:sz w:val="24"/>
                <w:lang w:val="en-US" w:eastAsia="zh-CN"/>
                <w:bCs w:val="0"/>
                <w:szCs w:val="24"/>
                <w:rFonts w:ascii="仿宋_GB2312" w:hAnsi="仿宋_GB2312" w:eastAsia="仿宋_GB2312" w:cs="仿宋_GB2312" w:hint="eastAsia"/>
              </w:rPr>
              <w:t>符号</w:t>
            </w:r>
            <w:r>
              <w:rPr>
                <w:b w:val="0"/>
                <w:sz w:val="24"/>
                <w:bCs w:val="0"/>
                <w:kern w:val="0"/>
                <w:szCs w:val="24"/>
                <w:rFonts w:ascii="仿宋_GB2312" w:hAnsi="仿宋_GB2312" w:eastAsia="仿宋_GB2312" w:cs="仿宋_GB2312" w:hint="eastAsia"/>
              </w:rPr>
              <w:t>的</w:t>
            </w:r>
            <w:r>
              <w:rPr>
                <w:b w:val="0"/>
                <w:sz w:val="24"/>
                <w:lang w:val="en-US" w:eastAsia="zh-CN"/>
                <w:bCs w:val="0"/>
                <w:kern w:val="0"/>
                <w:szCs w:val="24"/>
                <w:rFonts w:ascii="仿宋_GB2312" w:hAnsi="仿宋_GB2312" w:eastAsia="仿宋_GB2312" w:cs="仿宋_GB2312" w:hint="eastAsia"/>
              </w:rPr>
              <w:t>指标参数</w:t>
            </w:r>
            <w:r>
              <w:rPr>
                <w:color w:val="auto"/>
                <w:sz w:val="24"/>
                <w:lang w:val="en-US" w:eastAsia="zh-CN"/>
                <w:szCs w:val="24"/>
                <w:rFonts w:ascii="仿宋_GB2312" w:hAnsi="仿宋_GB2312" w:eastAsia="仿宋_GB2312" w:cs="仿宋_GB2312" w:hint="eastAsia"/>
              </w:rPr>
              <w:t>）进行比对，符合参数要求达到</w:t>
            </w:r>
            <w:r>
              <w:rPr>
                <w:color w:val="auto"/>
                <w:sz w:val="24"/>
                <w:lang w:val="en-US" w:eastAsia="zh-CN"/>
                <w:szCs w:val="24"/>
                <w:rFonts w:ascii="仿宋_GB2312" w:hAnsi="仿宋_GB2312" w:eastAsia="仿宋_GB2312" w:cs="仿宋_GB2312" w:hint="eastAsia"/>
              </w:rPr>
              <w:t>30项以上但未能完全满足所有技术参数要求的，得30分；</w:t>
            </w:r>
          </w:p>
          <w:p w14:paraId="6D0321CA">
            <w:pPr>
              <w:widowControl w:val="0"/>
              <w:keepNext w:val="0"/>
              <w:keepLines w:val="0"/>
              <w:pageBreakBefore w:val="0"/>
              <w:wordWrap w:val="1"/>
              <w:overflowPunct w:val="1"/>
              <w:topLinePunct w:val="0"/>
              <w:kinsoku w:val="1"/>
              <w:autoSpaceDE w:val="1"/>
              <w:autoSpaceDN w:val="1"/>
              <w:bidi w:val="0"/>
              <w:adjustRightInd w:val="1"/>
              <w:snapToGrid w:val="1"/>
              <w:jc w:val="left"/>
              <w:spacing w:line="440" w:lineRule="exact"/>
              <w:rPr>
                <w:color w:val="auto"/>
                <w:lang w:val="en-US"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5.检测（验）报告内容与“项目采购清单”中产品的实质性核心技术参数要求（即附件2中</w:t>
            </w:r>
            <w:r>
              <w:rPr>
                <w:b w:val="0"/>
                <w:sz w:val="24"/>
                <w:bCs w:val="0"/>
                <w:kern w:val="0"/>
                <w:szCs w:val="24"/>
                <w:rFonts w:ascii="仿宋_GB2312" w:hAnsi="仿宋_GB2312" w:eastAsia="仿宋_GB2312" w:cs="仿宋_GB2312" w:hint="eastAsia"/>
              </w:rPr>
              <w:t>标注▲</w:t>
            </w:r>
            <w:r>
              <w:rPr>
                <w:b w:val="0"/>
                <w:sz w:val="24"/>
                <w:lang w:eastAsia="zh-CN"/>
                <w:bCs w:val="0"/>
                <w:kern w:val="0"/>
                <w:szCs w:val="24"/>
                <w:rFonts w:ascii="仿宋_GB2312" w:hAnsi="仿宋_GB2312" w:eastAsia="仿宋_GB2312" w:cs="仿宋_GB2312" w:hint="eastAsia"/>
              </w:rPr>
              <w:t>、</w:t>
            </w:r>
            <w:r>
              <w:rPr>
                <w:b w:val="0"/>
                <w:color w:val="auto"/>
                <w:sz w:val="24"/>
                <w:bCs w:val="0"/>
                <w:szCs w:val="24"/>
                <w:rFonts w:ascii="仿宋_GB2312" w:hAnsi="仿宋_GB2312" w:eastAsia="仿宋_GB2312" w:cs="仿宋_GB2312" w:hint="eastAsia"/>
              </w:rPr>
              <w:t>★</w:t>
            </w:r>
            <w:r>
              <w:rPr>
                <w:b w:val="0"/>
                <w:color w:val="auto"/>
                <w:sz w:val="24"/>
                <w:lang w:val="en-US" w:eastAsia="zh-CN"/>
                <w:bCs w:val="0"/>
                <w:szCs w:val="24"/>
                <w:rFonts w:ascii="仿宋_GB2312" w:hAnsi="仿宋_GB2312" w:eastAsia="仿宋_GB2312" w:cs="仿宋_GB2312" w:hint="eastAsia"/>
              </w:rPr>
              <w:t>符号</w:t>
            </w:r>
            <w:r>
              <w:rPr>
                <w:b w:val="0"/>
                <w:sz w:val="24"/>
                <w:bCs w:val="0"/>
                <w:kern w:val="0"/>
                <w:szCs w:val="24"/>
                <w:rFonts w:ascii="仿宋_GB2312" w:hAnsi="仿宋_GB2312" w:eastAsia="仿宋_GB2312" w:cs="仿宋_GB2312" w:hint="eastAsia"/>
              </w:rPr>
              <w:t>的</w:t>
            </w:r>
            <w:r>
              <w:rPr>
                <w:b w:val="0"/>
                <w:sz w:val="24"/>
                <w:lang w:val="en-US" w:eastAsia="zh-CN"/>
                <w:bCs w:val="0"/>
                <w:kern w:val="0"/>
                <w:szCs w:val="24"/>
                <w:rFonts w:ascii="仿宋_GB2312" w:hAnsi="仿宋_GB2312" w:eastAsia="仿宋_GB2312" w:cs="仿宋_GB2312" w:hint="eastAsia"/>
              </w:rPr>
              <w:t>指标参数</w:t>
            </w:r>
            <w:r>
              <w:rPr>
                <w:color w:val="auto"/>
                <w:sz w:val="24"/>
                <w:lang w:val="en-US" w:eastAsia="zh-CN"/>
                <w:szCs w:val="24"/>
                <w:rFonts w:ascii="仿宋_GB2312" w:hAnsi="仿宋_GB2312" w:eastAsia="仿宋_GB2312" w:cs="仿宋_GB2312" w:hint="eastAsia"/>
              </w:rPr>
              <w:t>）进行比对，完全满足所有技术参数要求的，得40分。</w:t>
            </w:r>
          </w:p>
        </w:tc>
      </w:tr>
      <w:tr w14:paraId="57D0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54" w:hRule="atLeast"/>
          <w:jc w:val="center"/>
        </w:trPr>
        <w:tc>
          <w:tcPr>
            <w:tcW w:w="827" w:type="dxa"/>
            <w:vAlign w:val="center"/>
            <w:tcBorders>
              <w:left w:val="single" w:color="auto" w:sz="4" w:space="0"/>
              <w:bottom w:val="single" w:color="auto" w:sz="4" w:space="0"/>
              <w:right w:val="single" w:color="auto" w:sz="4" w:space="0"/>
            </w:tcBorders>
            <w:noWrap w:val="0"/>
          </w:tcPr>
          <w:p w14:paraId="7F97C076">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rPr>
                <w:sz w:val="24"/>
                <w:lang w:val="en-US" w:eastAsia="zh-CN"/>
                <w:szCs w:val="24"/>
                <w:rFonts w:ascii="仿宋_GB2312" w:hAnsi="仿宋_GB2312" w:eastAsia="仿宋_GB2312" w:cs="仿宋_GB2312" w:hint="eastAsia"/>
              </w:rPr>
            </w:pPr>
            <w:r>
              <w:rPr>
                <w:sz w:val="24"/>
                <w:lang w:val="en-US" w:eastAsia="zh-CN"/>
                <w:szCs w:val="24"/>
                <w:rFonts w:hAnsi="仿宋_GB2312" w:cs="仿宋_GB2312" w:hint="eastAsia"/>
              </w:rPr>
              <w:t>4</w:t>
            </w:r>
          </w:p>
        </w:tc>
        <w:tc>
          <w:tcPr>
            <w:tcW w:w="1200" w:type="dxa"/>
            <w:vAlign w:val="center"/>
            <w:tcBorders>
              <w:top w:val="single" w:color="auto" w:sz="4" w:space="0"/>
              <w:left w:val="nil"/>
              <w:bottom w:val="single" w:color="auto" w:sz="4" w:space="0"/>
              <w:right w:val="single" w:color="auto" w:sz="4" w:space="0"/>
            </w:tcBorders>
            <w:noWrap w:val="0"/>
          </w:tcPr>
          <w:p w14:paraId="64D0C948">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rPr>
                <w:sz w:val="24"/>
                <w:lang w:val="en-US" w:eastAsia="zh-CN"/>
                <w:szCs w:val="24"/>
                <w:rFonts w:ascii="仿宋_GB2312" w:hAnsi="仿宋_GB2312" w:eastAsia="仿宋_GB2312" w:cs="仿宋_GB2312" w:hint="eastAsia"/>
              </w:rPr>
            </w:pPr>
            <w:r>
              <w:rPr>
                <w:sz w:val="24"/>
                <w:szCs w:val="24"/>
                <w:rFonts w:ascii="仿宋_GB2312" w:hAnsi="仿宋_GB2312" w:eastAsia="仿宋_GB2312" w:cs="仿宋_GB2312" w:hint="eastAsia"/>
              </w:rPr>
              <w:t>实物样品</w:t>
            </w:r>
          </w:p>
        </w:tc>
        <w:tc>
          <w:tcPr>
            <w:tcW w:w="1430" w:type="dxa"/>
            <w:vAlign w:val="center"/>
            <w:tcBorders>
              <w:top w:val="single" w:color="auto" w:sz="4" w:space="0"/>
              <w:left w:val="nil"/>
              <w:bottom w:val="single" w:color="auto" w:sz="4" w:space="0"/>
              <w:right w:val="single" w:color="auto" w:sz="4" w:space="0"/>
            </w:tcBorders>
            <w:noWrap w:val="0"/>
          </w:tcPr>
          <w:p w14:paraId="34960355">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rPr>
                <w:sz w:val="24"/>
                <w:szCs w:val="24"/>
                <w:rFonts w:ascii="仿宋_GB2312" w:hAnsi="仿宋_GB2312" w:eastAsia="仿宋_GB2312" w:cs="仿宋_GB2312" w:hint="eastAsia"/>
              </w:rPr>
            </w:pPr>
            <w:r>
              <w:rPr>
                <w:sz w:val="24"/>
                <w:lang w:val="en-US" w:eastAsia="zh-CN"/>
                <w:szCs w:val="24"/>
                <w:rFonts w:hAnsi="仿宋_GB2312" w:cs="仿宋_GB2312" w:hint="eastAsia"/>
              </w:rPr>
              <w:t>10</w:t>
            </w:r>
            <w:r>
              <w:rPr>
                <w:sz w:val="24"/>
                <w:szCs w:val="24"/>
                <w:rFonts w:ascii="仿宋_GB2312" w:hAnsi="仿宋_GB2312" w:eastAsia="仿宋_GB2312" w:cs="仿宋_GB2312" w:hint="eastAsia"/>
              </w:rPr>
              <w:t>分</w:t>
            </w:r>
          </w:p>
        </w:tc>
        <w:tc>
          <w:tcPr>
            <w:tcW w:w="5065" w:type="dxa"/>
            <w:vAlign w:val="center"/>
            <w:tcBorders>
              <w:top w:val="single" w:color="auto" w:sz="4" w:space="0"/>
              <w:left w:val="nil"/>
              <w:bottom w:val="single" w:color="auto" w:sz="4" w:space="0"/>
              <w:right w:val="single" w:color="auto" w:sz="4" w:space="0"/>
            </w:tcBorders>
            <w:noWrap w:val="0"/>
          </w:tcPr>
          <w:p w14:paraId="13EC48F2">
            <w:pPr>
              <w:widowControl w:val="0"/>
              <w:keepNext w:val="0"/>
              <w:keepLines w:val="0"/>
              <w:pageBreakBefore w:val="0"/>
              <w:wordWrap w:val="1"/>
              <w:overflowPunct w:val="1"/>
              <w:topLinePunct w:val="0"/>
              <w:kinsoku w:val="1"/>
              <w:autoSpaceDE w:val="1"/>
              <w:autoSpaceDN w:val="1"/>
              <w:bidi w:val="0"/>
              <w:adjustRightInd w:val="1"/>
              <w:snapToGrid w:val="1"/>
              <w:jc w:val="both"/>
              <w:spacing w:line="440" w:lineRule="exact"/>
              <w:rPr>
                <w:color w:val="auto"/>
                <w:sz w:val="24"/>
                <w:lang w:val="en-US" w:eastAsia="zh-CN"/>
                <w:szCs w:val="24"/>
                <w:rFonts w:ascii="仿宋_GB2312" w:hAnsi="仿宋_GB2312" w:eastAsia="仿宋_GB2312" w:cs="仿宋_GB2312" w:hint="eastAsia"/>
              </w:rPr>
            </w:pPr>
            <w:r>
              <w:rPr>
                <w:color w:val="auto"/>
                <w:sz w:val="24"/>
                <w:szCs w:val="24"/>
                <w:rFonts w:ascii="仿宋_GB2312" w:hAnsi="仿宋_GB2312" w:eastAsia="仿宋_GB2312" w:cs="仿宋_GB2312" w:hint="eastAsia"/>
              </w:rPr>
              <w:t>实物样品由现场评标人员评定：实物样品由评委评价定档，评委对比实物样品和采购需求的一致性，通过使用和触摸等方式，对样品的适用性、便捷性和质感等方面进行综合评分（0-10分），每位评委单独评分，最终根据评分结果，按平均分计分。</w:t>
            </w:r>
          </w:p>
        </w:tc>
      </w:tr>
      <w:tr w14:paraId="5069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54" w:hRule="atLeast"/>
          <w:jc w:val="center"/>
        </w:trPr>
        <w:tc>
          <w:tcPr>
            <w:tcW w:w="8522" w:type="dxa"/>
            <w:gridSpan w:val="4"/>
            <w:vAlign w:val="center"/>
            <w:tcBorders>
              <w:left w:val="single" w:color="auto" w:sz="4" w:space="0"/>
              <w:bottom w:val="single" w:color="auto" w:sz="4" w:space="0"/>
              <w:right w:val="single" w:color="auto" w:sz="4" w:space="0"/>
            </w:tcBorders>
            <w:noWrap w:val="0"/>
          </w:tcPr>
          <w:p w14:paraId="1C0AF64B">
            <w:pPr>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rPr>
                <w:color w:val="auto"/>
                <w:sz w:val="24"/>
                <w:szCs w:val="24"/>
                <w:rFonts w:ascii="仿宋_GB2312" w:hAnsi="仿宋_GB2312" w:eastAsia="仿宋_GB2312" w:cs="仿宋_GB2312" w:hint="eastAsia"/>
              </w:rPr>
            </w:pPr>
            <w:r>
              <w:rPr>
                <w:b w:val="1"/>
                <w:color w:val="auto"/>
                <w:sz w:val="28"/>
                <w:bCs/>
                <w:szCs w:val="28"/>
                <w:rFonts w:ascii="仿宋_GB2312" w:hAnsi="仿宋_GB2312" w:eastAsia="仿宋_GB2312" w:cs="仿宋_GB2312" w:hint="eastAsia"/>
              </w:rPr>
              <w:t>售后服务及服务保障方案（1</w:t>
            </w:r>
            <w:r>
              <w:rPr>
                <w:b w:val="1"/>
                <w:color w:val="auto"/>
                <w:sz w:val="28"/>
                <w:lang w:val="en-US" w:eastAsia="zh-CN"/>
                <w:bCs/>
                <w:szCs w:val="28"/>
                <w:rFonts w:ascii="仿宋_GB2312" w:hAnsi="仿宋_GB2312" w:eastAsia="仿宋_GB2312" w:cs="仿宋_GB2312" w:hint="eastAsia"/>
              </w:rPr>
              <w:t>0</w:t>
            </w:r>
            <w:r>
              <w:rPr>
                <w:b w:val="1"/>
                <w:color w:val="auto"/>
                <w:sz w:val="28"/>
                <w:bCs/>
                <w:szCs w:val="28"/>
                <w:rFonts w:ascii="仿宋_GB2312" w:hAnsi="仿宋_GB2312" w:eastAsia="仿宋_GB2312" w:cs="仿宋_GB2312" w:hint="eastAsia"/>
              </w:rPr>
              <w:t>分）</w:t>
            </w:r>
          </w:p>
        </w:tc>
      </w:tr>
      <w:tr w14:paraId="7632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54" w:hRule="atLeast"/>
          <w:jc w:val="center"/>
        </w:trPr>
        <w:tc>
          <w:tcPr>
            <w:tcW w:w="827" w:type="dxa"/>
            <w:vAlign w:val="center"/>
            <w:tcBorders>
              <w:left w:val="single" w:color="auto" w:sz="4" w:space="0"/>
              <w:bottom w:val="single" w:color="auto" w:sz="4" w:space="0"/>
              <w:right w:val="single" w:color="auto" w:sz="4" w:space="0"/>
            </w:tcBorders>
            <w:noWrap w:val="0"/>
          </w:tcPr>
          <w:p w14:paraId="728EF7D7">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rPr>
                <w:sz w:val="24"/>
                <w:lang w:val="en-US" w:eastAsia="zh-CN"/>
                <w:szCs w:val="24"/>
                <w:rFonts w:hAnsi="仿宋_GB2312" w:cs="仿宋_GB2312" w:hint="default"/>
              </w:rPr>
            </w:pPr>
            <w:r>
              <w:rPr>
                <w:sz w:val="24"/>
                <w:lang w:val="en-US" w:eastAsia="zh-CN"/>
                <w:szCs w:val="24"/>
                <w:rFonts w:hAnsi="仿宋_GB2312" w:cs="仿宋_GB2312" w:hint="eastAsia"/>
              </w:rPr>
              <w:t>5</w:t>
            </w:r>
          </w:p>
        </w:tc>
        <w:tc>
          <w:tcPr>
            <w:tcW w:w="1200" w:type="dxa"/>
            <w:vAlign w:val="center"/>
            <w:tcBorders>
              <w:top w:val="single" w:color="auto" w:sz="4" w:space="0"/>
              <w:left w:val="nil"/>
              <w:bottom w:val="single" w:color="auto" w:sz="4" w:space="0"/>
              <w:right w:val="single" w:color="auto" w:sz="4" w:space="0"/>
            </w:tcBorders>
            <w:noWrap w:val="0"/>
          </w:tcPr>
          <w:p w14:paraId="48555E52">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rPr>
                <w:sz w:val="24"/>
                <w:szCs w:val="24"/>
                <w:rFonts w:ascii="仿宋_GB2312" w:hAnsi="仿宋_GB2312" w:eastAsia="仿宋_GB2312" w:cs="仿宋_GB2312" w:hint="eastAsia"/>
              </w:rPr>
            </w:pPr>
            <w:r>
              <w:rPr>
                <w:sz w:val="24"/>
                <w:lang w:val="en-US" w:eastAsia="zh-CN"/>
                <w:szCs w:val="24"/>
                <w:rFonts w:hAnsi="仿宋_GB2312" w:cs="仿宋_GB2312" w:hint="eastAsia"/>
              </w:rPr>
              <w:t>售后服务承诺</w:t>
            </w:r>
          </w:p>
        </w:tc>
        <w:tc>
          <w:tcPr>
            <w:tcW w:w="1430" w:type="dxa"/>
            <w:vAlign w:val="center"/>
            <w:tcBorders>
              <w:top w:val="single" w:color="auto" w:sz="4" w:space="0"/>
              <w:left w:val="nil"/>
              <w:bottom w:val="single" w:color="auto" w:sz="4" w:space="0"/>
              <w:right w:val="single" w:color="auto" w:sz="4" w:space="0"/>
            </w:tcBorders>
            <w:noWrap w:val="0"/>
          </w:tcPr>
          <w:p w14:paraId="6738B4C6">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rPr>
                <w:sz w:val="24"/>
                <w:lang w:val="en-US" w:eastAsia="zh-CN"/>
                <w:szCs w:val="24"/>
                <w:rFonts w:hAnsi="仿宋_GB2312" w:cs="仿宋_GB2312" w:hint="eastAsia"/>
              </w:rPr>
            </w:pPr>
            <w:r>
              <w:rPr>
                <w:sz w:val="24"/>
                <w:lang w:val="en-US" w:eastAsia="zh-CN"/>
                <w:szCs w:val="24"/>
                <w:rFonts w:hAnsi="仿宋_GB2312" w:cs="仿宋_GB2312" w:hint="eastAsia"/>
              </w:rPr>
              <w:t>5分</w:t>
            </w:r>
          </w:p>
        </w:tc>
        <w:tc>
          <w:tcPr>
            <w:tcW w:w="5065" w:type="dxa"/>
            <w:vAlign w:val="center"/>
            <w:tcBorders>
              <w:top w:val="single" w:color="auto" w:sz="4" w:space="0"/>
              <w:left w:val="nil"/>
              <w:bottom w:val="single" w:color="auto" w:sz="4" w:space="0"/>
              <w:right w:val="single" w:color="auto" w:sz="4" w:space="0"/>
            </w:tcBorders>
            <w:noWrap w:val="0"/>
          </w:tcPr>
          <w:p w14:paraId="1C5D1F7A">
            <w:pPr>
              <w:widowControl w:val="0"/>
              <w:keepNext w:val="0"/>
              <w:keepLines w:val="0"/>
              <w:pageBreakBefore w:val="0"/>
              <w:wordWrap w:val="1"/>
              <w:overflowPunct w:val="1"/>
              <w:topLinePunct w:val="0"/>
              <w:kinsoku w:val="1"/>
              <w:autoSpaceDE w:val="1"/>
              <w:autoSpaceDN w:val="1"/>
              <w:bidi w:val="0"/>
              <w:adjustRightInd w:val="1"/>
              <w:snapToGrid w:val="1"/>
              <w:jc w:val="both"/>
              <w:spacing w:line="440" w:lineRule="exact"/>
              <w:rPr>
                <w:color w:val="auto"/>
                <w:sz w:val="24"/>
                <w:szCs w:val="24"/>
                <w:rFonts w:ascii="仿宋_GB2312" w:hAnsi="仿宋_GB2312" w:eastAsia="仿宋_GB2312" w:cs="仿宋_GB2312" w:hint="eastAsia"/>
              </w:rPr>
            </w:pPr>
            <w:r>
              <w:rPr>
                <w:color w:val="auto"/>
                <w:sz w:val="24"/>
                <w:szCs w:val="24"/>
                <w:rFonts w:ascii="仿宋_GB2312" w:hAnsi="仿宋_GB2312" w:eastAsia="仿宋_GB2312" w:cs="仿宋_GB2312" w:hint="eastAsia"/>
              </w:rPr>
              <w:t>售后服务承诺须包括但不限于以下内容：</w:t>
            </w:r>
          </w:p>
          <w:p w14:paraId="3AD7C074">
            <w:pPr>
              <w:widowControl w:val="0"/>
              <w:keepNext w:val="0"/>
              <w:keepLines w:val="0"/>
              <w:pageBreakBefore w:val="0"/>
              <w:wordWrap w:val="1"/>
              <w:overflowPunct w:val="1"/>
              <w:topLinePunct w:val="0"/>
              <w:kinsoku w:val="1"/>
              <w:autoSpaceDE w:val="1"/>
              <w:autoSpaceDN w:val="1"/>
              <w:bidi w:val="0"/>
              <w:adjustRightInd w:val="1"/>
              <w:snapToGrid w:val="1"/>
              <w:jc w:val="both"/>
              <w:spacing w:line="440" w:lineRule="exact"/>
              <w:rPr>
                <w:color w:val="auto"/>
                <w:sz w:val="24"/>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1.</w:t>
            </w:r>
            <w:r>
              <w:rPr>
                <w:color w:val="auto"/>
                <w:sz w:val="24"/>
                <w:szCs w:val="24"/>
                <w:rFonts w:ascii="仿宋_GB2312" w:hAnsi="仿宋_GB2312" w:eastAsia="仿宋_GB2312" w:cs="仿宋_GB2312" w:hint="eastAsia"/>
              </w:rPr>
              <w:t>质保期限1年，得3分；少于1年</w:t>
            </w:r>
            <w:r>
              <w:rPr>
                <w:color w:val="auto"/>
                <w:sz w:val="24"/>
                <w:lang w:val="en-US" w:eastAsia="zh-CN"/>
                <w:szCs w:val="24"/>
                <w:rFonts w:ascii="仿宋_GB2312" w:hAnsi="仿宋_GB2312" w:eastAsia="仿宋_GB2312" w:cs="仿宋_GB2312" w:hint="eastAsia"/>
              </w:rPr>
              <w:t>不得</w:t>
            </w:r>
            <w:r>
              <w:rPr>
                <w:color w:val="auto"/>
                <w:sz w:val="24"/>
                <w:szCs w:val="24"/>
                <w:rFonts w:ascii="仿宋_GB2312" w:hAnsi="仿宋_GB2312" w:eastAsia="仿宋_GB2312" w:cs="仿宋_GB2312" w:hint="eastAsia"/>
              </w:rPr>
              <w:t>分。</w:t>
            </w:r>
          </w:p>
          <w:p w14:paraId="3523562D">
            <w:pPr>
              <w:widowControl w:val="0"/>
              <w:keepNext w:val="0"/>
              <w:keepLines w:val="0"/>
              <w:pageBreakBefore w:val="0"/>
              <w:wordWrap w:val="1"/>
              <w:overflowPunct w:val="1"/>
              <w:topLinePunct w:val="0"/>
              <w:kinsoku w:val="1"/>
              <w:autoSpaceDE w:val="1"/>
              <w:autoSpaceDN w:val="1"/>
              <w:bidi w:val="0"/>
              <w:adjustRightInd w:val="1"/>
              <w:snapToGrid w:val="1"/>
              <w:jc w:val="both"/>
              <w:tabs>
                <w:tab w:val="left" w:pos="1101"/>
              </w:tabs>
              <w:spacing w:line="440" w:lineRule="exact"/>
              <w:rPr>
                <w:color w:val="auto"/>
                <w:sz w:val="24"/>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2.</w:t>
            </w:r>
            <w:r>
              <w:rPr>
                <w:color w:val="auto"/>
                <w:sz w:val="24"/>
                <w:szCs w:val="24"/>
                <w:rFonts w:ascii="仿宋_GB2312" w:hAnsi="仿宋_GB2312" w:eastAsia="仿宋_GB2312" w:cs="仿宋_GB2312" w:hint="eastAsia"/>
              </w:rPr>
              <w:t>质保期限2年，得5分；</w:t>
            </w:r>
          </w:p>
          <w:p w14:paraId="0191501E">
            <w:pPr>
              <w:widowControl w:val="0"/>
              <w:keepNext w:val="0"/>
              <w:keepLines w:val="0"/>
              <w:pageBreakBefore w:val="0"/>
              <w:wordWrap w:val="1"/>
              <w:overflowPunct w:val="1"/>
              <w:topLinePunct w:val="0"/>
              <w:kinsoku w:val="1"/>
              <w:autoSpaceDE w:val="1"/>
              <w:autoSpaceDN w:val="1"/>
              <w:bidi w:val="0"/>
              <w:adjustRightInd w:val="1"/>
              <w:snapToGrid w:val="1"/>
              <w:jc w:val="both"/>
              <w:tabs>
                <w:tab w:val="left" w:pos="1101"/>
              </w:tabs>
              <w:spacing w:line="440" w:lineRule="exact"/>
              <w:rPr>
                <w:color w:val="auto"/>
                <w:sz w:val="24"/>
                <w:lang w:eastAsia="zh-CN"/>
                <w:szCs w:val="24"/>
                <w:rFonts w:ascii="仿宋_GB2312" w:hAnsi="仿宋_GB2312" w:eastAsia="仿宋_GB2312" w:cs="仿宋_GB2312" w:hint="eastAsia"/>
              </w:rPr>
            </w:pPr>
          </w:p>
        </w:tc>
      </w:tr>
      <w:tr w14:paraId="4CE6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54" w:hRule="atLeast"/>
          <w:jc w:val="center"/>
        </w:trPr>
        <w:tc>
          <w:tcPr>
            <w:tcW w:w="827" w:type="dxa"/>
            <w:vAlign w:val="center"/>
            <w:tcBorders>
              <w:left w:val="single" w:color="auto" w:sz="4" w:space="0"/>
              <w:bottom w:val="single" w:color="auto" w:sz="4" w:space="0"/>
              <w:right w:val="single" w:color="auto" w:sz="4" w:space="0"/>
            </w:tcBorders>
            <w:noWrap w:val="0"/>
          </w:tcPr>
          <w:p w14:paraId="73AB047F">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rPr>
                <w:sz w:val="24"/>
                <w:lang w:val="en-US" w:eastAsia="zh-CN"/>
                <w:szCs w:val="24"/>
                <w:rFonts w:hAnsi="仿宋_GB2312" w:cs="仿宋_GB2312" w:hint="default"/>
              </w:rPr>
            </w:pPr>
            <w:r>
              <w:rPr>
                <w:sz w:val="24"/>
                <w:lang w:val="en-US" w:eastAsia="zh-CN"/>
                <w:szCs w:val="24"/>
                <w:rFonts w:hAnsi="仿宋_GB2312" w:cs="仿宋_GB2312" w:hint="eastAsia"/>
              </w:rPr>
              <w:t>6</w:t>
            </w:r>
          </w:p>
        </w:tc>
        <w:tc>
          <w:tcPr>
            <w:tcW w:w="1200" w:type="dxa"/>
            <w:vAlign w:val="center"/>
            <w:tcBorders>
              <w:top w:val="single" w:color="auto" w:sz="4" w:space="0"/>
              <w:left w:val="nil"/>
              <w:bottom w:val="single" w:color="auto" w:sz="4" w:space="0"/>
              <w:right w:val="single" w:color="auto" w:sz="4" w:space="0"/>
            </w:tcBorders>
            <w:noWrap w:val="0"/>
          </w:tcPr>
          <w:p w14:paraId="08E7B5B4">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rPr>
                <w:sz w:val="24"/>
                <w:lang w:val="en-US" w:eastAsia="zh-CN"/>
                <w:szCs w:val="24"/>
                <w:rFonts w:ascii="仿宋_GB2312" w:hAnsi="仿宋_GB2312" w:eastAsia="仿宋_GB2312" w:cs="仿宋_GB2312" w:hint="eastAsia"/>
              </w:rPr>
            </w:pPr>
            <w:r>
              <w:rPr>
                <w:sz w:val="24"/>
                <w:szCs w:val="24"/>
                <w:rFonts w:ascii="仿宋_GB2312" w:hAnsi="仿宋_GB2312" w:eastAsia="仿宋_GB2312" w:cs="仿宋_GB2312" w:hint="eastAsia"/>
              </w:rPr>
              <w:t>服务保障</w:t>
            </w:r>
            <w:r>
              <w:rPr>
                <w:sz w:val="24"/>
                <w:lang w:val="en-US" w:eastAsia="zh-CN"/>
                <w:szCs w:val="24"/>
                <w:rFonts w:hAnsi="仿宋_GB2312" w:cs="仿宋_GB2312" w:hint="eastAsia"/>
              </w:rPr>
              <w:t>方案</w:t>
            </w:r>
          </w:p>
        </w:tc>
        <w:tc>
          <w:tcPr>
            <w:tcW w:w="1430" w:type="dxa"/>
            <w:vAlign w:val="center"/>
            <w:tcBorders>
              <w:top w:val="single" w:color="auto" w:sz="4" w:space="0"/>
              <w:left w:val="nil"/>
              <w:bottom w:val="single" w:color="auto" w:sz="4" w:space="0"/>
              <w:right w:val="single" w:color="auto" w:sz="4" w:space="0"/>
            </w:tcBorders>
            <w:noWrap w:val="0"/>
          </w:tcPr>
          <w:p w14:paraId="4CF86E54">
            <w:pPr>
              <w:pStyle w:val="15"/>
              <w:widowControl w:val="0"/>
              <w:keepNext w:val="0"/>
              <w:keepLines w:val="0"/>
              <w:pageBreakBefore w:val="0"/>
              <w:wordWrap w:val="1"/>
              <w:overflowPunct w:val="1"/>
              <w:topLinePunct w:val="0"/>
              <w:kinsoku w:val="1"/>
              <w:autoSpaceDE w:val="1"/>
              <w:autoSpaceDN w:val="1"/>
              <w:bidi w:val="0"/>
              <w:adjustRightInd w:val="1"/>
              <w:snapToGrid w:val="1"/>
              <w:jc w:val="center"/>
              <w:spacing w:line="440" w:lineRule="exact"/>
              <w:ind w:firstLine="0" w:firstLineChars="0"/>
              <w:rPr>
                <w:sz w:val="24"/>
                <w:lang w:val="en-US" w:eastAsia="zh-CN"/>
                <w:szCs w:val="24"/>
                <w:rFonts w:hAnsi="仿宋_GB2312" w:cs="仿宋_GB2312" w:hint="default"/>
              </w:rPr>
            </w:pPr>
            <w:r>
              <w:rPr>
                <w:sz w:val="24"/>
                <w:lang w:val="en-US" w:eastAsia="zh-CN"/>
                <w:szCs w:val="24"/>
                <w:rFonts w:hAnsi="仿宋_GB2312" w:cs="仿宋_GB2312" w:hint="eastAsia"/>
              </w:rPr>
              <w:t>5分</w:t>
            </w:r>
          </w:p>
        </w:tc>
        <w:tc>
          <w:tcPr>
            <w:tcW w:w="5065" w:type="dxa"/>
            <w:vAlign w:val="center"/>
            <w:tcBorders>
              <w:top w:val="single" w:color="auto" w:sz="4" w:space="0"/>
              <w:left w:val="nil"/>
              <w:bottom w:val="single" w:color="auto" w:sz="4" w:space="0"/>
              <w:right w:val="single" w:color="auto" w:sz="4" w:space="0"/>
            </w:tcBorders>
            <w:noWrap w:val="0"/>
          </w:tcPr>
          <w:p w14:paraId="1A82EA30">
            <w:pPr>
              <w:widowControl w:val="0"/>
              <w:keepNext w:val="0"/>
              <w:keepLines w:val="0"/>
              <w:pageBreakBefore w:val="0"/>
              <w:wordWrap w:val="1"/>
              <w:overflowPunct w:val="1"/>
              <w:topLinePunct w:val="0"/>
              <w:kinsoku w:val="1"/>
              <w:autoSpaceDE w:val="1"/>
              <w:autoSpaceDN w:val="1"/>
              <w:bidi w:val="0"/>
              <w:adjustRightInd w:val="1"/>
              <w:snapToGrid w:val="1"/>
              <w:jc w:val="both"/>
              <w:spacing w:line="440" w:lineRule="exact"/>
              <w:rPr>
                <w:color w:val="auto"/>
                <w:sz w:val="24"/>
                <w:szCs w:val="24"/>
                <w:rFonts w:ascii="仿宋_GB2312" w:hAnsi="仿宋_GB2312" w:eastAsia="仿宋_GB2312" w:cs="仿宋_GB2312" w:hint="eastAsia"/>
              </w:rPr>
            </w:pPr>
            <w:r>
              <w:rPr>
                <w:color w:val="auto"/>
                <w:sz w:val="24"/>
                <w:szCs w:val="24"/>
                <w:rFonts w:ascii="仿宋_GB2312" w:hAnsi="仿宋_GB2312" w:eastAsia="仿宋_GB2312" w:cs="仿宋_GB2312" w:hint="eastAsia"/>
              </w:rPr>
              <w:t>评委根据各供应商提供的服务保障方案内容进行独立评审，并按如下计分方式独立打分：</w:t>
            </w:r>
          </w:p>
          <w:p w14:paraId="55B035A9">
            <w:pPr>
              <w:widowControl w:val="0"/>
              <w:keepNext w:val="0"/>
              <w:keepLines w:val="0"/>
              <w:pageBreakBefore w:val="0"/>
              <w:wordWrap w:val="1"/>
              <w:overflowPunct w:val="1"/>
              <w:topLinePunct w:val="0"/>
              <w:kinsoku w:val="1"/>
              <w:autoSpaceDE w:val="1"/>
              <w:autoSpaceDN w:val="1"/>
              <w:bidi w:val="0"/>
              <w:adjustRightInd w:val="1"/>
              <w:snapToGrid w:val="1"/>
              <w:jc w:val="both"/>
              <w:spacing w:line="440" w:lineRule="exact"/>
              <w:rPr>
                <w:color w:val="auto"/>
                <w:sz w:val="24"/>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1.</w:t>
            </w:r>
            <w:r>
              <w:rPr>
                <w:color w:val="auto"/>
                <w:sz w:val="24"/>
                <w:szCs w:val="24"/>
                <w:rFonts w:ascii="仿宋_GB2312" w:hAnsi="仿宋_GB2312" w:eastAsia="仿宋_GB2312" w:cs="仿宋_GB2312" w:hint="eastAsia"/>
              </w:rPr>
              <w:t>未提供服务保障方案的</w:t>
            </w:r>
            <w:r>
              <w:rPr>
                <w:color w:val="auto"/>
                <w:sz w:val="24"/>
                <w:lang w:eastAsia="zh-CN"/>
                <w:szCs w:val="24"/>
                <w:rFonts w:ascii="仿宋_GB2312" w:hAnsi="仿宋_GB2312" w:eastAsia="仿宋_GB2312" w:cs="仿宋_GB2312" w:hint="eastAsia"/>
              </w:rPr>
              <w:t>，</w:t>
            </w:r>
            <w:r>
              <w:rPr>
                <w:color w:val="auto"/>
                <w:sz w:val="24"/>
                <w:lang w:val="en-US" w:eastAsia="zh-CN"/>
                <w:szCs w:val="24"/>
                <w:rFonts w:ascii="仿宋_GB2312" w:hAnsi="仿宋_GB2312" w:eastAsia="仿宋_GB2312" w:cs="仿宋_GB2312" w:hint="eastAsia"/>
              </w:rPr>
              <w:t>不得分</w:t>
            </w:r>
            <w:r>
              <w:rPr>
                <w:color w:val="auto"/>
                <w:sz w:val="24"/>
                <w:szCs w:val="24"/>
                <w:rFonts w:ascii="仿宋_GB2312" w:hAnsi="仿宋_GB2312" w:eastAsia="仿宋_GB2312" w:cs="仿宋_GB2312" w:hint="eastAsia"/>
              </w:rPr>
              <w:t>；</w:t>
            </w:r>
          </w:p>
          <w:p w14:paraId="0D87F1A3">
            <w:pPr>
              <w:widowControl w:val="0"/>
              <w:keepNext w:val="0"/>
              <w:keepLines w:val="0"/>
              <w:pageBreakBefore w:val="0"/>
              <w:wordWrap w:val="1"/>
              <w:overflowPunct w:val="1"/>
              <w:topLinePunct w:val="0"/>
              <w:kinsoku w:val="1"/>
              <w:autoSpaceDE w:val="1"/>
              <w:autoSpaceDN w:val="1"/>
              <w:bidi w:val="0"/>
              <w:adjustRightInd w:val="1"/>
              <w:snapToGrid w:val="1"/>
              <w:jc w:val="both"/>
              <w:spacing w:line="440" w:lineRule="exact"/>
              <w:rPr>
                <w:color w:val="auto"/>
                <w:sz w:val="24"/>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2.</w:t>
            </w:r>
            <w:r>
              <w:rPr>
                <w:color w:val="auto"/>
                <w:sz w:val="24"/>
                <w:szCs w:val="24"/>
                <w:rFonts w:ascii="仿宋_GB2312" w:hAnsi="仿宋_GB2312" w:eastAsia="仿宋_GB2312" w:cs="仿宋_GB2312" w:hint="eastAsia"/>
              </w:rPr>
              <w:t>提供售后服务保障方案简单，方案仅满足本项目需求</w:t>
            </w:r>
            <w:r>
              <w:rPr>
                <w:color w:val="auto"/>
                <w:sz w:val="24"/>
                <w:lang w:eastAsia="zh-CN"/>
                <w:szCs w:val="24"/>
                <w:rFonts w:ascii="仿宋_GB2312" w:hAnsi="仿宋_GB2312" w:eastAsia="仿宋_GB2312" w:cs="仿宋_GB2312" w:hint="eastAsia"/>
              </w:rPr>
              <w:t>，</w:t>
            </w:r>
            <w:r>
              <w:rPr>
                <w:color w:val="auto"/>
                <w:sz w:val="24"/>
                <w:lang w:val="en-US" w:eastAsia="zh-CN"/>
                <w:szCs w:val="24"/>
                <w:rFonts w:ascii="仿宋_GB2312" w:hAnsi="仿宋_GB2312" w:eastAsia="仿宋_GB2312" w:cs="仿宋_GB2312" w:hint="eastAsia"/>
              </w:rPr>
              <w:t>得3分</w:t>
            </w:r>
            <w:r>
              <w:rPr>
                <w:color w:val="auto"/>
                <w:sz w:val="24"/>
                <w:szCs w:val="24"/>
                <w:rFonts w:ascii="仿宋_GB2312" w:hAnsi="仿宋_GB2312" w:eastAsia="仿宋_GB2312" w:cs="仿宋_GB2312" w:hint="eastAsia"/>
              </w:rPr>
              <w:t>；</w:t>
            </w:r>
          </w:p>
          <w:p w14:paraId="42D5EC66">
            <w:pPr>
              <w:widowControl w:val="0"/>
              <w:keepNext w:val="0"/>
              <w:keepLines w:val="0"/>
              <w:pageBreakBefore w:val="0"/>
              <w:wordWrap w:val="1"/>
              <w:overflowPunct w:val="1"/>
              <w:topLinePunct w:val="0"/>
              <w:kinsoku w:val="1"/>
              <w:autoSpaceDE w:val="1"/>
              <w:autoSpaceDN w:val="1"/>
              <w:bidi w:val="0"/>
              <w:adjustRightInd w:val="1"/>
              <w:snapToGrid w:val="1"/>
              <w:jc w:val="both"/>
              <w:spacing w:line="440" w:lineRule="exact"/>
              <w:rPr>
                <w:color w:val="auto"/>
                <w:sz w:val="24"/>
                <w:szCs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3.</w:t>
            </w:r>
            <w:r>
              <w:rPr>
                <w:color w:val="auto"/>
                <w:sz w:val="24"/>
                <w:szCs w:val="24"/>
                <w:rFonts w:ascii="仿宋_GB2312" w:hAnsi="仿宋_GB2312" w:eastAsia="仿宋_GB2312" w:cs="仿宋_GB2312" w:hint="eastAsia"/>
              </w:rPr>
              <w:t>提供售后服务保障方案</w:t>
            </w:r>
            <w:r>
              <w:rPr>
                <w:color w:val="auto"/>
                <w:sz w:val="24"/>
                <w:lang w:val="en-US" w:eastAsia="zh-CN"/>
                <w:szCs w:val="24"/>
                <w:rFonts w:ascii="仿宋_GB2312" w:hAnsi="仿宋_GB2312" w:eastAsia="仿宋_GB2312" w:cs="仿宋_GB2312" w:hint="eastAsia"/>
              </w:rPr>
              <w:t>详尽</w:t>
            </w:r>
            <w:r>
              <w:rPr>
                <w:color w:val="auto"/>
                <w:sz w:val="24"/>
                <w:szCs w:val="24"/>
                <w:rFonts w:ascii="仿宋_GB2312" w:hAnsi="仿宋_GB2312" w:eastAsia="仿宋_GB2312" w:cs="仿宋_GB2312" w:hint="eastAsia"/>
              </w:rPr>
              <w:t>，针对售后服务保障提出有利的方案；交货期、质保期、到达故障点及解决故障的时间优于采购人需求，备品备件、售后服务的内容和措施等阐述清晰、明确；各项售后保障措施安排有相应负责机构及人员；售后保障体系完善、售后服务承诺切实可行；售后服务人员配备齐全</w:t>
            </w:r>
            <w:r>
              <w:rPr>
                <w:color w:val="auto"/>
                <w:sz w:val="24"/>
                <w:lang w:eastAsia="zh-CN"/>
                <w:szCs w:val="24"/>
                <w:rFonts w:ascii="仿宋_GB2312" w:hAnsi="仿宋_GB2312" w:eastAsia="仿宋_GB2312" w:cs="仿宋_GB2312" w:hint="eastAsia"/>
              </w:rPr>
              <w:t>；</w:t>
            </w:r>
            <w:r>
              <w:rPr>
                <w:color w:val="auto"/>
                <w:sz w:val="24"/>
                <w:lang w:val="en-US" w:eastAsia="zh-CN"/>
                <w:szCs w:val="24"/>
                <w:rFonts w:ascii="仿宋_GB2312" w:hAnsi="仿宋_GB2312" w:eastAsia="仿宋_GB2312" w:cs="仿宋_GB2312" w:hint="eastAsia"/>
              </w:rPr>
              <w:t>得5分。</w:t>
            </w:r>
          </w:p>
        </w:tc>
      </w:tr>
      <w:tr w14:paraId="10FA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680" w:hRule="atLeast"/>
          <w:jc w:val="center"/>
        </w:trPr>
        <w:tc>
          <w:tcPr>
            <w:tcW w:w="8522" w:type="dxa"/>
            <w:gridSpan w:val="4"/>
            <w:vAlign w:val="center"/>
            <w:tcBorders>
              <w:top w:val="single" w:color="auto" w:sz="4" w:space="0"/>
              <w:left w:val="single" w:color="auto" w:sz="4" w:space="0"/>
              <w:bottom w:val="single" w:color="auto" w:sz="4" w:space="0"/>
              <w:right w:val="single" w:color="auto" w:sz="4" w:space="0"/>
            </w:tcBorders>
            <w:noWrap w:val="0"/>
          </w:tcPr>
          <w:p w14:paraId="3D39D70A">
            <w:pPr>
              <w:keepNext w:val="0"/>
              <w:keepLines w:val="0"/>
              <w:pageBreakBefore w:val="0"/>
              <w:wordWrap w:val="1"/>
              <w:overflowPunct w:val="1"/>
              <w:topLinePunct w:val="0"/>
              <w:kinsoku w:val="1"/>
              <w:autoSpaceDE w:val="1"/>
              <w:autoSpaceDN w:val="1"/>
              <w:bidi w:val="0"/>
              <w:snapToGrid w:val="1"/>
              <w:jc w:val="left"/>
              <w:spacing w:line="560" w:lineRule="exact"/>
              <w:rPr>
                <w:b w:val="1"/>
                <w:sz w:val="24"/>
                <w:szCs w:val="24"/>
                <w:rFonts w:ascii="仿宋_GB2312" w:hAnsi="仿宋_GB2312" w:eastAsia="仿宋_GB2312" w:cs="仿宋_GB2312" w:hint="eastAsia"/>
              </w:rPr>
            </w:pPr>
            <w:r>
              <w:rPr>
                <w:b w:val="1"/>
                <w:sz w:val="24"/>
                <w:szCs w:val="24"/>
                <w:rFonts w:ascii="仿宋_GB2312" w:hAnsi="仿宋_GB2312" w:eastAsia="仿宋_GB2312" w:cs="仿宋_GB2312" w:hint="eastAsia"/>
              </w:rPr>
              <w:t>注：（1）无特殊说明外，以上评审项，同一证明文件不重复计分。</w:t>
            </w:r>
          </w:p>
          <w:p w14:paraId="046683E5">
            <w:pPr>
              <w:pStyle w:val="15"/>
              <w:keepNext w:val="0"/>
              <w:keepLines w:val="0"/>
              <w:pageBreakBefore w:val="0"/>
              <w:wordWrap w:val="1"/>
              <w:overflowPunct w:val="1"/>
              <w:topLinePunct w:val="0"/>
              <w:kinsoku w:val="1"/>
              <w:autoSpaceDE w:val="1"/>
              <w:autoSpaceDN w:val="1"/>
              <w:bidi w:val="0"/>
              <w:snapToGrid w:val="1"/>
              <w:jc w:val="left"/>
              <w:spacing w:line="560" w:lineRule="exact"/>
              <w:ind w:firstLine="0" w:firstLineChars="0" w:left="0" w:leftChars="0"/>
              <w:rPr>
                <w:sz w:val="21"/>
                <w:szCs w:val="21"/>
                <w:rFonts w:ascii="方正仿宋_GB2312" w:hAnsi="方正仿宋_GB2312" w:eastAsia="方正仿宋_GB2312" w:cs="方正仿宋_GB2312" w:hint="eastAsia"/>
              </w:rPr>
            </w:pPr>
            <w:r>
              <w:rPr>
                <w:b w:val="1"/>
                <w:sz w:val="24"/>
                <w:szCs w:val="24"/>
                <w:rFonts w:ascii="仿宋_GB2312" w:hAnsi="仿宋_GB2312" w:eastAsia="仿宋_GB2312" w:cs="仿宋_GB2312" w:hint="eastAsia"/>
              </w:rPr>
              <w:t>（2）供应商根据以上评分要求提供的投标材料因模糊不清导致评审委员会无法清晰辨认进行评审的，视为无效材料。</w:t>
            </w:r>
          </w:p>
        </w:tc>
      </w:tr>
    </w:tbl>
    <w:p w14:paraId="1E35F43A">
      <w:pPr>
        <w:widowControl w:val="0"/>
        <w:keepNext w:val="0"/>
        <w:keepLines w:val="0"/>
        <w:pageBreakBefore w:val="0"/>
        <w:wordWrap w:val="1"/>
        <w:overflowPunct w:val="1"/>
        <w:topLinePunct w:val="0"/>
        <w:kinsoku w:val="1"/>
        <w:autoSpaceDE w:val="1"/>
        <w:autoSpaceDN w:val="1"/>
        <w:bidi w:val="0"/>
        <w:adjustRightInd w:val="0"/>
        <w:snapToGrid w:val="1"/>
        <w:jc w:val="left"/>
        <w:numPr>
          <w:ilvl w:val="0"/>
          <w:numId w:val="3"/>
        </w:numPr>
        <w:spacing w:line="560" w:lineRule="exact"/>
        <w:ind w:firstLine="640" w:firstLineChars="200"/>
        <w:rPr>
          <w:b w:val="0"/>
          <w:sz w:val="32"/>
          <w:lang w:val="en-US" w:eastAsia="zh-CN"/>
          <w:bCs w:val="0"/>
          <w:szCs w:val="32"/>
          <w:rFonts w:ascii="黑体" w:hAnsi="黑体" w:eastAsia="黑体" w:cs="黑体" w:hint="eastAsia"/>
        </w:rPr>
      </w:pPr>
      <w:r>
        <w:rPr>
          <w:b w:val="0"/>
          <w:sz w:val="32"/>
          <w:lang w:val="en-US" w:eastAsia="zh-CN"/>
          <w:bCs w:val="0"/>
          <w:szCs w:val="32"/>
          <w:rFonts w:ascii="黑体" w:hAnsi="黑体" w:eastAsia="黑体" w:cs="黑体" w:hint="eastAsia"/>
        </w:rPr>
        <w:t>总得分</w:t>
      </w:r>
    </w:p>
    <w:p w14:paraId="472C7CAB">
      <w:pPr>
        <w:widowControl w:val="0"/>
        <w:keepNext w:val="0"/>
        <w:keepLines w:val="0"/>
        <w:pageBreakBefore w:val="0"/>
        <w:wordWrap w:val="1"/>
        <w:overflowPunct w:val="1"/>
        <w:topLinePunct w:val="0"/>
        <w:kinsoku w:val="1"/>
        <w:autoSpaceDE w:val="1"/>
        <w:autoSpaceDN w:val="1"/>
        <w:bidi w:val="0"/>
        <w:adjustRightInd w:val="0"/>
        <w:snapToGrid w:val="1"/>
        <w:jc w:val="left"/>
        <w:numPr>
          <w:ilvl w:val="0"/>
          <w:numId w:val="0"/>
        </w:numPr>
        <w:spacing w:line="560" w:lineRule="exact"/>
        <w:ind w:firstLine="640" w:firstLineChars="200"/>
        <w:rPr>
          <w:b w:val="0"/>
          <w:sz w:val="32"/>
          <w:lang w:val="en-US" w:eastAsia="zh-CN"/>
          <w:bCs w:val="0"/>
          <w:szCs w:val="32"/>
          <w:rFonts w:ascii="仿宋_GB2312" w:hAnsi="仿宋_GB2312" w:eastAsia="仿宋_GB2312" w:cs="仿宋_GB2312" w:hint="default"/>
        </w:rPr>
      </w:pPr>
      <w:r>
        <w:rPr>
          <w:b w:val="0"/>
          <w:sz w:val="32"/>
          <w:bCs w:val="0"/>
          <w:szCs w:val="32"/>
          <w:rFonts w:ascii="仿宋_GB2312" w:hAnsi="仿宋_GB2312" w:eastAsia="仿宋_GB2312" w:cs="仿宋_GB2312" w:hint="eastAsia"/>
        </w:rPr>
        <w:t>总得分=1+2+3+4</w:t>
      </w:r>
      <w:r>
        <w:rPr>
          <w:b w:val="0"/>
          <w:sz w:val="32"/>
          <w:lang w:val="en-US" w:eastAsia="zh-CN"/>
          <w:bCs w:val="0"/>
          <w:szCs w:val="32"/>
          <w:rFonts w:ascii="仿宋_GB2312" w:hAnsi="仿宋_GB2312" w:eastAsia="仿宋_GB2312" w:cs="仿宋_GB2312" w:hint="eastAsia"/>
        </w:rPr>
        <w:t>+5+6</w:t>
      </w:r>
    </w:p>
    <w:p w14:paraId="2653FD4B">
      <w:pPr>
        <w:widowControl w:val="0"/>
        <w:keepNext w:val="0"/>
        <w:keepLines w:val="0"/>
        <w:pageBreakBefore w:val="0"/>
        <w:wordWrap w:val="1"/>
        <w:overflowPunct w:val="1"/>
        <w:topLinePunct w:val="0"/>
        <w:kinsoku w:val="1"/>
        <w:autoSpaceDE w:val="1"/>
        <w:autoSpaceDN w:val="1"/>
        <w:bidi w:val="0"/>
        <w:adjustRightInd w:val="0"/>
        <w:snapToGrid w:val="1"/>
        <w:spacing w:line="560" w:lineRule="exact"/>
        <w:ind w:firstLine="640" w:firstLineChars="200"/>
        <w:rPr>
          <w:b w:val="0"/>
          <w:sz w:val="32"/>
          <w:lang w:eastAsia="zh-CN"/>
          <w:bCs w:val="0"/>
          <w:szCs w:val="32"/>
          <w:rFonts w:ascii="黑体" w:hAnsi="黑体" w:eastAsia="黑体" w:cs="黑体" w:hint="eastAsia"/>
        </w:rPr>
      </w:pPr>
      <w:r>
        <w:rPr>
          <w:b w:val="0"/>
          <w:sz w:val="32"/>
          <w:lang w:eastAsia="zh-CN"/>
          <w:bCs w:val="0"/>
          <w:szCs w:val="32"/>
          <w:rFonts w:ascii="黑体" w:hAnsi="黑体" w:eastAsia="黑体" w:cs="黑体" w:hint="eastAsia"/>
        </w:rPr>
        <w:t>五、中标候选人推荐原则</w:t>
      </w:r>
    </w:p>
    <w:p w14:paraId="52A9AF61">
      <w:pPr>
        <w:widowControl w:val="0"/>
        <w:keepNext w:val="0"/>
        <w:keepLines w:val="0"/>
        <w:pageBreakBefore w:val="0"/>
        <w:wordWrap w:val="1"/>
        <w:overflowPunct w:val="1"/>
        <w:topLinePunct w:val="0"/>
        <w:kinsoku w:val="1"/>
        <w:autoSpaceDE w:val="1"/>
        <w:autoSpaceDN w:val="1"/>
        <w:bidi w:val="0"/>
        <w:adjustRightInd w:val="0"/>
        <w:snapToGrid w:val="1"/>
        <w:spacing w:line="560" w:lineRule="exact"/>
        <w:ind w:firstLine="640" w:firstLineChars="200"/>
        <w:rPr>
          <w:sz w:val="32"/>
          <w:lang w:eastAsia="zh-CN"/>
          <w:szCs w:val="32"/>
          <w:rFonts w:ascii="仿宋_GB2312" w:hAnsi="仿宋_GB2312" w:eastAsia="仿宋_GB2312" w:cs="仿宋_GB2312" w:hint="eastAsia"/>
        </w:rPr>
      </w:pPr>
      <w:r>
        <w:rPr>
          <w:sz w:val="32"/>
          <w:lang w:eastAsia="zh-CN"/>
          <w:szCs w:val="32"/>
          <w:rFonts w:ascii="仿宋_GB2312" w:hAnsi="仿宋_GB2312" w:eastAsia="仿宋_GB2312" w:cs="仿宋_GB2312" w:hint="eastAsia"/>
        </w:rPr>
        <w:t>（一）评审委员会将根据得分由高到低排列次序（得分相同时，以报价由低到高顺序排列；得分相同且报价相同的，按技术指标优劣顺序排列）并推荐中标候选供应商。</w:t>
      </w:r>
    </w:p>
    <w:p w14:paraId="78BCB4DD">
      <w:pPr>
        <w:widowControl w:val="0"/>
        <w:keepNext w:val="0"/>
        <w:keepLines w:val="0"/>
        <w:pageBreakBefore w:val="0"/>
        <w:wordWrap w:val="1"/>
        <w:overflowPunct w:val="1"/>
        <w:topLinePunct w:val="0"/>
        <w:kinsoku w:val="1"/>
        <w:autoSpaceDE w:val="1"/>
        <w:autoSpaceDN w:val="1"/>
        <w:bidi w:val="0"/>
        <w:adjustRightInd w:val="0"/>
        <w:snapToGrid w:val="1"/>
        <w:spacing w:line="560" w:lineRule="exact"/>
        <w:ind w:firstLine="640" w:firstLineChars="200"/>
        <w:rPr>
          <w:sz w:val="32"/>
          <w:bCs/>
          <w:szCs w:val="32"/>
          <w:rFonts w:ascii="仿宋_GB2312" w:hAnsi="仿宋_GB2312" w:eastAsia="仿宋_GB2312" w:cs="仿宋_GB2312" w:hint="eastAsia"/>
        </w:rPr>
      </w:pPr>
      <w:r>
        <w:rPr>
          <w:sz w:val="32"/>
          <w:lang w:eastAsia="zh-CN"/>
          <w:szCs w:val="32"/>
          <w:rFonts w:ascii="仿宋_GB2312" w:hAnsi="仿宋_GB2312" w:eastAsia="仿宋_GB2312" w:cs="仿宋_GB2312" w:hint="eastAsia"/>
        </w:rPr>
        <w:t>（二）评审委员会认为报价人的报价明显低于其他通过符合性审查报价人的报价，有可能影响产品质量或者不能诚信履约的，应当要求其在合理的时间内提供书面说明，必要时提交相关证明材料；报价人不能证明其报价合理性的，评审委员会应当将其作为无效报价处理。</w:t>
      </w:r>
    </w:p>
    <w:p w14:paraId="4732AE10">
      <w:pPr>
        <w:widowControl w:val="0"/>
        <w:keepNext w:val="0"/>
        <w:keepLines w:val="0"/>
        <w:pageBreakBefore w:val="0"/>
        <w:wordWrap w:val="1"/>
        <w:overflowPunct w:val="1"/>
        <w:topLinePunct w:val="0"/>
        <w:kinsoku w:val="1"/>
        <w:autoSpaceDE w:val="1"/>
        <w:autoSpaceDN w:val="1"/>
        <w:bidi w:val="0"/>
        <w:adjustRightInd w:val="0"/>
        <w:snapToGrid w:val="1"/>
        <w:jc w:val="left"/>
        <w:spacing w:line="560" w:lineRule="exact"/>
        <w:ind w:firstLine="640" w:firstLineChars="200"/>
        <w:rPr>
          <w:b w:val="0"/>
          <w:sz w:val="32"/>
          <w:lang w:eastAsia="zh-CN"/>
          <w:bCs/>
          <w:szCs w:val="32"/>
          <w:rFonts w:ascii="仿宋_GB2312" w:hAnsi="仿宋_GB2312" w:eastAsia="仿宋_GB2312" w:cs="仿宋_GB2312" w:hint="eastAsia"/>
        </w:rPr>
        <w:sectPr>
          <w:footerReference r:id="rId5" w:type="default"/>
          <w:docGrid w:type="lines" w:linePitch="312" w:charSpace="0"/>
          <w:pgSz w:w="11906" w:h="16838"/>
          <w:pgMar w:top="1304" w:right="1474" w:bottom="1304" w:left="1587" w:header="851" w:footer="992" w:gutter="0"/>
          <w:pgNumType w:fmt="decimal" w:start="1"/>
          <w:pgNumType w:fmt="decimal" w:start="1"/>
          <w:cols w:space="720" w:num="1"/>
        </w:sectPr>
      </w:pPr>
      <w:r>
        <w:rPr>
          <w:b w:val="0"/>
          <w:sz w:val="32"/>
          <w:bCs w:val="0"/>
          <w:szCs w:val="32"/>
          <w:rFonts w:ascii="仿宋_GB2312" w:hAnsi="仿宋_GB2312" w:eastAsia="仿宋_GB2312" w:cs="仿宋_GB2312" w:hint="eastAsia"/>
        </w:rPr>
        <w:t>有效报价为：供应商的报价未超过最高控制价，且供应商符合参与条件</w:t>
      </w:r>
      <w:r>
        <w:rPr>
          <w:b w:val="0"/>
          <w:sz w:val="32"/>
          <w:lang w:eastAsia="zh-CN"/>
          <w:bCs w:val="0"/>
          <w:szCs w:val="32"/>
          <w:rFonts w:ascii="仿宋_GB2312" w:hAnsi="仿宋_GB2312" w:eastAsia="仿宋_GB2312" w:cs="仿宋_GB2312" w:hint="eastAsia"/>
        </w:rPr>
        <w:t>。</w:t>
      </w:r>
    </w:p>
    <w:p w14:paraId="5E36D56E">
      <w:pPr>
        <w:pStyle w:val="10"/>
        <w:ind w:firstLine="0" w:firstLineChars="0" w:left="0" w:leftChars="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附件2</w:t>
      </w:r>
    </w:p>
    <w:p w14:paraId="105450AB">
      <w:pPr>
        <w:jc w:val="center"/>
        <w:rPr>
          <w:b w:val="1"/>
          <w:sz w:val="36"/>
          <w:bCs/>
          <w:szCs w:val="36"/>
          <w:rFonts w:ascii="宋体" w:hAnsi="宋体"/>
        </w:rPr>
      </w:pPr>
      <w:r>
        <w:rPr>
          <w:b w:val="1"/>
          <w:sz w:val="32"/>
          <w:bCs/>
          <w:szCs w:val="32"/>
          <w:rFonts w:ascii="宋体" w:hAnsi="宋体" w:hint="eastAsia"/>
        </w:rPr>
        <w:t>自治区交通运输综合行政执法局执法装备（防护防爆装备类）购置项目</w:t>
      </w:r>
      <w:r>
        <w:rPr>
          <w:b w:val="1"/>
          <w:w w:val="95"/>
          <w:sz w:val="32"/>
          <w:bCs/>
          <w:szCs w:val="32"/>
          <w:rFonts w:ascii="宋体" w:hAnsi="宋体" w:hint="eastAsia"/>
        </w:rPr>
        <w:t>采购清单</w:t>
      </w:r>
    </w:p>
    <w:tbl>
      <w:tblPr>
        <w:tblStyle w:val="8"/>
        <w:tblW w:w="10730" w:type="dxa"/>
        <w:jc w:val="center"/>
        <w:tblLayout w:type="fixed"/>
        <w:tblCellMar>
          <w:top w:type="dxa" w:w="0.000000"/>
          <w:bottom w:type="dxa" w:w="0.000000"/>
          <w:left w:type="dxa" w:w="108.000000"/>
          <w:right w:type="dxa" w:w="108.000000"/>
        </w:tblCellMar>
      </w:tblPr>
      <w:tblGrid>
        <w:gridCol w:w="814.000000"/>
        <w:gridCol w:w="951.000000"/>
        <w:gridCol w:w="4550.000000"/>
        <w:gridCol w:w="709.000000"/>
        <w:gridCol w:w="851.000000"/>
        <w:gridCol w:w="992.000000"/>
        <w:gridCol w:w="1863.000000"/>
      </w:tblGrid>
      <w:tr w14:paraId="5821918C">
        <w:tblPrEx>
          <w:tblCellMar>
            <w:top w:type="dxa" w:w="0.000000"/>
            <w:bottom w:type="dxa" w:w="0.000000"/>
            <w:left w:type="dxa" w:w="108.000000"/>
            <w:right w:type="dxa" w:w="108.000000"/>
          </w:tblCellMar>
        </w:tblPrEx>
        <w:trPr>
          <w:trHeight w:val="1228" w:hRule="atLeast"/>
          <w:jc w:val="center"/>
        </w:trPr>
        <w:tc>
          <w:tcPr>
            <w:tcW w:w="10730" w:type="dxa"/>
            <w:gridSpan w:val="7"/>
            <w:vAlign w:val="center"/>
            <w:tcBorders>
              <w:top w:val="single" w:color="auto" w:sz="4" w:space="0"/>
              <w:left w:val="single" w:color="auto" w:sz="4" w:space="0"/>
              <w:bottom w:val="single" w:color="auto" w:sz="4" w:space="0"/>
              <w:right w:val="single" w:color="auto" w:sz="4" w:space="0"/>
            </w:tcBorders>
            <w:shd w:val="clear" w:color="auto" w:fill="auto"/>
          </w:tcPr>
          <w:p w14:paraId="357E5A5D">
            <w:pPr>
              <w:widowControl w:val="1"/>
              <w:pageBreakBefore w:val="0"/>
              <w:wordWrap w:val="1"/>
              <w:topLinePunct w:val="0"/>
              <w:kinsoku w:val="1"/>
              <w:bidi w:val="0"/>
              <w:snapToGrid w:val="1"/>
              <w:jc w:val="left"/>
              <w:spacing w:line="340" w:lineRule="exact"/>
              <w:rPr>
                <w:b w:val="1"/>
                <w:sz w:val="28"/>
                <w:lang w:eastAsia="zh-CN"/>
                <w:bCs/>
                <w:kern w:val="0"/>
                <w:szCs w:val="28"/>
                <w:rFonts w:ascii="宋体" w:hAnsi="宋体" w:eastAsia="仿宋_GB2312" w:cs="宋体" w:hint="eastAsia"/>
              </w:rPr>
            </w:pPr>
            <w:r>
              <w:rPr>
                <w:b w:val="0"/>
                <w:sz w:val="24"/>
                <w:bCs w:val="0"/>
                <w:kern w:val="0"/>
                <w:szCs w:val="24"/>
                <w:rFonts w:ascii="仿宋_GB2312" w:hAnsi="仿宋_GB2312" w:eastAsia="仿宋_GB2312" w:cs="仿宋_GB2312" w:hint="eastAsia"/>
              </w:rPr>
              <w:t>本表标注▲</w:t>
            </w:r>
            <w:r>
              <w:rPr>
                <w:b w:val="0"/>
                <w:sz w:val="24"/>
                <w:lang w:eastAsia="zh-CN"/>
                <w:bCs w:val="0"/>
                <w:kern w:val="0"/>
                <w:szCs w:val="24"/>
                <w:rFonts w:ascii="仿宋_GB2312" w:hAnsi="仿宋_GB2312" w:eastAsia="仿宋_GB2312" w:cs="仿宋_GB2312" w:hint="eastAsia"/>
              </w:rPr>
              <w:t>、</w:t>
            </w:r>
            <w:r>
              <w:rPr>
                <w:b w:val="0"/>
                <w:color w:val="auto"/>
                <w:sz w:val="24"/>
                <w:bCs w:val="0"/>
                <w:szCs w:val="24"/>
                <w:rFonts w:ascii="仿宋_GB2312" w:hAnsi="仿宋_GB2312" w:eastAsia="仿宋_GB2312" w:cs="仿宋_GB2312" w:hint="eastAsia"/>
              </w:rPr>
              <w:t>★</w:t>
            </w:r>
            <w:r>
              <w:rPr>
                <w:b w:val="0"/>
                <w:color w:val="auto"/>
                <w:sz w:val="24"/>
                <w:lang w:val="en-US" w:eastAsia="zh-CN"/>
                <w:bCs w:val="0"/>
                <w:szCs w:val="24"/>
                <w:rFonts w:ascii="仿宋_GB2312" w:hAnsi="仿宋_GB2312" w:eastAsia="仿宋_GB2312" w:cs="仿宋_GB2312" w:hint="eastAsia"/>
              </w:rPr>
              <w:t>符号</w:t>
            </w:r>
            <w:r>
              <w:rPr>
                <w:b w:val="0"/>
                <w:sz w:val="24"/>
                <w:bCs w:val="0"/>
                <w:kern w:val="0"/>
                <w:szCs w:val="24"/>
                <w:rFonts w:ascii="仿宋_GB2312" w:hAnsi="仿宋_GB2312" w:eastAsia="仿宋_GB2312" w:cs="仿宋_GB2312" w:hint="eastAsia"/>
              </w:rPr>
              <w:t>的</w:t>
            </w:r>
            <w:r>
              <w:rPr>
                <w:b w:val="0"/>
                <w:sz w:val="24"/>
                <w:lang w:val="en-US" w:eastAsia="zh-CN"/>
                <w:bCs w:val="0"/>
                <w:kern w:val="0"/>
                <w:szCs w:val="24"/>
                <w:rFonts w:ascii="仿宋_GB2312" w:hAnsi="仿宋_GB2312" w:eastAsia="仿宋_GB2312" w:cs="仿宋_GB2312" w:hint="eastAsia"/>
              </w:rPr>
              <w:t>指标参数</w:t>
            </w:r>
            <w:r>
              <w:rPr>
                <w:b w:val="0"/>
                <w:sz w:val="24"/>
                <w:bCs w:val="0"/>
                <w:kern w:val="0"/>
                <w:szCs w:val="24"/>
                <w:rFonts w:ascii="仿宋_GB2312" w:hAnsi="仿宋_GB2312" w:eastAsia="仿宋_GB2312" w:cs="仿宋_GB2312" w:hint="eastAsia"/>
              </w:rPr>
              <w:t>为</w:t>
            </w:r>
            <w:r>
              <w:rPr>
                <w:color w:val="auto"/>
                <w:sz w:val="24"/>
                <w:lang w:val="en-US" w:eastAsia="zh-CN"/>
                <w:szCs w:val="24"/>
                <w:rFonts w:ascii="仿宋_GB2312" w:hAnsi="仿宋_GB2312" w:eastAsia="仿宋_GB2312" w:cs="仿宋_GB2312" w:hint="eastAsia"/>
              </w:rPr>
              <w:t>实质性核心技术参数</w:t>
            </w:r>
            <w:r>
              <w:rPr>
                <w:b w:val="0"/>
                <w:sz w:val="24"/>
                <w:lang w:val="en-US" w:eastAsia="zh-CN"/>
                <w:bCs w:val="0"/>
                <w:kern w:val="0"/>
                <w:szCs w:val="24"/>
                <w:rFonts w:ascii="仿宋_GB2312" w:hAnsi="仿宋_GB2312" w:eastAsia="仿宋_GB2312" w:cs="仿宋_GB2312" w:hint="eastAsia"/>
              </w:rPr>
              <w:t>需求</w:t>
            </w:r>
            <w:r>
              <w:rPr>
                <w:b w:val="0"/>
                <w:sz w:val="24"/>
                <w:bCs w:val="0"/>
                <w:kern w:val="0"/>
                <w:szCs w:val="24"/>
                <w:rFonts w:ascii="仿宋_GB2312" w:hAnsi="仿宋_GB2312" w:eastAsia="仿宋_GB2312" w:cs="仿宋_GB2312" w:hint="eastAsia"/>
              </w:rPr>
              <w:t>，供应商</w:t>
            </w:r>
            <w:r>
              <w:rPr>
                <w:b w:val="0"/>
                <w:sz w:val="24"/>
                <w:lang w:val="en-US" w:eastAsia="zh-CN"/>
                <w:bCs w:val="0"/>
                <w:kern w:val="0"/>
                <w:szCs w:val="24"/>
                <w:rFonts w:ascii="仿宋_GB2312" w:hAnsi="仿宋_GB2312" w:eastAsia="仿宋_GB2312" w:cs="仿宋_GB2312" w:hint="eastAsia"/>
              </w:rPr>
              <w:t>需提供有</w:t>
            </w:r>
            <w:r>
              <w:rPr>
                <w:color w:val="auto"/>
                <w:sz w:val="24"/>
                <w:lang w:eastAsia="zh-CN"/>
                <w:szCs w:val="24"/>
                <w:rFonts w:ascii="仿宋_GB2312" w:hAnsi="仿宋_GB2312" w:eastAsia="仿宋_GB2312" w:cs="仿宋_GB2312" w:hint="eastAsia"/>
              </w:rPr>
              <w:t>CMA/CNAS/CAL之一标志的</w:t>
            </w:r>
            <w:r>
              <w:rPr>
                <w:color w:val="auto"/>
                <w:sz w:val="24"/>
                <w:lang w:eastAsia="zh-CN"/>
                <w:szCs w:val="24"/>
                <w:rFonts w:ascii="仿宋_GB2312" w:hAnsi="仿宋_GB2312" w:eastAsia="仿宋_GB2312" w:cs="仿宋_GB2312" w:hint="eastAsia"/>
              </w:rPr>
              <w:t>国家认可的第三方产品质量监督检验中心的货物质量检验报告</w:t>
            </w:r>
            <w:r>
              <w:rPr>
                <w:color w:val="auto"/>
                <w:sz w:val="24"/>
                <w:lang w:val="en-US" w:eastAsia="zh-CN"/>
                <w:szCs w:val="24"/>
                <w:rFonts w:ascii="仿宋_GB2312" w:hAnsi="仿宋_GB2312" w:eastAsia="仿宋_GB2312" w:cs="仿宋_GB2312" w:hint="eastAsia"/>
              </w:rPr>
              <w:t>予以证明，</w:t>
            </w:r>
            <w:r>
              <w:rPr>
                <w:color w:val="auto"/>
                <w:sz w:val="24"/>
                <w:rFonts w:ascii="仿宋_GB2312" w:hAnsi="仿宋_GB2312" w:eastAsia="仿宋_GB2312" w:cs="仿宋_GB2312" w:hint="eastAsia"/>
              </w:rPr>
              <w:t>确保所有技术参数、功能均可满足采购文件要求</w:t>
            </w:r>
            <w:r>
              <w:rPr>
                <w:color w:val="auto"/>
                <w:sz w:val="24"/>
                <w:lang w:eastAsia="zh-CN"/>
                <w:rFonts w:ascii="仿宋_GB2312" w:hAnsi="仿宋_GB2312" w:eastAsia="仿宋_GB2312" w:cs="仿宋_GB2312" w:hint="eastAsia"/>
              </w:rPr>
              <w:t>。</w:t>
            </w:r>
          </w:p>
        </w:tc>
      </w:tr>
      <w:tr w14:paraId="3A43C618">
        <w:tblPrEx>
          <w:tblCellMar>
            <w:top w:type="dxa" w:w="0.000000"/>
            <w:bottom w:type="dxa" w:w="0.000000"/>
            <w:left w:type="dxa" w:w="108.000000"/>
            <w:right w:type="dxa" w:w="108.000000"/>
          </w:tblCellMar>
        </w:tblPrEx>
        <w:trPr>
          <w:trHeight w:val="624" w:hRule="atLeast"/>
          <w:jc w:val="center"/>
        </w:trPr>
        <w:tc>
          <w:tcPr>
            <w:tcW w:w="814" w:type="dxa"/>
            <w:vAlign w:val="center"/>
            <w:tcBorders>
              <w:top w:val="single" w:color="auto" w:sz="4" w:space="0"/>
              <w:left w:val="single" w:color="auto" w:sz="4" w:space="0"/>
              <w:bottom w:val="single" w:color="auto" w:sz="4" w:space="0"/>
              <w:right w:val="single" w:color="auto" w:sz="4" w:space="0"/>
            </w:tcBorders>
          </w:tcPr>
          <w:p w14:paraId="14550941">
            <w:pPr>
              <w:widowControl w:val="1"/>
              <w:pageBreakBefore w:val="0"/>
              <w:wordWrap w:val="1"/>
              <w:overflowPunct w:val="1"/>
              <w:topLinePunct w:val="0"/>
              <w:kinsoku w:val="1"/>
              <w:autoSpaceDE w:val="1"/>
              <w:autoSpaceDN w:val="1"/>
              <w:bidi w:val="0"/>
              <w:adjustRightInd w:val="1"/>
              <w:snapToGrid w:val="1"/>
              <w:jc w:val="left"/>
              <w:spacing w:line="340" w:lineRule="exact"/>
              <w:rPr>
                <w:b w:val="1"/>
                <w:sz w:val="28"/>
                <w:bCs/>
                <w:kern w:val="0"/>
                <w:szCs w:val="28"/>
                <w:rFonts w:ascii="宋体" w:hAnsi="宋体" w:cs="宋体"/>
              </w:rPr>
            </w:pPr>
            <w:r>
              <w:rPr>
                <w:b w:val="1"/>
                <w:sz w:val="28"/>
                <w:bCs/>
                <w:kern w:val="0"/>
                <w:szCs w:val="28"/>
                <w:rFonts w:ascii="宋体" w:hAnsi="宋体" w:cs="宋体" w:hint="eastAsia"/>
              </w:rPr>
              <w:t>序号</w:t>
            </w:r>
          </w:p>
        </w:tc>
        <w:tc>
          <w:tcPr>
            <w:tcW w:w="951" w:type="dxa"/>
            <w:vAlign w:val="center"/>
            <w:tcBorders>
              <w:top w:val="single" w:color="auto" w:sz="4" w:space="0"/>
              <w:left w:val="single" w:color="auto" w:sz="4" w:space="0"/>
              <w:bottom w:val="single" w:color="auto" w:sz="4" w:space="0"/>
              <w:right w:val="single" w:color="auto" w:sz="4" w:space="0"/>
            </w:tcBorders>
          </w:tcPr>
          <w:p w14:paraId="0793DD26">
            <w:pPr>
              <w:widowControl w:val="1"/>
              <w:pageBreakBefore w:val="0"/>
              <w:wordWrap w:val="1"/>
              <w:overflowPunct w:val="1"/>
              <w:topLinePunct w:val="0"/>
              <w:kinsoku w:val="1"/>
              <w:autoSpaceDE w:val="1"/>
              <w:autoSpaceDN w:val="1"/>
              <w:bidi w:val="0"/>
              <w:adjustRightInd w:val="1"/>
              <w:snapToGrid w:val="1"/>
              <w:jc w:val="left"/>
              <w:spacing w:line="340" w:lineRule="exact"/>
              <w:rPr>
                <w:b w:val="1"/>
                <w:sz w:val="28"/>
                <w:bCs/>
                <w:kern w:val="0"/>
                <w:szCs w:val="28"/>
                <w:rFonts w:ascii="宋体" w:hAnsi="宋体" w:cs="宋体"/>
              </w:rPr>
            </w:pPr>
            <w:r>
              <w:rPr>
                <w:b w:val="1"/>
                <w:sz w:val="28"/>
                <w:bCs/>
                <w:kern w:val="0"/>
                <w:szCs w:val="28"/>
                <w:rFonts w:ascii="宋体" w:hAnsi="宋体" w:cs="宋体" w:hint="eastAsia"/>
              </w:rPr>
              <w:t>名称</w:t>
            </w:r>
          </w:p>
        </w:tc>
        <w:tc>
          <w:tcPr>
            <w:tcW w:w="4550" w:type="dxa"/>
            <w:vAlign w:val="center"/>
            <w:tcBorders>
              <w:top w:val="single" w:color="auto" w:sz="4" w:space="0"/>
              <w:left w:val="single" w:color="auto" w:sz="4" w:space="0"/>
              <w:bottom w:val="single" w:color="auto" w:sz="4" w:space="0"/>
              <w:right w:val="single" w:color="auto" w:sz="4" w:space="0"/>
            </w:tcBorders>
          </w:tcPr>
          <w:p w14:paraId="14ADE481">
            <w:pPr>
              <w:widowControl w:val="1"/>
              <w:pageBreakBefore w:val="0"/>
              <w:wordWrap w:val="1"/>
              <w:overflowPunct w:val="1"/>
              <w:topLinePunct w:val="0"/>
              <w:kinsoku w:val="1"/>
              <w:autoSpaceDE w:val="1"/>
              <w:autoSpaceDN w:val="1"/>
              <w:bidi w:val="0"/>
              <w:adjustRightInd w:val="1"/>
              <w:snapToGrid w:val="1"/>
              <w:jc w:val="left"/>
              <w:spacing w:line="340" w:lineRule="exact"/>
              <w:ind w:firstLine="1968" w:firstLineChars="700"/>
              <w:rPr>
                <w:b w:val="1"/>
                <w:sz w:val="28"/>
                <w:bCs/>
                <w:kern w:val="0"/>
                <w:szCs w:val="28"/>
                <w:rFonts w:ascii="宋体" w:hAnsi="宋体" w:cs="宋体"/>
              </w:rPr>
            </w:pPr>
            <w:r>
              <w:rPr>
                <w:b w:val="1"/>
                <w:sz w:val="28"/>
                <w:bCs/>
                <w:kern w:val="0"/>
                <w:szCs w:val="28"/>
                <w:rFonts w:ascii="宋体" w:hAnsi="宋体" w:cs="宋体" w:hint="eastAsia"/>
              </w:rPr>
              <w:t>核心需求</w:t>
            </w:r>
          </w:p>
        </w:tc>
        <w:tc>
          <w:tcPr>
            <w:tcW w:w="709" w:type="dxa"/>
            <w:vAlign w:val="center"/>
            <w:tcBorders>
              <w:top w:val="single" w:color="auto" w:sz="4" w:space="0"/>
              <w:left w:val="single" w:color="auto" w:sz="4" w:space="0"/>
              <w:bottom w:val="single" w:color="auto" w:sz="4" w:space="0"/>
              <w:right w:val="single" w:color="auto" w:sz="4" w:space="0"/>
            </w:tcBorders>
          </w:tcPr>
          <w:p w14:paraId="73C16EB7">
            <w:pPr>
              <w:widowControl w:val="1"/>
              <w:pageBreakBefore w:val="0"/>
              <w:wordWrap w:val="1"/>
              <w:overflowPunct w:val="1"/>
              <w:topLinePunct w:val="0"/>
              <w:kinsoku w:val="1"/>
              <w:autoSpaceDE w:val="1"/>
              <w:autoSpaceDN w:val="1"/>
              <w:bidi w:val="0"/>
              <w:adjustRightInd w:val="1"/>
              <w:snapToGrid w:val="1"/>
              <w:jc w:val="left"/>
              <w:spacing w:line="340" w:lineRule="exact"/>
              <w:rPr>
                <w:b w:val="1"/>
                <w:sz w:val="28"/>
                <w:bCs/>
                <w:kern w:val="0"/>
                <w:szCs w:val="28"/>
                <w:rFonts w:ascii="宋体" w:hAnsi="宋体" w:cs="宋体"/>
              </w:rPr>
            </w:pPr>
            <w:r>
              <w:rPr>
                <w:b w:val="1"/>
                <w:sz w:val="28"/>
                <w:bCs/>
                <w:kern w:val="0"/>
                <w:szCs w:val="28"/>
                <w:rFonts w:ascii="宋体" w:hAnsi="宋体" w:cs="宋体" w:hint="eastAsia"/>
              </w:rPr>
              <w:t>数量</w:t>
            </w:r>
          </w:p>
        </w:tc>
        <w:tc>
          <w:tcPr>
            <w:tcW w:w="851" w:type="dxa"/>
            <w:vAlign w:val="center"/>
            <w:tcBorders>
              <w:top w:val="single" w:color="auto" w:sz="4" w:space="0"/>
              <w:left w:val="single" w:color="auto" w:sz="4" w:space="0"/>
              <w:bottom w:val="single" w:color="auto" w:sz="4" w:space="0"/>
              <w:right w:val="single" w:color="auto" w:sz="4" w:space="0"/>
            </w:tcBorders>
          </w:tcPr>
          <w:p w14:paraId="464BA026">
            <w:pPr>
              <w:widowControl w:val="1"/>
              <w:pageBreakBefore w:val="0"/>
              <w:wordWrap w:val="1"/>
              <w:overflowPunct w:val="1"/>
              <w:topLinePunct w:val="0"/>
              <w:kinsoku w:val="1"/>
              <w:autoSpaceDE w:val="1"/>
              <w:autoSpaceDN w:val="1"/>
              <w:bidi w:val="0"/>
              <w:adjustRightInd w:val="1"/>
              <w:snapToGrid w:val="1"/>
              <w:jc w:val="left"/>
              <w:spacing w:line="340" w:lineRule="exact"/>
              <w:rPr>
                <w:b w:val="1"/>
                <w:sz w:val="28"/>
                <w:bCs/>
                <w:kern w:val="0"/>
                <w:szCs w:val="28"/>
                <w:rFonts w:ascii="宋体" w:hAnsi="宋体" w:cs="宋体"/>
              </w:rPr>
            </w:pPr>
            <w:r>
              <w:rPr>
                <w:b w:val="1"/>
                <w:sz w:val="28"/>
                <w:bCs/>
                <w:kern w:val="0"/>
                <w:szCs w:val="28"/>
                <w:rFonts w:ascii="宋体" w:hAnsi="宋体" w:cs="宋体" w:hint="eastAsia"/>
              </w:rPr>
              <w:t>单价(元)</w:t>
            </w:r>
          </w:p>
        </w:tc>
        <w:tc>
          <w:tcPr>
            <w:tcW w:w="992" w:type="dxa"/>
            <w:vAlign w:val="center"/>
            <w:tcBorders>
              <w:top w:val="single" w:color="auto" w:sz="4" w:space="0"/>
              <w:left w:val="single" w:color="auto" w:sz="4" w:space="0"/>
              <w:bottom w:val="single" w:color="auto" w:sz="4" w:space="0"/>
              <w:right w:val="single" w:color="auto" w:sz="4" w:space="0"/>
            </w:tcBorders>
          </w:tcPr>
          <w:p w14:paraId="150921C2">
            <w:pPr>
              <w:widowControl w:val="1"/>
              <w:pageBreakBefore w:val="0"/>
              <w:wordWrap w:val="1"/>
              <w:overflowPunct w:val="1"/>
              <w:topLinePunct w:val="0"/>
              <w:kinsoku w:val="1"/>
              <w:autoSpaceDE w:val="1"/>
              <w:autoSpaceDN w:val="1"/>
              <w:bidi w:val="0"/>
              <w:adjustRightInd w:val="1"/>
              <w:snapToGrid w:val="1"/>
              <w:jc w:val="left"/>
              <w:spacing w:line="340" w:lineRule="exact"/>
              <w:rPr>
                <w:b w:val="1"/>
                <w:sz w:val="28"/>
                <w:bCs/>
                <w:kern w:val="0"/>
                <w:szCs w:val="28"/>
                <w:rFonts w:ascii="宋体" w:hAnsi="宋体" w:cs="宋体"/>
              </w:rPr>
            </w:pPr>
            <w:r>
              <w:rPr>
                <w:b w:val="1"/>
                <w:sz w:val="28"/>
                <w:bCs/>
                <w:kern w:val="0"/>
                <w:szCs w:val="28"/>
                <w:rFonts w:ascii="宋体" w:hAnsi="宋体" w:cs="宋体" w:hint="eastAsia"/>
              </w:rPr>
              <w:t>金额小计(元)</w:t>
            </w:r>
          </w:p>
        </w:tc>
        <w:tc>
          <w:tcPr>
            <w:tcW w:w="1863" w:type="dxa"/>
            <w:vAlign w:val="center"/>
            <w:tcBorders>
              <w:top w:val="single" w:color="auto" w:sz="4" w:space="0"/>
              <w:left w:val="single" w:color="auto" w:sz="4" w:space="0"/>
              <w:bottom w:val="single" w:color="auto" w:sz="4" w:space="0"/>
              <w:right w:val="single" w:color="auto" w:sz="4" w:space="0"/>
            </w:tcBorders>
          </w:tcPr>
          <w:p w14:paraId="37E04F93">
            <w:pPr>
              <w:widowControl w:val="1"/>
              <w:pageBreakBefore w:val="0"/>
              <w:wordWrap w:val="1"/>
              <w:overflowPunct w:val="1"/>
              <w:topLinePunct w:val="0"/>
              <w:kinsoku w:val="1"/>
              <w:autoSpaceDE w:val="1"/>
              <w:autoSpaceDN w:val="1"/>
              <w:bidi w:val="0"/>
              <w:adjustRightInd w:val="1"/>
              <w:snapToGrid w:val="1"/>
              <w:jc w:val="left"/>
              <w:spacing w:line="340" w:lineRule="exact"/>
              <w:ind w:firstLine="413" w:firstLineChars="147"/>
              <w:rPr>
                <w:b w:val="1"/>
                <w:sz w:val="28"/>
                <w:bCs/>
                <w:kern w:val="0"/>
                <w:szCs w:val="28"/>
                <w:rFonts w:ascii="宋体" w:hAnsi="宋体" w:cs="宋体"/>
              </w:rPr>
            </w:pPr>
            <w:r>
              <w:rPr>
                <w:b w:val="1"/>
                <w:sz w:val="28"/>
                <w:bCs/>
                <w:kern w:val="0"/>
                <w:szCs w:val="28"/>
                <w:rFonts w:ascii="宋体" w:hAnsi="宋体" w:cs="宋体" w:hint="eastAsia"/>
              </w:rPr>
              <w:t>图片</w:t>
            </w:r>
          </w:p>
        </w:tc>
      </w:tr>
      <w:tr w14:paraId="7146827B">
        <w:tblPrEx>
          <w:tblCellMar>
            <w:top w:type="dxa" w:w="0.000000"/>
            <w:bottom w:type="dxa" w:w="0.000000"/>
            <w:left w:type="dxa" w:w="108.000000"/>
            <w:right w:type="dxa" w:w="108.000000"/>
          </w:tblCellMar>
        </w:tblPrEx>
        <w:trPr>
          <w:trHeight w:val="1558" w:hRule="atLeast"/>
          <w:jc w:val="center"/>
        </w:trPr>
        <w:tc>
          <w:tcPr>
            <w:tcW w:w="814" w:type="dxa"/>
            <w:vAlign w:val="center"/>
            <w:tcBorders>
              <w:top w:val="single" w:color="auto" w:sz="4" w:space="0"/>
              <w:left w:val="single" w:color="auto" w:sz="4" w:space="0"/>
              <w:bottom w:val="single" w:color="auto" w:sz="4" w:space="0"/>
              <w:right w:val="single" w:color="auto" w:sz="4" w:space="0"/>
            </w:tcBorders>
            <w:shd w:val="clear" w:color="auto" w:fill="auto"/>
            <w:noWrap/>
          </w:tcPr>
          <w:p w14:paraId="7620F9E6">
            <w:pPr>
              <w:widowControl w:val="1"/>
              <w:pageBreakBefore w:val="0"/>
              <w:wordWrap w:val="1"/>
              <w:overflowPunct w:val="1"/>
              <w:topLinePunct w:val="0"/>
              <w:kinsoku w:val="1"/>
              <w:autoSpaceDE w:val="1"/>
              <w:autoSpaceDN w:val="1"/>
              <w:bidi w:val="0"/>
              <w:adjustRightInd w:val="1"/>
              <w:snapToGrid w:val="1"/>
              <w:jc w:val="center"/>
              <w:spacing w:line="340" w:lineRule="exact"/>
              <w:rPr>
                <w:kern w:val="0"/>
                <w:szCs w:val="21"/>
                <w:rFonts w:ascii="仿宋_GB2312" w:hAnsi="仿宋_GB2312" w:eastAsia="仿宋_GB2312" w:cs="仿宋_GB2312" w:hint="eastAsia"/>
              </w:rPr>
            </w:pPr>
            <w:r>
              <w:rPr>
                <w:kern w:val="0"/>
                <w:szCs w:val="21"/>
                <w:rFonts w:ascii="仿宋_GB2312" w:hAnsi="仿宋_GB2312" w:eastAsia="仿宋_GB2312" w:cs="仿宋_GB2312" w:hint="eastAsia"/>
              </w:rPr>
              <w:t>1</w:t>
            </w:r>
          </w:p>
        </w:tc>
        <w:tc>
          <w:tcPr>
            <w:tcW w:w="951" w:type="dxa"/>
            <w:vAlign w:val="center"/>
            <w:tcBorders>
              <w:top w:val="single" w:color="auto" w:sz="4" w:space="0"/>
              <w:left w:val="nil"/>
              <w:bottom w:val="single" w:color="auto" w:sz="4" w:space="0"/>
              <w:right w:val="single" w:color="auto" w:sz="4" w:space="0"/>
            </w:tcBorders>
            <w:shd w:val="clear" w:color="auto" w:fill="auto"/>
          </w:tcPr>
          <w:p w14:paraId="3B4EF70E">
            <w:pPr>
              <w:pageBreakBefore w:val="0"/>
              <w:wordWrap w:val="1"/>
              <w:overflowPunct w:val="1"/>
              <w:topLinePunct w:val="0"/>
              <w:kinsoku w:val="1"/>
              <w:autoSpaceDE w:val="1"/>
              <w:autoSpaceDN w:val="1"/>
              <w:bidi w:val="0"/>
              <w:adjustRightInd w:val="1"/>
              <w:snapToGrid w:val="1"/>
              <w:jc w:val="center"/>
              <w:spacing w:line="340" w:lineRule="exact"/>
              <w:rPr>
                <w:sz w:val="24"/>
                <w:rFonts w:ascii="仿宋_GB2312" w:hAnsi="仿宋_GB2312" w:eastAsia="仿宋_GB2312" w:cs="仿宋_GB2312" w:hint="eastAsia"/>
              </w:rPr>
            </w:pPr>
            <w:r>
              <w:rPr>
                <w:sz w:val="24"/>
                <w:rFonts w:ascii="仿宋_GB2312" w:hAnsi="仿宋_GB2312" w:eastAsia="仿宋_GB2312" w:cs="仿宋_GB2312" w:hint="eastAsia"/>
              </w:rPr>
              <w:t>高可视警示服</w:t>
            </w:r>
          </w:p>
          <w:p w14:paraId="0DD9F66B">
            <w:pPr>
              <w:pageBreakBefore w:val="0"/>
              <w:wordWrap w:val="1"/>
              <w:overflowPunct w:val="1"/>
              <w:topLinePunct w:val="0"/>
              <w:kinsoku w:val="1"/>
              <w:autoSpaceDE w:val="1"/>
              <w:autoSpaceDN w:val="1"/>
              <w:bidi w:val="0"/>
              <w:adjustRightInd w:val="1"/>
              <w:snapToGrid w:val="1"/>
              <w:jc w:val="center"/>
              <w:spacing w:line="340" w:lineRule="exact"/>
              <w:rPr>
                <w:sz w:val="24"/>
                <w:rFonts w:ascii="仿宋_GB2312" w:hAnsi="仿宋_GB2312" w:eastAsia="仿宋_GB2312" w:cs="仿宋_GB2312" w:hint="eastAsia"/>
              </w:rPr>
            </w:pPr>
            <w:r>
              <w:rPr>
                <w:sz w:val="24"/>
                <w:rFonts w:ascii="仿宋_GB2312" w:hAnsi="仿宋_GB2312" w:eastAsia="仿宋_GB2312" w:cs="仿宋_GB2312" w:hint="eastAsia"/>
              </w:rPr>
              <w:t>（拉链式反光背心轻薄透气款）</w:t>
            </w:r>
          </w:p>
        </w:tc>
        <w:tc>
          <w:tcPr>
            <w:tcW w:w="4550" w:type="dxa"/>
            <w:vAlign w:val="center"/>
            <w:tcBorders>
              <w:top w:val="single" w:color="auto" w:sz="4" w:space="0"/>
              <w:left w:val="nil"/>
              <w:bottom w:val="single" w:color="auto" w:sz="4" w:space="0"/>
              <w:right w:val="single" w:color="auto" w:sz="4" w:space="0"/>
            </w:tcBorders>
            <w:shd w:val="clear" w:color="auto" w:fill="auto"/>
          </w:tcPr>
          <w:p w14:paraId="2094F048">
            <w:pPr>
              <w:pageBreakBefore w:val="0"/>
              <w:wordWrap w:val="1"/>
              <w:overflowPunct w:val="1"/>
              <w:topLinePunct w:val="0"/>
              <w:kinsoku w:val="1"/>
              <w:autoSpaceDE w:val="1"/>
              <w:autoSpaceDN w:val="1"/>
              <w:bidi w:val="0"/>
              <w:adjustRightInd w:val="1"/>
              <w:snapToGrid w:val="1"/>
              <w:jc w:val="left"/>
              <w:numPr>
                <w:ilvl w:val="0"/>
                <w:numId w:val="4"/>
              </w:numPr>
              <w:spacing w:line="340" w:lineRule="exact"/>
              <w:rPr>
                <w:color w:val="auto"/>
                <w:sz w:val="24"/>
                <w:lang w:eastAsia="zh-CN"/>
                <w:rFonts w:ascii="仿宋_GB2312" w:hAnsi="仿宋_GB2312" w:eastAsia="仿宋_GB2312" w:cs="仿宋_GB2312" w:hint="eastAsia"/>
              </w:rPr>
            </w:pPr>
            <w:r>
              <w:rPr>
                <w:color w:val="auto"/>
                <w:sz w:val="24"/>
                <w:lang w:eastAsia="zh-CN"/>
                <w:rFonts w:ascii="仿宋_GB2312" w:hAnsi="仿宋_GB2312" w:eastAsia="仿宋_GB2312" w:cs="仿宋_GB2312" w:hint="eastAsia"/>
              </w:rPr>
              <w:t>基本要求</w:t>
            </w:r>
            <w:r>
              <w:rPr>
                <w:color w:val="auto"/>
                <w:sz w:val="24"/>
                <w:lang w:val="en-US" w:eastAsia="zh-CN"/>
                <w:rFonts w:ascii="仿宋_GB2312" w:hAnsi="仿宋_GB2312" w:eastAsia="仿宋_GB2312" w:cs="仿宋_GB2312" w:hint="eastAsia"/>
              </w:rPr>
              <w:t>:符合</w:t>
            </w:r>
            <w:r>
              <w:rPr>
                <w:color w:val="auto"/>
                <w:sz w:val="24"/>
                <w:rFonts w:ascii="仿宋_GB2312" w:hAnsi="仿宋_GB2312" w:eastAsia="仿宋_GB2312" w:cs="仿宋_GB2312" w:hint="eastAsia"/>
              </w:rPr>
              <w:t>《GA 446-2003警服反光背心》技术标准要求</w:t>
            </w:r>
            <w:r>
              <w:rPr>
                <w:color w:val="auto"/>
                <w:sz w:val="24"/>
                <w:lang w:eastAsia="zh-CN"/>
                <w:rFonts w:ascii="仿宋_GB2312" w:hAnsi="仿宋_GB2312" w:eastAsia="仿宋_GB2312" w:cs="仿宋_GB2312" w:hint="eastAsia"/>
              </w:rPr>
              <w:t>。</w:t>
            </w:r>
          </w:p>
          <w:p w14:paraId="6107A390">
            <w:pPr>
              <w:pageBreakBefore w:val="0"/>
              <w:wordWrap w:val="1"/>
              <w:overflowPunct w:val="1"/>
              <w:topLinePunct w:val="0"/>
              <w:kinsoku w:val="1"/>
              <w:autoSpaceDE w:val="1"/>
              <w:autoSpaceDN w:val="1"/>
              <w:bidi w:val="0"/>
              <w:adjustRightInd w:val="1"/>
              <w:snapToGrid w:val="1"/>
              <w:jc w:val="left"/>
              <w:numPr>
                <w:ilvl w:val="0"/>
                <w:numId w:val="4"/>
              </w:numPr>
              <w:spacing w:line="340" w:lineRule="exact"/>
              <w:ind w:firstLine="0" w:firstLineChars="0" w:left="0" w:leftChars="0"/>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外观要求：</w:t>
            </w:r>
          </w:p>
          <w:p w14:paraId="0379BD98">
            <w:pPr>
              <w:pageBreakBefore w:val="0"/>
              <w:wordWrap w:val="1"/>
              <w:overflowPunct w:val="1"/>
              <w:topLinePunct w:val="0"/>
              <w:kinsoku w:val="1"/>
              <w:autoSpaceDE w:val="1"/>
              <w:autoSpaceDN w:val="1"/>
              <w:bidi w:val="0"/>
              <w:adjustRightInd w:val="1"/>
              <w:snapToGrid w:val="1"/>
              <w:jc w:val="left"/>
              <w:numPr>
                <w:ilvl w:val="0"/>
                <w:numId w:val="5"/>
              </w:numPr>
              <w:spacing w:line="340" w:lineRule="exact"/>
              <w:ind w:leftChars="0"/>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前后身需定制“交通运输执法”字样，反光背心外观颜色和字样符合JT410—2022第8章的规定；</w:t>
            </w:r>
          </w:p>
          <w:p w14:paraId="2CF8016E">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2、</w:t>
            </w:r>
            <w:r>
              <w:rPr>
                <w:color w:val="auto"/>
                <w:sz w:val="24"/>
                <w:lang w:eastAsia="zh-CN"/>
                <w:rFonts w:ascii="仿宋_GB2312" w:hAnsi="仿宋_GB2312" w:eastAsia="仿宋_GB2312" w:cs="仿宋_GB2312" w:hint="eastAsia"/>
              </w:rPr>
              <w:t>拉链：采用优质树脂拉链，铝质拉头，美观耐用；</w:t>
            </w:r>
          </w:p>
          <w:p w14:paraId="3F36C75F">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3、</w:t>
            </w:r>
            <w:r>
              <w:rPr>
                <w:color w:val="auto"/>
                <w:sz w:val="24"/>
                <w:lang w:eastAsia="zh-CN"/>
                <w:rFonts w:ascii="仿宋_GB2312" w:hAnsi="仿宋_GB2312" w:eastAsia="仿宋_GB2312" w:cs="仿宋_GB2312" w:hint="eastAsia"/>
              </w:rPr>
              <w:t>肩章：肩部魔术贴粘合设计，可穿肩章肩绊（需与我单位现用肩章尺寸匹配）。</w:t>
            </w:r>
          </w:p>
          <w:p w14:paraId="651127E5">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eastAsia="zh-CN"/>
                <w:rFonts w:ascii="仿宋_GB2312" w:hAnsi="仿宋_GB2312" w:eastAsia="仿宋_GB2312" w:cs="仿宋_GB2312" w:hint="eastAsia"/>
              </w:rPr>
              <w:t>粘扣：前胸左右两侧设计有粘扣，可以粘贴胸徽胸号；粘扣左右居中，与反光条带平行绱胸徽、胸号搭扣（需与我单位现用胸徽胸号尺寸匹配）；</w:t>
            </w:r>
          </w:p>
          <w:p w14:paraId="1CC161C1">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4、</w:t>
            </w:r>
            <w:r>
              <w:rPr>
                <w:color w:val="auto"/>
                <w:sz w:val="24"/>
                <w:lang w:eastAsia="zh-CN"/>
                <w:rFonts w:ascii="仿宋_GB2312" w:hAnsi="仿宋_GB2312" w:eastAsia="仿宋_GB2312" w:cs="仿宋_GB2312" w:hint="eastAsia"/>
              </w:rPr>
              <w:t>对讲机、</w:t>
            </w:r>
            <w:r>
              <w:rPr>
                <w:color w:val="auto"/>
                <w:sz w:val="24"/>
                <w:lang w:val="en-US" w:eastAsia="zh-CN"/>
                <w:rFonts w:ascii="仿宋_GB2312" w:hAnsi="仿宋_GB2312" w:eastAsia="仿宋_GB2312" w:cs="仿宋_GB2312" w:hint="eastAsia"/>
              </w:rPr>
              <w:t>执法记录仪</w:t>
            </w:r>
            <w:r>
              <w:rPr>
                <w:color w:val="auto"/>
                <w:sz w:val="24"/>
                <w:lang w:eastAsia="zh-CN"/>
                <w:rFonts w:ascii="仿宋_GB2312" w:hAnsi="仿宋_GB2312" w:eastAsia="仿宋_GB2312" w:cs="仿宋_GB2312" w:hint="eastAsia"/>
              </w:rPr>
              <w:t>：胸部左侧设计有对讲机包</w:t>
            </w:r>
            <w:r>
              <w:rPr>
                <w:color w:val="auto"/>
                <w:sz w:val="24"/>
                <w:lang w:val="en-US" w:eastAsia="zh-CN"/>
                <w:rFonts w:ascii="仿宋_GB2312" w:hAnsi="仿宋_GB2312" w:eastAsia="仿宋_GB2312" w:cs="仿宋_GB2312" w:hint="eastAsia"/>
              </w:rPr>
              <w:t>和执法记录仪挂扣</w:t>
            </w:r>
            <w:r>
              <w:rPr>
                <w:color w:val="auto"/>
                <w:sz w:val="24"/>
                <w:lang w:eastAsia="zh-CN"/>
                <w:rFonts w:ascii="仿宋_GB2312" w:hAnsi="仿宋_GB2312" w:eastAsia="仿宋_GB2312" w:cs="仿宋_GB2312" w:hint="eastAsia"/>
              </w:rPr>
              <w:t>，可以搭载对讲机等通讯设备；</w:t>
            </w:r>
          </w:p>
          <w:p w14:paraId="570A45B1">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5、</w:t>
            </w:r>
            <w:r>
              <w:rPr>
                <w:color w:val="auto"/>
                <w:sz w:val="24"/>
                <w:lang w:eastAsia="zh-CN"/>
                <w:rFonts w:ascii="仿宋_GB2312" w:hAnsi="仿宋_GB2312" w:eastAsia="仿宋_GB2312" w:cs="仿宋_GB2312" w:hint="eastAsia"/>
              </w:rPr>
              <w:t>口袋：胸部右侧及腰部两侧各有一个口袋，右胸有带盖口袋，采用魔术贴闭合，方便放置工作证等；腰部左右大口袋采用拉链贴闭合，可放置多种物品；</w:t>
            </w:r>
          </w:p>
          <w:p w14:paraId="7BD8A949">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6</w:t>
            </w:r>
            <w:r>
              <w:rPr>
                <w:color w:val="auto"/>
                <w:sz w:val="24"/>
                <w:lang w:eastAsia="zh-CN"/>
                <w:rFonts w:ascii="仿宋_GB2312" w:hAnsi="仿宋_GB2312" w:eastAsia="仿宋_GB2312" w:cs="仿宋_GB2312" w:hint="eastAsia"/>
              </w:rPr>
              <w:t>.文字标志：腹部及背部热熔反光字，美观醒目。</w:t>
            </w:r>
          </w:p>
          <w:p w14:paraId="2F9F6465">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三、材质要求：</w:t>
            </w:r>
          </w:p>
          <w:p w14:paraId="20EB5ED7">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1、</w:t>
            </w:r>
            <w:r>
              <w:rPr>
                <w:color w:val="auto"/>
                <w:sz w:val="24"/>
                <w:lang w:eastAsia="zh-CN"/>
                <w:rFonts w:ascii="仿宋_GB2312" w:hAnsi="仿宋_GB2312" w:eastAsia="仿宋_GB2312" w:cs="仿宋_GB2312" w:hint="eastAsia"/>
              </w:rPr>
              <w:t>反光</w:t>
            </w:r>
            <w:r>
              <w:rPr>
                <w:color w:val="auto"/>
                <w:sz w:val="24"/>
                <w:lang w:val="en-US" w:eastAsia="zh-CN"/>
                <w:rFonts w:ascii="仿宋_GB2312" w:hAnsi="仿宋_GB2312" w:eastAsia="仿宋_GB2312" w:cs="仿宋_GB2312" w:hint="eastAsia"/>
              </w:rPr>
              <w:t>材料</w:t>
            </w:r>
            <w:r>
              <w:rPr>
                <w:color w:val="auto"/>
                <w:sz w:val="24"/>
                <w:lang w:eastAsia="zh-CN"/>
                <w:rFonts w:ascii="仿宋_GB2312" w:hAnsi="仿宋_GB2312" w:eastAsia="仿宋_GB2312" w:cs="仿宋_GB2312" w:hint="eastAsia"/>
              </w:rPr>
              <w:t>：PVC高亮反光条，反光条热压上去，色泽鲜艳、耐腐蚀、牢固耐用等特点，反光性能好；</w:t>
            </w:r>
          </w:p>
          <w:p w14:paraId="098C0855">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2</w:t>
            </w: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背心</w:t>
            </w:r>
            <w:r>
              <w:rPr>
                <w:color w:val="auto"/>
                <w:sz w:val="24"/>
                <w:rFonts w:ascii="仿宋_GB2312" w:hAnsi="仿宋_GB2312" w:eastAsia="仿宋_GB2312" w:cs="仿宋_GB2312" w:hint="eastAsia"/>
              </w:rPr>
              <w:t>材质：反光背心网面为荧光绿涤纶，质量为(130+10)g/㎡</w:t>
            </w:r>
            <w:r>
              <w:rPr>
                <w:color w:val="auto"/>
                <w:sz w:val="24"/>
                <w:lang w:eastAsia="zh-CN"/>
                <w:rFonts w:ascii="仿宋_GB2312" w:hAnsi="仿宋_GB2312" w:eastAsia="仿宋_GB2312" w:cs="仿宋_GB2312" w:hint="eastAsia"/>
              </w:rPr>
              <w:t>；</w:t>
            </w:r>
          </w:p>
          <w:p w14:paraId="614A4F1D">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3</w:t>
            </w:r>
            <w:r>
              <w:rPr>
                <w:color w:val="auto"/>
                <w:sz w:val="24"/>
                <w:rFonts w:ascii="仿宋_GB2312" w:hAnsi="仿宋_GB2312" w:eastAsia="仿宋_GB2312" w:cs="仿宋_GB2312" w:hint="eastAsia"/>
              </w:rPr>
              <w:t>、网眼密度：直向：（20±2）眼/5cm ，横向：（15±2）眼/5cm</w:t>
            </w:r>
            <w:r>
              <w:rPr>
                <w:color w:val="auto"/>
                <w:sz w:val="24"/>
                <w:lang w:eastAsia="zh-CN"/>
                <w:rFonts w:ascii="仿宋_GB2312" w:hAnsi="仿宋_GB2312" w:eastAsia="仿宋_GB2312" w:cs="仿宋_GB2312" w:hint="eastAsia"/>
              </w:rPr>
              <w:t>；</w:t>
            </w:r>
          </w:p>
          <w:p w14:paraId="1BAA64AD">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四、</w:t>
            </w:r>
            <w:r>
              <w:rPr>
                <w:color w:val="auto"/>
                <w:sz w:val="24"/>
                <w:lang w:eastAsia="zh-CN"/>
                <w:rFonts w:ascii="仿宋_GB2312" w:hAnsi="仿宋_GB2312" w:eastAsia="仿宋_GB2312" w:cs="仿宋_GB2312" w:hint="eastAsia"/>
              </w:rPr>
              <w:t>款式</w:t>
            </w:r>
            <w:r>
              <w:rPr>
                <w:color w:val="auto"/>
                <w:sz w:val="24"/>
                <w:lang w:val="en-US" w:eastAsia="zh-CN"/>
                <w:rFonts w:ascii="仿宋_GB2312" w:hAnsi="仿宋_GB2312" w:eastAsia="仿宋_GB2312" w:cs="仿宋_GB2312" w:hint="eastAsia"/>
              </w:rPr>
              <w:t>要求</w:t>
            </w:r>
            <w:r>
              <w:rPr>
                <w:color w:val="auto"/>
                <w:sz w:val="24"/>
                <w:lang w:eastAsia="zh-CN"/>
                <w:rFonts w:ascii="仿宋_GB2312" w:hAnsi="仿宋_GB2312" w:eastAsia="仿宋_GB2312" w:cs="仿宋_GB2312" w:hint="eastAsia"/>
              </w:rPr>
              <w:t>：</w:t>
            </w:r>
            <w:r>
              <w:rPr>
                <w:color w:val="auto"/>
                <w:sz w:val="24"/>
                <w:rFonts w:ascii="仿宋_GB2312" w:hAnsi="仿宋_GB2312" w:eastAsia="仿宋_GB2312" w:cs="仿宋_GB2312" w:hint="eastAsia"/>
              </w:rPr>
              <w:t>前开襟马甲式样，用拉链拉合，前后身分别具有横向反光条带；肩部及腰部为可调节设计，可自由调节大小，穿着更贴身</w:t>
            </w:r>
            <w:r>
              <w:rPr>
                <w:color w:val="auto"/>
                <w:sz w:val="24"/>
                <w:lang w:eastAsia="zh-CN"/>
                <w:rFonts w:ascii="仿宋_GB2312" w:hAnsi="仿宋_GB2312" w:eastAsia="仿宋_GB2312" w:cs="仿宋_GB2312" w:hint="eastAsia"/>
              </w:rPr>
              <w:t>。</w:t>
            </w:r>
          </w:p>
          <w:p w14:paraId="1B0364CC">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五、性能要求：</w:t>
            </w:r>
          </w:p>
          <w:p w14:paraId="0C5B2FE2">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1</w:t>
            </w:r>
            <w:r>
              <w:rPr>
                <w:color w:val="auto"/>
                <w:sz w:val="24"/>
                <w:rFonts w:ascii="仿宋_GB2312" w:hAnsi="仿宋_GB2312" w:eastAsia="仿宋_GB2312" w:cs="仿宋_GB2312" w:hint="eastAsia"/>
              </w:rPr>
              <w:t>、顶破强力：≥200N</w:t>
            </w:r>
            <w:r>
              <w:rPr>
                <w:color w:val="auto"/>
                <w:sz w:val="24"/>
                <w:lang w:eastAsia="zh-CN"/>
                <w:rFonts w:ascii="仿宋_GB2312" w:hAnsi="仿宋_GB2312" w:eastAsia="仿宋_GB2312" w:cs="仿宋_GB2312" w:hint="eastAsia"/>
              </w:rPr>
              <w:t>；</w:t>
            </w:r>
          </w:p>
          <w:p w14:paraId="14AA9732">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2</w:t>
            </w:r>
            <w:r>
              <w:rPr>
                <w:color w:val="auto"/>
                <w:sz w:val="24"/>
                <w:rFonts w:ascii="仿宋_GB2312" w:hAnsi="仿宋_GB2312" w:eastAsia="仿宋_GB2312" w:cs="仿宋_GB2312" w:hint="eastAsia"/>
              </w:rPr>
              <w:t>、耐水洗色牢度：≥4级</w:t>
            </w:r>
            <w:r>
              <w:rPr>
                <w:color w:val="auto"/>
                <w:sz w:val="24"/>
                <w:lang w:eastAsia="zh-CN"/>
                <w:rFonts w:ascii="仿宋_GB2312" w:hAnsi="仿宋_GB2312" w:eastAsia="仿宋_GB2312" w:cs="仿宋_GB2312" w:hint="eastAsia"/>
              </w:rPr>
              <w:t>；</w:t>
            </w:r>
          </w:p>
          <w:p w14:paraId="37AC2CAA">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3</w:t>
            </w:r>
            <w:r>
              <w:rPr>
                <w:color w:val="auto"/>
                <w:sz w:val="24"/>
                <w:rFonts w:ascii="仿宋_GB2312" w:hAnsi="仿宋_GB2312" w:eastAsia="仿宋_GB2312" w:cs="仿宋_GB2312" w:hint="eastAsia"/>
              </w:rPr>
              <w:t>、耐摩擦色牢度：干摩≥4级；湿摩≥4级</w:t>
            </w:r>
            <w:r>
              <w:rPr>
                <w:color w:val="auto"/>
                <w:sz w:val="24"/>
                <w:lang w:eastAsia="zh-CN"/>
                <w:rFonts w:ascii="仿宋_GB2312" w:hAnsi="仿宋_GB2312" w:eastAsia="仿宋_GB2312" w:cs="仿宋_GB2312" w:hint="eastAsia"/>
              </w:rPr>
              <w:t>；</w:t>
            </w:r>
          </w:p>
          <w:p w14:paraId="6416FF46">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4</w:t>
            </w:r>
            <w:r>
              <w:rPr>
                <w:color w:val="auto"/>
                <w:sz w:val="24"/>
                <w:rFonts w:ascii="仿宋_GB2312" w:hAnsi="仿宋_GB2312" w:eastAsia="仿宋_GB2312" w:cs="仿宋_GB2312" w:hint="eastAsia"/>
              </w:rPr>
              <w:t>、耐汗渍色牢度：耐酸≥4级；耐碱≥4级</w:t>
            </w:r>
            <w:r>
              <w:rPr>
                <w:color w:val="auto"/>
                <w:sz w:val="24"/>
                <w:lang w:eastAsia="zh-CN"/>
                <w:rFonts w:ascii="仿宋_GB2312" w:hAnsi="仿宋_GB2312" w:eastAsia="仿宋_GB2312" w:cs="仿宋_GB2312" w:hint="eastAsia"/>
              </w:rPr>
              <w:t>；</w:t>
            </w:r>
          </w:p>
          <w:p w14:paraId="2693921E">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5</w:t>
            </w:r>
            <w:r>
              <w:rPr>
                <w:color w:val="auto"/>
                <w:sz w:val="24"/>
                <w:rFonts w:ascii="仿宋_GB2312" w:hAnsi="仿宋_GB2312" w:eastAsia="仿宋_GB2312" w:cs="仿宋_GB2312" w:hint="eastAsia"/>
              </w:rPr>
              <w:t>、反光性能：观察角12′，入射角5°条件下，反光带的逆反射系数≥500cd/lx.㎡</w:t>
            </w:r>
            <w:r>
              <w:rPr>
                <w:color w:val="auto"/>
                <w:sz w:val="24"/>
                <w:lang w:eastAsia="zh-CN"/>
                <w:rFonts w:ascii="仿宋_GB2312" w:hAnsi="仿宋_GB2312" w:eastAsia="仿宋_GB2312" w:cs="仿宋_GB2312" w:hint="eastAsia"/>
              </w:rPr>
              <w:t>；</w:t>
            </w:r>
          </w:p>
          <w:p w14:paraId="14E5DBCE">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6</w:t>
            </w:r>
            <w:r>
              <w:rPr>
                <w:color w:val="auto"/>
                <w:sz w:val="24"/>
                <w:rFonts w:ascii="仿宋_GB2312" w:hAnsi="仿宋_GB2312" w:eastAsia="仿宋_GB2312" w:cs="仿宋_GB2312" w:hint="eastAsia"/>
              </w:rPr>
              <w:t>、耐水洗性能：反光背心水洗 20次后应满足反光性能要求</w:t>
            </w:r>
            <w:r>
              <w:rPr>
                <w:color w:val="auto"/>
                <w:sz w:val="24"/>
                <w:lang w:eastAsia="zh-CN"/>
                <w:rFonts w:ascii="仿宋_GB2312" w:hAnsi="仿宋_GB2312" w:eastAsia="仿宋_GB2312" w:cs="仿宋_GB2312" w:hint="eastAsia"/>
              </w:rPr>
              <w:t>。</w:t>
            </w:r>
          </w:p>
          <w:p w14:paraId="5014C2FD">
            <w:pPr>
              <w:pageBreakBefore w:val="0"/>
              <w:wordWrap w:val="1"/>
              <w:overflowPunct w:val="1"/>
              <w:topLinePunct w:val="0"/>
              <w:kinsoku w:val="1"/>
              <w:autoSpaceDE w:val="1"/>
              <w:autoSpaceDN w:val="1"/>
              <w:bidi w:val="0"/>
              <w:adjustRightInd w:val="1"/>
              <w:snapToGrid w:val="1"/>
              <w:jc w:val="left"/>
              <w:numPr>
                <w:ilvl w:val="0"/>
                <w:numId w:val="0"/>
              </w:numPr>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六、</w:t>
            </w:r>
            <w:r>
              <w:rPr>
                <w:color w:val="auto"/>
                <w:sz w:val="24"/>
                <w:rFonts w:ascii="仿宋_GB2312" w:hAnsi="仿宋_GB2312" w:eastAsia="仿宋_GB2312" w:cs="仿宋_GB2312" w:hint="eastAsia"/>
              </w:rPr>
              <w:t>尺码</w:t>
            </w:r>
            <w:r>
              <w:rPr>
                <w:color w:val="auto"/>
                <w:sz w:val="24"/>
                <w:lang w:val="en-US" w:eastAsia="zh-CN"/>
                <w:rFonts w:ascii="仿宋_GB2312" w:hAnsi="仿宋_GB2312" w:eastAsia="仿宋_GB2312" w:cs="仿宋_GB2312" w:hint="eastAsia"/>
              </w:rPr>
              <w:t>要求：</w:t>
            </w:r>
            <w:r>
              <w:rPr>
                <w:color w:val="auto"/>
                <w:sz w:val="24"/>
                <w:rFonts w:ascii="仿宋_GB2312" w:hAnsi="仿宋_GB2312" w:eastAsia="仿宋_GB2312" w:cs="仿宋_GB2312" w:hint="eastAsia"/>
              </w:rPr>
              <w:t>165cm/170cm/175cm/180cm/185cm</w:t>
            </w:r>
            <w:r>
              <w:rPr>
                <w:color w:val="auto"/>
                <w:sz w:val="24"/>
                <w:lang w:eastAsia="zh-CN"/>
                <w:rFonts w:ascii="仿宋_GB2312" w:hAnsi="仿宋_GB2312" w:eastAsia="仿宋_GB2312" w:cs="仿宋_GB2312" w:hint="eastAsia"/>
              </w:rPr>
              <w:t>。</w:t>
            </w:r>
          </w:p>
          <w:p w14:paraId="69D3BB8F">
            <w:pPr>
              <w:pageBreakBefore w:val="0"/>
              <w:wordWrap w:val="1"/>
              <w:overflowPunct w:val="1"/>
              <w:topLinePunct w:val="0"/>
              <w:kinsoku w:val="1"/>
              <w:autoSpaceDE w:val="1"/>
              <w:autoSpaceDN w:val="1"/>
              <w:bidi w:val="0"/>
              <w:adjustRightInd w:val="1"/>
              <w:snapToGrid w:val="1"/>
              <w:jc w:val="left"/>
              <w:numPr>
                <w:ilvl w:val="0"/>
                <w:numId w:val="0"/>
              </w:numPr>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七、</w:t>
            </w:r>
            <w:r>
              <w:rPr>
                <w:color w:val="auto"/>
                <w:sz w:val="24"/>
                <w:rFonts w:ascii="仿宋_GB2312" w:hAnsi="仿宋_GB2312" w:eastAsia="仿宋_GB2312" w:cs="仿宋_GB2312" w:hint="eastAsia"/>
              </w:rPr>
              <w:t>货物免费保修期内，设备制造商要免费为设备及设备中包含的软硬件提供免费维护及升级的服务，需提供设备制造商书面承诺函(格式自定)并加盖设备制造商的公章</w:t>
            </w:r>
            <w:r>
              <w:rPr>
                <w:color w:val="auto"/>
                <w:sz w:val="24"/>
                <w:lang w:eastAsia="zh-CN"/>
                <w:rFonts w:ascii="仿宋_GB2312" w:hAnsi="仿宋_GB2312" w:eastAsia="仿宋_GB2312" w:cs="仿宋_GB2312" w:hint="eastAsia"/>
              </w:rPr>
              <w:t>。</w:t>
            </w:r>
          </w:p>
          <w:p w14:paraId="45F9F507">
            <w:pPr>
              <w:pageBreakBefore w:val="0"/>
              <w:wordWrap w:val="1"/>
              <w:overflowPunct w:val="1"/>
              <w:topLinePunct w:val="0"/>
              <w:kinsoku w:val="1"/>
              <w:autoSpaceDE w:val="1"/>
              <w:autoSpaceDN w:val="1"/>
              <w:bidi w:val="0"/>
              <w:adjustRightInd w:val="1"/>
              <w:snapToGrid w:val="1"/>
              <w:jc w:val="left"/>
              <w:numPr>
                <w:ilvl w:val="0"/>
                <w:numId w:val="0"/>
              </w:numPr>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八</w:t>
            </w:r>
            <w:r>
              <w:rPr>
                <w:color w:val="auto"/>
                <w:sz w:val="24"/>
                <w:rFonts w:ascii="仿宋_GB2312" w:hAnsi="仿宋_GB2312" w:eastAsia="仿宋_GB2312" w:cs="仿宋_GB2312" w:hint="eastAsia"/>
              </w:rPr>
              <w:t>、</w:t>
            </w:r>
            <w:r>
              <w:rPr>
                <w:color w:val="auto"/>
                <w:sz w:val="24"/>
                <w:lang w:val="en-US" w:eastAsia="zh-CN"/>
                <w:szCs w:val="24"/>
                <w:rFonts w:ascii="仿宋_GB2312" w:hAnsi="仿宋_GB2312" w:eastAsia="仿宋_GB2312" w:cs="仿宋_GB2312" w:hint="eastAsia"/>
              </w:rPr>
              <w:t>上述“</w:t>
            </w:r>
            <w:r>
              <w:rPr>
                <w:i w:val="0"/>
                <w:u w:val="none"/>
                <w:color w:val="auto"/>
                <w:sz w:val="24"/>
                <w:lang w:val="en-US" w:eastAsia="zh-CN" w:bidi="ar"/>
                <w:iCs w:val="0"/>
                <w:kern w:val="0"/>
                <w:szCs w:val="24"/>
                <w:rFonts w:ascii="仿宋_GB2312" w:hAnsi="仿宋_GB2312" w:eastAsia="仿宋_GB2312" w:cs="仿宋_GB2312" w:hint="eastAsia"/>
              </w:rPr>
              <w:t>▲</w:t>
            </w:r>
            <w:r>
              <w:rPr>
                <w:color w:val="auto"/>
                <w:sz w:val="24"/>
                <w:lang w:val="en-US" w:eastAsia="zh-CN"/>
                <w:szCs w:val="24"/>
                <w:rFonts w:ascii="仿宋_GB2312" w:hAnsi="仿宋_GB2312" w:eastAsia="仿宋_GB2312" w:cs="仿宋_GB2312" w:hint="eastAsia"/>
              </w:rPr>
              <w:t>”指标，竞标时需</w:t>
            </w:r>
            <w:r>
              <w:rPr>
                <w:color w:val="auto"/>
                <w:sz w:val="24"/>
                <w:szCs w:val="24"/>
                <w:rFonts w:ascii="仿宋_GB2312" w:hAnsi="仿宋_GB2312" w:eastAsia="仿宋_GB2312" w:cs="仿宋_GB2312" w:hint="eastAsia"/>
              </w:rPr>
              <w:t>提供公安部产品质量监督检验中心出具的产品检验报告</w:t>
            </w:r>
            <w:r>
              <w:rPr>
                <w:color w:val="auto"/>
                <w:sz w:val="24"/>
                <w:lang w:val="en-US" w:eastAsia="zh-CN"/>
                <w:szCs w:val="24"/>
                <w:rFonts w:ascii="仿宋_GB2312" w:hAnsi="仿宋_GB2312" w:eastAsia="仿宋_GB2312" w:cs="仿宋_GB2312" w:hint="eastAsia"/>
              </w:rPr>
              <w:t>原件扫描件</w:t>
            </w:r>
            <w:r>
              <w:rPr>
                <w:color w:val="auto"/>
                <w:sz w:val="24"/>
                <w:szCs w:val="24"/>
                <w:rFonts w:ascii="仿宋_GB2312" w:hAnsi="仿宋_GB2312" w:eastAsia="仿宋_GB2312" w:cs="仿宋_GB2312" w:hint="eastAsia"/>
              </w:rPr>
              <w:t>并加盖</w:t>
            </w:r>
            <w:r>
              <w:rPr>
                <w:color w:val="auto"/>
                <w:sz w:val="24"/>
                <w:lang w:val="en-US" w:eastAsia="zh-CN"/>
                <w:szCs w:val="24"/>
                <w:rFonts w:ascii="仿宋_GB2312" w:hAnsi="仿宋_GB2312" w:eastAsia="仿宋_GB2312" w:cs="仿宋_GB2312" w:hint="eastAsia"/>
              </w:rPr>
              <w:t>生产厂家及供应商</w:t>
            </w:r>
            <w:r>
              <w:rPr>
                <w:color w:val="auto"/>
                <w:sz w:val="24"/>
                <w:szCs w:val="24"/>
                <w:rFonts w:ascii="仿宋_GB2312" w:hAnsi="仿宋_GB2312" w:eastAsia="仿宋_GB2312" w:cs="仿宋_GB2312" w:hint="eastAsia"/>
              </w:rPr>
              <w:t>单位公章</w:t>
            </w:r>
            <w:r>
              <w:rPr>
                <w:color w:val="auto"/>
                <w:sz w:val="24"/>
                <w:lang w:val="en-US" w:eastAsia="zh-CN"/>
                <w:szCs w:val="24"/>
                <w:rFonts w:ascii="仿宋_GB2312" w:hAnsi="仿宋_GB2312" w:eastAsia="仿宋_GB2312" w:cs="仿宋_GB2312" w:hint="eastAsia"/>
              </w:rPr>
              <w:t>，同时提供原件核查，</w:t>
            </w:r>
            <w:r>
              <w:rPr>
                <w:color w:val="auto"/>
                <w:sz w:val="24"/>
                <w:rFonts w:ascii="仿宋_GB2312" w:hAnsi="仿宋_GB2312" w:eastAsia="仿宋_GB2312" w:cs="仿宋_GB2312" w:hint="eastAsia"/>
              </w:rPr>
              <w:t>确保所有技术参数、功能均可满足采购文件要求</w:t>
            </w:r>
            <w:r>
              <w:rPr>
                <w:color w:val="auto"/>
                <w:sz w:val="24"/>
                <w:lang w:eastAsia="zh-CN"/>
                <w:rFonts w:ascii="仿宋_GB2312" w:hAnsi="仿宋_GB2312" w:eastAsia="仿宋_GB2312" w:cs="仿宋_GB2312" w:hint="eastAsia"/>
              </w:rPr>
              <w:t>。</w:t>
            </w:r>
          </w:p>
        </w:tc>
        <w:tc>
          <w:tcPr>
            <w:tcW w:w="709" w:type="dxa"/>
            <w:vAlign w:val="center"/>
            <w:tcBorders>
              <w:top w:val="single" w:color="auto" w:sz="4" w:space="0"/>
              <w:left w:val="nil"/>
              <w:bottom w:val="single" w:color="auto" w:sz="4" w:space="0"/>
              <w:right w:val="single" w:color="auto" w:sz="4" w:space="0"/>
            </w:tcBorders>
            <w:shd w:val="clear" w:color="auto" w:fill="auto"/>
            <w:noWrap/>
          </w:tcPr>
          <w:p w14:paraId="6126ECCC">
            <w:pPr>
              <w:pageBreakBefore w:val="0"/>
              <w:wordWrap w:val="1"/>
              <w:overflowPunct w:val="1"/>
              <w:topLinePunct w:val="0"/>
              <w:kinsoku w:val="1"/>
              <w:autoSpaceDE w:val="1"/>
              <w:autoSpaceDN w:val="1"/>
              <w:bidi w:val="0"/>
              <w:adjustRightInd w:val="1"/>
              <w:snapToGrid w:val="1"/>
              <w:jc w:val="center"/>
              <w:spacing w:line="340" w:lineRule="exact"/>
              <w:rPr>
                <w:color w:val="auto"/>
                <w:sz w:val="24"/>
                <w:rFonts w:ascii="仿宋_GB2312" w:hAnsi="仿宋_GB2312" w:eastAsia="仿宋_GB2312" w:cs="仿宋_GB2312" w:hint="eastAsia"/>
              </w:rPr>
            </w:pPr>
            <w:r>
              <w:rPr>
                <w:color w:val="auto"/>
                <w:sz w:val="24"/>
                <w:rFonts w:ascii="仿宋_GB2312" w:hAnsi="仿宋_GB2312" w:eastAsia="仿宋_GB2312" w:cs="仿宋_GB2312" w:hint="eastAsia"/>
              </w:rPr>
              <w:t>790</w:t>
            </w:r>
          </w:p>
        </w:tc>
        <w:tc>
          <w:tcPr>
            <w:tcW w:w="851" w:type="dxa"/>
            <w:vAlign w:val="center"/>
            <w:tcBorders>
              <w:top w:val="single" w:color="auto" w:sz="4" w:space="0"/>
              <w:left w:val="nil"/>
              <w:bottom w:val="single" w:color="auto" w:sz="4" w:space="0"/>
              <w:right w:val="single" w:color="auto" w:sz="4" w:space="0"/>
            </w:tcBorders>
            <w:shd w:val="clear" w:color="auto" w:fill="auto"/>
            <w:noWrap/>
          </w:tcPr>
          <w:p w14:paraId="62D3809D">
            <w:pPr>
              <w:pageBreakBefore w:val="0"/>
              <w:wordWrap w:val="1"/>
              <w:overflowPunct w:val="1"/>
              <w:topLinePunct w:val="0"/>
              <w:kinsoku w:val="1"/>
              <w:autoSpaceDE w:val="1"/>
              <w:autoSpaceDN w:val="1"/>
              <w:bidi w:val="0"/>
              <w:adjustRightInd w:val="1"/>
              <w:snapToGrid w:val="1"/>
              <w:jc w:val="center"/>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160</w:t>
            </w:r>
          </w:p>
        </w:tc>
        <w:tc>
          <w:tcPr>
            <w:tcW w:w="992" w:type="dxa"/>
            <w:vAlign w:val="center"/>
            <w:tcBorders>
              <w:top w:val="single" w:color="auto" w:sz="4" w:space="0"/>
              <w:left w:val="nil"/>
              <w:bottom w:val="single" w:color="auto" w:sz="4" w:space="0"/>
              <w:right w:val="nil"/>
            </w:tcBorders>
            <w:shd w:val="clear" w:color="auto" w:fill="auto"/>
            <w:noWrap/>
          </w:tcPr>
          <w:p w14:paraId="3DF8479C">
            <w:pPr>
              <w:pageBreakBefore w:val="0"/>
              <w:wordWrap w:val="1"/>
              <w:overflowPunct w:val="1"/>
              <w:topLinePunct w:val="0"/>
              <w:kinsoku w:val="1"/>
              <w:autoSpaceDE w:val="1"/>
              <w:autoSpaceDN w:val="1"/>
              <w:bidi w:val="0"/>
              <w:adjustRightInd w:val="1"/>
              <w:snapToGrid w:val="1"/>
              <w:jc w:val="center"/>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126400</w:t>
            </w:r>
          </w:p>
        </w:tc>
        <w:tc>
          <w:tcPr>
            <w:tcW w:w="1863" w:type="dxa"/>
            <w:vAlign w:val="center"/>
            <w:tcBorders>
              <w:top w:val="single" w:color="auto" w:sz="4" w:space="0"/>
              <w:left w:val="single" w:color="auto" w:sz="4" w:space="0"/>
              <w:bottom w:val="single" w:color="auto" w:sz="4" w:space="0"/>
              <w:right w:val="single" w:color="auto" w:sz="4" w:space="0"/>
            </w:tcBorders>
          </w:tcPr>
          <w:p w14:paraId="160752B0">
            <w:pPr>
              <w:widowControl w:val="1"/>
              <w:pageBreakBefore w:val="0"/>
              <w:wordWrap w:val="1"/>
              <w:overflowPunct w:val="1"/>
              <w:topLinePunct w:val="0"/>
              <w:kinsoku w:val="1"/>
              <w:autoSpaceDE w:val="1"/>
              <w:autoSpaceDN w:val="1"/>
              <w:bidi w:val="0"/>
              <w:adjustRightInd w:val="1"/>
              <w:snapToGrid w:val="1"/>
              <w:jc w:val="left"/>
              <w:spacing w:line="340" w:lineRule="exact"/>
              <w:rPr>
                <w:color w:val="auto"/>
                <w:kern w:val="0"/>
                <w:szCs w:val="21"/>
                <w:rFonts w:ascii="仿宋_GB2312" w:hAnsi="仿宋_GB2312" w:eastAsia="仿宋_GB2312" w:cs="仿宋_GB2312" w:hint="eastAsia"/>
              </w:rPr>
            </w:pPr>
            <w:bookmarkStart w:id="1" w:name="_GoBack"/>
            <w:bookmarkEnd w:id="1"/>
          </w:p>
          <w:p w14:paraId="5C363CF6">
            <w:pPr>
              <w:widowControl w:val="1"/>
              <w:pageBreakBefore w:val="0"/>
              <w:wordWrap w:val="1"/>
              <w:overflowPunct w:val="1"/>
              <w:topLinePunct w:val="0"/>
              <w:kinsoku w:val="1"/>
              <w:autoSpaceDE w:val="1"/>
              <w:autoSpaceDN w:val="1"/>
              <w:bidi w:val="0"/>
              <w:adjustRightInd w:val="1"/>
              <w:snapToGrid w:val="1"/>
              <w:jc w:val="left"/>
              <w:spacing w:line="340" w:lineRule="exact"/>
              <w:rPr>
                <w:color w:val="auto"/>
                <w:kern w:val="0"/>
                <w:szCs w:val="21"/>
                <w:rFonts w:ascii="仿宋_GB2312" w:hAnsi="仿宋_GB2312" w:eastAsia="仿宋_GB2312" w:cs="仿宋_GB2312" w:hint="eastAsia"/>
              </w:rPr>
            </w:pPr>
            <w:r>
              <w:rPr>
                <w:color w:val="auto"/>
                <w:kern w:val="0"/>
                <w:szCs w:val="21"/>
                <w:rFonts w:ascii="仿宋_GB2312" w:hAnsi="仿宋_GB2312" w:eastAsia="仿宋_GB2312" w:cs="仿宋_GB2312" w:hint="eastAsia"/>
              </w:rPr>
              <w:t>提供样品，实物必须与采购参数要求相符</w:t>
            </w:r>
          </w:p>
        </w:tc>
      </w:tr>
      <w:tr w14:paraId="0173F8FC">
        <w:tblPrEx>
          <w:tblCellMar>
            <w:top w:type="dxa" w:w="0.000000"/>
            <w:bottom w:type="dxa" w:w="0.000000"/>
            <w:left w:type="dxa" w:w="108.000000"/>
            <w:right w:type="dxa" w:w="108.000000"/>
          </w:tblCellMar>
        </w:tblPrEx>
        <w:trPr>
          <w:trHeight w:val="1082" w:hRule="atLeast"/>
          <w:jc w:val="center"/>
        </w:trPr>
        <w:tc>
          <w:tcPr>
            <w:tcW w:w="814" w:type="dxa"/>
            <w:vAlign w:val="center"/>
            <w:tcBorders>
              <w:top w:val="single" w:color="auto" w:sz="4" w:space="0"/>
              <w:left w:val="single" w:color="auto" w:sz="4" w:space="0"/>
              <w:bottom w:val="single" w:color="auto" w:sz="4" w:space="0"/>
              <w:right w:val="single" w:color="auto" w:sz="4" w:space="0"/>
            </w:tcBorders>
            <w:shd w:val="clear" w:color="auto" w:fill="auto"/>
            <w:noWrap/>
          </w:tcPr>
          <w:p w14:paraId="2900177D">
            <w:pPr>
              <w:widowControl w:val="1"/>
              <w:pageBreakBefore w:val="0"/>
              <w:wordWrap w:val="1"/>
              <w:overflowPunct w:val="1"/>
              <w:topLinePunct w:val="0"/>
              <w:kinsoku w:val="1"/>
              <w:autoSpaceDE w:val="1"/>
              <w:autoSpaceDN w:val="1"/>
              <w:bidi w:val="0"/>
              <w:adjustRightInd w:val="1"/>
              <w:snapToGrid w:val="1"/>
              <w:jc w:val="center"/>
              <w:spacing w:line="340" w:lineRule="exact"/>
              <w:rPr>
                <w:kern w:val="0"/>
                <w:szCs w:val="21"/>
                <w:rFonts w:ascii="仿宋_GB2312" w:hAnsi="仿宋_GB2312" w:eastAsia="仿宋_GB2312" w:cs="仿宋_GB2312" w:hint="eastAsia"/>
              </w:rPr>
            </w:pPr>
            <w:r>
              <w:rPr>
                <w:kern w:val="0"/>
                <w:szCs w:val="21"/>
                <w:rFonts w:ascii="仿宋_GB2312" w:hAnsi="仿宋_GB2312" w:eastAsia="仿宋_GB2312" w:cs="仿宋_GB2312" w:hint="eastAsia"/>
              </w:rPr>
              <w:t>2</w:t>
            </w:r>
          </w:p>
        </w:tc>
        <w:tc>
          <w:tcPr>
            <w:tcW w:w="951" w:type="dxa"/>
            <w:vAlign w:val="center"/>
            <w:tcBorders>
              <w:top w:val="single" w:color="auto" w:sz="4" w:space="0"/>
              <w:left w:val="nil"/>
              <w:bottom w:val="single" w:color="auto" w:sz="4" w:space="0"/>
              <w:right w:val="single" w:color="auto" w:sz="4" w:space="0"/>
            </w:tcBorders>
            <w:shd w:val="clear" w:color="auto" w:fill="auto"/>
          </w:tcPr>
          <w:p w14:paraId="2994D2B8">
            <w:pPr>
              <w:pageBreakBefore w:val="0"/>
              <w:wordWrap w:val="1"/>
              <w:overflowPunct w:val="1"/>
              <w:topLinePunct w:val="0"/>
              <w:kinsoku w:val="1"/>
              <w:autoSpaceDE w:val="1"/>
              <w:autoSpaceDN w:val="1"/>
              <w:bidi w:val="0"/>
              <w:adjustRightInd w:val="1"/>
              <w:snapToGrid w:val="1"/>
              <w:jc w:val="center"/>
              <w:spacing w:line="340" w:lineRule="exact"/>
              <w:rPr>
                <w:sz w:val="24"/>
                <w:rFonts w:ascii="仿宋_GB2312" w:hAnsi="仿宋_GB2312" w:eastAsia="仿宋_GB2312" w:cs="仿宋_GB2312" w:hint="eastAsia"/>
              </w:rPr>
            </w:pPr>
            <w:r>
              <w:rPr>
                <w:sz w:val="24"/>
                <w:rFonts w:ascii="仿宋_GB2312" w:hAnsi="仿宋_GB2312" w:eastAsia="仿宋_GB2312" w:cs="仿宋_GB2312" w:hint="eastAsia"/>
              </w:rPr>
              <w:t>安全鞋</w:t>
            </w:r>
          </w:p>
        </w:tc>
        <w:tc>
          <w:tcPr>
            <w:tcW w:w="4550" w:type="dxa"/>
            <w:vAlign w:val="center"/>
            <w:tcBorders>
              <w:top w:val="single" w:color="auto" w:sz="4" w:space="0"/>
              <w:left w:val="nil"/>
              <w:bottom w:val="single" w:color="auto" w:sz="4" w:space="0"/>
              <w:right w:val="single" w:color="auto" w:sz="4" w:space="0"/>
            </w:tcBorders>
            <w:shd w:val="clear" w:color="auto" w:fill="auto"/>
          </w:tcPr>
          <w:p w14:paraId="34A9D824">
            <w:pPr>
              <w:pageBreakBefore w:val="0"/>
              <w:wordWrap w:val="1"/>
              <w:overflowPunct w:val="1"/>
              <w:topLinePunct w:val="0"/>
              <w:kinsoku w:val="1"/>
              <w:autoSpaceDE w:val="1"/>
              <w:autoSpaceDN w:val="1"/>
              <w:bidi w:val="0"/>
              <w:adjustRightInd w:val="1"/>
              <w:snapToGrid w:val="1"/>
              <w:jc w:val="left"/>
              <w:numPr>
                <w:ilvl w:val="0"/>
                <w:numId w:val="6"/>
              </w:numPr>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基本要求：</w:t>
            </w:r>
            <w:r>
              <w:rPr>
                <w:color w:val="auto"/>
                <w:sz w:val="24"/>
                <w:rFonts w:ascii="仿宋_GB2312" w:hAnsi="仿宋_GB2312" w:eastAsia="仿宋_GB2312" w:cs="仿宋_GB2312" w:hint="eastAsia"/>
              </w:rPr>
              <w:t>符合GB 21148-2020《足部防护 安全鞋》</w:t>
            </w:r>
            <w:r>
              <w:rPr>
                <w:color w:val="auto"/>
                <w:sz w:val="24"/>
                <w:lang w:val="en-US" w:eastAsia="zh-CN"/>
                <w:rFonts w:ascii="仿宋_GB2312" w:hAnsi="仿宋_GB2312" w:eastAsia="仿宋_GB2312" w:cs="仿宋_GB2312" w:hint="eastAsia"/>
              </w:rPr>
              <w:t>技术</w:t>
            </w:r>
            <w:r>
              <w:rPr>
                <w:color w:val="auto"/>
                <w:sz w:val="24"/>
                <w:rFonts w:ascii="仿宋_GB2312" w:hAnsi="仿宋_GB2312" w:eastAsia="仿宋_GB2312" w:cs="仿宋_GB2312" w:hint="eastAsia"/>
              </w:rPr>
              <w:t>标准要求</w:t>
            </w:r>
            <w:r>
              <w:rPr>
                <w:color w:val="auto"/>
                <w:sz w:val="24"/>
                <w:lang w:eastAsia="zh-CN"/>
                <w:rFonts w:ascii="仿宋_GB2312" w:hAnsi="仿宋_GB2312" w:eastAsia="仿宋_GB2312" w:cs="仿宋_GB2312" w:hint="eastAsia"/>
              </w:rPr>
              <w:t>。</w:t>
            </w:r>
          </w:p>
          <w:p w14:paraId="248EE053">
            <w:pPr>
              <w:pageBreakBefore w:val="0"/>
              <w:wordWrap w:val="1"/>
              <w:overflowPunct w:val="1"/>
              <w:topLinePunct w:val="0"/>
              <w:kinsoku w:val="1"/>
              <w:autoSpaceDE w:val="1"/>
              <w:autoSpaceDN w:val="1"/>
              <w:bidi w:val="0"/>
              <w:adjustRightInd w:val="1"/>
              <w:snapToGrid w:val="1"/>
              <w:jc w:val="left"/>
              <w:numPr>
                <w:ilvl w:val="0"/>
                <w:numId w:val="0"/>
              </w:numPr>
              <w:spacing w:line="340" w:lineRule="exact"/>
              <w:rPr>
                <w:color w:val="auto"/>
                <w:sz w:val="24"/>
                <w:lang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二、</w:t>
            </w:r>
            <w:r>
              <w:rPr>
                <w:color w:val="auto"/>
                <w:sz w:val="24"/>
                <w:rFonts w:ascii="仿宋_GB2312" w:hAnsi="仿宋_GB2312" w:eastAsia="仿宋_GB2312" w:cs="仿宋_GB2312" w:hint="eastAsia"/>
              </w:rPr>
              <w:t>款式面料：防穿刺作训鞋，低帮自动扣系带，KPU鞋面，新式爆米花发泡耐磨大底，凯夫拉防穿刺内底，防水布</w:t>
            </w:r>
            <w:r>
              <w:rPr>
                <w:color w:val="auto"/>
                <w:sz w:val="24"/>
                <w:lang w:eastAsia="zh-CN"/>
                <w:rFonts w:ascii="仿宋_GB2312" w:hAnsi="仿宋_GB2312" w:eastAsia="仿宋_GB2312" w:cs="仿宋_GB2312" w:hint="eastAsia"/>
              </w:rPr>
              <w:t>。</w:t>
            </w:r>
          </w:p>
          <w:p w14:paraId="3553AE2B">
            <w:pPr>
              <w:pageBreakBefore w:val="0"/>
              <w:wordWrap w:val="1"/>
              <w:overflowPunct w:val="1"/>
              <w:topLinePunct w:val="0"/>
              <w:kinsoku w:val="1"/>
              <w:autoSpaceDE w:val="1"/>
              <w:autoSpaceDN w:val="1"/>
              <w:bidi w:val="0"/>
              <w:adjustRightInd w:val="1"/>
              <w:snapToGrid w:val="1"/>
              <w:jc w:val="left"/>
              <w:numPr>
                <w:ilvl w:val="0"/>
                <w:numId w:val="0"/>
              </w:numPr>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三、结构和性能要求：</w:t>
            </w:r>
          </w:p>
          <w:p w14:paraId="1AD462B7">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1.成鞋鞋帮/底结合强度：除缝合底外，结合强度≥4.0N/mm, 鞋底无撕裂现象；</w:t>
            </w:r>
          </w:p>
          <w:p w14:paraId="02DD4DFD">
            <w:pPr>
              <w:pageBreakBefore w:val="0"/>
              <w:wordWrap w:val="1"/>
              <w:overflowPunct w:val="1"/>
              <w:topLinePunct w:val="0"/>
              <w:kinsoku w:val="1"/>
              <w:autoSpaceDE w:val="1"/>
              <w:autoSpaceDN w:val="1"/>
              <w:bidi w:val="0"/>
              <w:adjustRightInd w:val="1"/>
              <w:snapToGrid w:val="1"/>
              <w:jc w:val="left"/>
              <w:spacing w:line="340" w:lineRule="exact"/>
              <w:rPr>
                <w:color w:val="auto"/>
                <w:sz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2</w:t>
            </w:r>
            <w:r>
              <w:rPr>
                <w:color w:val="auto"/>
                <w:sz w:val="24"/>
                <w:rFonts w:ascii="仿宋_GB2312" w:hAnsi="仿宋_GB2312" w:eastAsia="仿宋_GB2312" w:cs="仿宋_GB2312" w:hint="eastAsia"/>
              </w:rPr>
              <w:t>、成鞋防滑性：</w:t>
            </w:r>
          </w:p>
          <w:p w14:paraId="5B6C3921">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①在带有洗涤剂溶液的陶瓷砖面，后跟向前滑动摩擦系数≥0.28</w:t>
            </w:r>
            <w:r>
              <w:rPr>
                <w:color w:val="auto"/>
                <w:sz w:val="24"/>
                <w:lang w:eastAsia="zh-CN"/>
                <w:rFonts w:ascii="仿宋_GB2312" w:hAnsi="仿宋_GB2312" w:eastAsia="仿宋_GB2312" w:cs="仿宋_GB2312" w:hint="eastAsia"/>
              </w:rPr>
              <w:t>。</w:t>
            </w:r>
          </w:p>
          <w:p w14:paraId="7D95F4D2">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rFonts w:ascii="仿宋_GB2312" w:hAnsi="仿宋_GB2312" w:eastAsia="仿宋_GB2312" w:cs="仿宋_GB2312" w:hint="eastAsia"/>
              </w:rPr>
              <w:t>②在带有洗涤剂溶液的陶瓷砖面，水平向前滑动摩擦系数≥0.32</w:t>
            </w:r>
            <w:r>
              <w:rPr>
                <w:color w:val="auto"/>
                <w:sz w:val="24"/>
                <w:lang w:eastAsia="zh-CN"/>
                <w:rFonts w:ascii="仿宋_GB2312" w:hAnsi="仿宋_GB2312" w:eastAsia="仿宋_GB2312" w:cs="仿宋_GB2312" w:hint="eastAsia"/>
              </w:rPr>
              <w:t>；</w:t>
            </w:r>
          </w:p>
          <w:p w14:paraId="0587DE3A">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3.鞋帮撕裂性能：撕裂强度≥120N；</w:t>
            </w:r>
          </w:p>
          <w:p w14:paraId="1365DD52">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4.鞋帮拉伸性能：抗张强度≥15N/mm²；</w:t>
            </w:r>
          </w:p>
          <w:p w14:paraId="0FC88B23">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5.鞋垫耐磨性：摩擦表面不应产生任何破洞；</w:t>
            </w:r>
          </w:p>
          <w:p w14:paraId="03B1FC50">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6.外底撕裂强度：密度&gt;0.9g/cm³’的材料：≥8kN/m；</w:t>
            </w:r>
          </w:p>
          <w:p w14:paraId="6B71408C">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★7</w:t>
            </w:r>
            <w:r>
              <w:rPr>
                <w:color w:val="auto"/>
                <w:sz w:val="24"/>
                <w:lang w:val="en-US" w:eastAsia="zh-CN"/>
                <w:rFonts w:ascii="仿宋_GB2312" w:hAnsi="仿宋_GB2312" w:eastAsia="仿宋_GB2312" w:cs="仿宋_GB2312" w:hint="eastAsia"/>
              </w:rPr>
              <w:t>.外底耐磨性：密度&gt;0.9g/cm³’的材料：相对体积磨耗量≤150mm³；</w:t>
            </w:r>
          </w:p>
          <w:p w14:paraId="262A8723">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8.外底耐折性：切口增长≤4mm，在不损坏鞋的情况下，装入鞋内的保护包头不能移动，成鞋鞋帮的一部分起衬里作用，保护包头有一层边缘覆盖层，从保护包头后部边缘开始在其下方延伸至少5mm，在相反方向延伸至少10mm。卷边宽度 e≤10mm，脚趾部位的抗磨损覆盖层厚度≥1mm；</w:t>
            </w:r>
          </w:p>
          <w:p w14:paraId="4DAB9B58">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9.成鞋抗冲击性：在至少(200+4)J冲击能量冲击后，保护包头内的最小间距应≥14.0mm，此外，在保护包头测试轴线上不应产生任何贯穿材料的裂缝，即光线能透过裂缝；</w:t>
            </w:r>
          </w:p>
          <w:p w14:paraId="1594610C">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10.成鞋耐压力性：在(15+0.1)kN的压力下，保护包头内的最小间距应≥14.0mm；</w:t>
            </w:r>
          </w:p>
          <w:p w14:paraId="24D63564">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rFonts w:ascii="仿宋_GB2312" w:hAnsi="仿宋_GB2312" w:eastAsia="仿宋_GB2312" w:cs="仿宋_GB2312" w:hint="eastAsia"/>
              </w:rPr>
              <w:t>1</w:t>
            </w:r>
            <w:r>
              <w:rPr>
                <w:color w:val="auto"/>
                <w:sz w:val="24"/>
                <w:lang w:val="en-US" w:eastAsia="zh-CN"/>
                <w:rFonts w:ascii="仿宋_GB2312" w:hAnsi="仿宋_GB2312" w:eastAsia="仿宋_GB2312" w:cs="仿宋_GB2312" w:hint="eastAsia"/>
              </w:rPr>
              <w:t>1</w:t>
            </w:r>
            <w:r>
              <w:rPr>
                <w:color w:val="auto"/>
                <w:sz w:val="24"/>
                <w:rFonts w:ascii="仿宋_GB2312" w:hAnsi="仿宋_GB2312" w:eastAsia="仿宋_GB2312" w:cs="仿宋_GB2312" w:hint="eastAsia"/>
              </w:rPr>
              <w:t>、刺穿力金属防刺穿垫：≥1100N</w:t>
            </w:r>
            <w:r>
              <w:rPr>
                <w:color w:val="auto"/>
                <w:sz w:val="24"/>
                <w:lang w:eastAsia="zh-CN"/>
                <w:rFonts w:ascii="仿宋_GB2312" w:hAnsi="仿宋_GB2312" w:eastAsia="仿宋_GB2312" w:cs="仿宋_GB2312" w:hint="eastAsia"/>
              </w:rPr>
              <w:t>。</w:t>
            </w:r>
          </w:p>
          <w:p w14:paraId="7C640AF9">
            <w:pPr>
              <w:pageBreakBefore w:val="0"/>
              <w:wordWrap w:val="1"/>
              <w:overflowPunct w:val="1"/>
              <w:topLinePunct w:val="0"/>
              <w:kinsoku w:val="1"/>
              <w:autoSpaceDE w:val="1"/>
              <w:autoSpaceDN w:val="1"/>
              <w:bidi w:val="0"/>
              <w:adjustRightInd w:val="1"/>
              <w:snapToGrid w:val="1"/>
              <w:jc w:val="left"/>
              <w:numPr>
                <w:ilvl w:val="0"/>
                <w:numId w:val="7"/>
              </w:numPr>
              <w:spacing w:line="340" w:lineRule="exact"/>
              <w:rPr>
                <w:color w:val="auto"/>
                <w:sz w:val="24"/>
                <w:rFonts w:ascii="仿宋_GB2312" w:hAnsi="仿宋_GB2312" w:eastAsia="仿宋_GB2312" w:cs="仿宋_GB2312" w:hint="eastAsia"/>
              </w:rPr>
            </w:pPr>
            <w:r>
              <w:rPr>
                <w:color w:val="auto"/>
                <w:sz w:val="24"/>
                <w:rFonts w:ascii="仿宋_GB2312" w:hAnsi="仿宋_GB2312" w:eastAsia="仿宋_GB2312" w:cs="仿宋_GB2312" w:hint="eastAsia"/>
              </w:rPr>
              <w:t>货物免费保修期内，设备制造商要免费为设备及设备中包含的软硬件提供免费维护及升级的服务，需提供设备制造商书面承诺函(格式自定)并加盖设备制造商的公章</w:t>
            </w:r>
            <w:r>
              <w:rPr>
                <w:color w:val="auto"/>
                <w:sz w:val="24"/>
                <w:lang w:eastAsia="zh-CN"/>
                <w:rFonts w:ascii="仿宋_GB2312" w:hAnsi="仿宋_GB2312" w:eastAsia="仿宋_GB2312" w:cs="仿宋_GB2312" w:hint="eastAsia"/>
              </w:rPr>
              <w:t>。</w:t>
            </w:r>
          </w:p>
          <w:p w14:paraId="3EA29C0B">
            <w:pPr>
              <w:pageBreakBefore w:val="0"/>
              <w:wordWrap w:val="1"/>
              <w:overflowPunct w:val="1"/>
              <w:topLinePunct w:val="0"/>
              <w:kinsoku w:val="1"/>
              <w:autoSpaceDE w:val="1"/>
              <w:autoSpaceDN w:val="1"/>
              <w:bidi w:val="0"/>
              <w:adjustRightInd w:val="1"/>
              <w:snapToGrid w:val="1"/>
              <w:jc w:val="left"/>
              <w:numPr>
                <w:ilvl w:val="0"/>
                <w:numId w:val="0"/>
              </w:numPr>
              <w:spacing w:line="340" w:lineRule="exact"/>
              <w:rPr>
                <w:color w:val="auto"/>
                <w:sz w:val="24"/>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五、</w:t>
            </w:r>
            <w:r>
              <w:rPr>
                <w:color w:val="auto"/>
                <w:sz w:val="24"/>
                <w:lang w:val="en-US" w:eastAsia="zh-CN"/>
                <w:szCs w:val="24"/>
                <w:rFonts w:ascii="仿宋_GB2312" w:hAnsi="仿宋_GB2312" w:eastAsia="仿宋_GB2312" w:cs="仿宋_GB2312" w:hint="eastAsia"/>
              </w:rPr>
              <w:t>上述“</w:t>
            </w:r>
            <w:r>
              <w:rPr>
                <w:color w:val="auto"/>
                <w:sz w:val="24"/>
                <w:lang w:val="en-US" w:eastAsia="zh-CN"/>
                <w:szCs w:val="24"/>
                <w:rFonts w:ascii="仿宋_GB2312" w:hAnsi="仿宋_GB2312" w:eastAsia="仿宋_GB2312" w:cs="仿宋_GB2312" w:hint="eastAsia"/>
              </w:rPr>
              <w:t>★</w:t>
            </w:r>
            <w:r>
              <w:rPr>
                <w:color w:val="auto"/>
                <w:sz w:val="24"/>
                <w:lang w:val="en-US" w:eastAsia="zh-CN"/>
                <w:szCs w:val="24"/>
                <w:rFonts w:ascii="仿宋_GB2312" w:hAnsi="仿宋_GB2312" w:eastAsia="仿宋_GB2312" w:cs="仿宋_GB2312" w:hint="eastAsia"/>
              </w:rPr>
              <w:t>”指标，</w:t>
            </w:r>
            <w:r>
              <w:rPr>
                <w:b w:val="0"/>
                <w:color w:val="auto"/>
                <w:sz w:val="24"/>
                <w:bCs/>
                <w:rFonts w:ascii="仿宋_GB2312" w:hAnsi="仿宋_GB2312" w:eastAsia="仿宋_GB2312" w:cs="仿宋_GB2312" w:hint="eastAsia"/>
              </w:rPr>
              <w:t>竞标时请提供具有</w:t>
            </w:r>
            <w:r>
              <w:rPr>
                <w:color w:val="auto"/>
                <w:sz w:val="24"/>
                <w:rFonts w:ascii="仿宋_GB2312" w:hAnsi="仿宋_GB2312" w:eastAsia="仿宋_GB2312" w:cs="仿宋_GB2312" w:hint="eastAsia"/>
              </w:rPr>
              <w:t>CMA</w:t>
            </w:r>
            <w:r>
              <w:rPr>
                <w:color w:val="auto"/>
                <w:sz w:val="24"/>
                <w:lang w:val="en-US" w:eastAsia="zh-CN"/>
                <w:rFonts w:ascii="仿宋_GB2312" w:hAnsi="仿宋_GB2312" w:eastAsia="仿宋_GB2312" w:cs="仿宋_GB2312" w:hint="eastAsia"/>
              </w:rPr>
              <w:t>\</w:t>
            </w:r>
            <w:r>
              <w:rPr>
                <w:color w:val="auto"/>
                <w:sz w:val="24"/>
                <w:rFonts w:ascii="仿宋_GB2312" w:hAnsi="仿宋_GB2312" w:eastAsia="仿宋_GB2312" w:cs="仿宋_GB2312" w:hint="eastAsia"/>
              </w:rPr>
              <w:t>CNAS</w:t>
            </w:r>
            <w:r>
              <w:rPr>
                <w:color w:val="auto"/>
                <w:sz w:val="24"/>
                <w:lang w:val="en-US" w:eastAsia="zh-CN"/>
                <w:rFonts w:ascii="仿宋_GB2312" w:hAnsi="仿宋_GB2312" w:eastAsia="仿宋_GB2312" w:cs="仿宋_GB2312" w:hint="eastAsia"/>
              </w:rPr>
              <w:t>\GAL</w:t>
            </w:r>
            <w:r>
              <w:rPr>
                <w:b w:val="0"/>
                <w:color w:val="auto"/>
                <w:sz w:val="24"/>
                <w:bCs/>
                <w:rFonts w:ascii="仿宋_GB2312" w:hAnsi="仿宋_GB2312" w:eastAsia="仿宋_GB2312" w:cs="仿宋_GB2312" w:hint="eastAsia"/>
              </w:rPr>
              <w:t>认证标识的第三方检验机构出具的检验报告</w:t>
            </w:r>
            <w:r>
              <w:rPr>
                <w:b w:val="0"/>
                <w:color w:val="auto"/>
                <w:sz w:val="24"/>
                <w:lang w:val="en-US" w:eastAsia="zh-CN"/>
                <w:bCs/>
                <w:szCs w:val="24"/>
                <w:rFonts w:ascii="仿宋_GB2312" w:hAnsi="仿宋_GB2312" w:eastAsia="仿宋_GB2312" w:cs="仿宋_GB2312" w:hint="eastAsia"/>
              </w:rPr>
              <w:t>原件扫描件</w:t>
            </w:r>
            <w:r>
              <w:rPr>
                <w:b w:val="0"/>
                <w:color w:val="auto"/>
                <w:sz w:val="24"/>
                <w:bCs/>
                <w:szCs w:val="24"/>
                <w:rFonts w:ascii="仿宋_GB2312" w:hAnsi="仿宋_GB2312" w:eastAsia="仿宋_GB2312" w:cs="仿宋_GB2312" w:hint="eastAsia"/>
              </w:rPr>
              <w:t>并加盖</w:t>
            </w:r>
            <w:r>
              <w:rPr>
                <w:b w:val="0"/>
                <w:color w:val="auto"/>
                <w:sz w:val="24"/>
                <w:lang w:val="en-US" w:eastAsia="zh-CN"/>
                <w:bCs/>
                <w:szCs w:val="24"/>
                <w:rFonts w:ascii="仿宋_GB2312" w:hAnsi="仿宋_GB2312" w:eastAsia="仿宋_GB2312" w:cs="仿宋_GB2312" w:hint="eastAsia"/>
              </w:rPr>
              <w:t>生产厂家及</w:t>
            </w:r>
            <w:r>
              <w:rPr>
                <w:color w:val="auto"/>
                <w:sz w:val="24"/>
                <w:lang w:val="en-US" w:eastAsia="zh-CN"/>
                <w:szCs w:val="24"/>
                <w:rFonts w:ascii="仿宋_GB2312" w:hAnsi="仿宋_GB2312" w:eastAsia="仿宋_GB2312" w:cs="仿宋_GB2312" w:hint="eastAsia"/>
              </w:rPr>
              <w:t>供应商</w:t>
            </w:r>
            <w:r>
              <w:rPr>
                <w:b w:val="0"/>
                <w:color w:val="auto"/>
                <w:sz w:val="24"/>
                <w:bCs/>
                <w:szCs w:val="24"/>
                <w:rFonts w:ascii="仿宋_GB2312" w:hAnsi="仿宋_GB2312" w:eastAsia="仿宋_GB2312" w:cs="仿宋_GB2312" w:hint="eastAsia"/>
              </w:rPr>
              <w:t>单位公章</w:t>
            </w:r>
            <w:r>
              <w:rPr>
                <w:b w:val="0"/>
                <w:color w:val="auto"/>
                <w:sz w:val="24"/>
                <w:lang w:val="en-US" w:eastAsia="zh-CN"/>
                <w:bCs/>
                <w:szCs w:val="24"/>
                <w:rFonts w:ascii="仿宋_GB2312" w:hAnsi="仿宋_GB2312" w:eastAsia="仿宋_GB2312" w:cs="仿宋_GB2312" w:hint="eastAsia"/>
              </w:rPr>
              <w:t>，</w:t>
            </w:r>
            <w:r>
              <w:rPr>
                <w:color w:val="auto"/>
                <w:sz w:val="24"/>
                <w:lang w:val="en-US" w:eastAsia="zh-CN"/>
                <w:szCs w:val="24"/>
                <w:rFonts w:ascii="仿宋_GB2312" w:hAnsi="仿宋_GB2312" w:eastAsia="仿宋_GB2312" w:cs="仿宋_GB2312" w:hint="eastAsia"/>
              </w:rPr>
              <w:t>同时提供原件核查，</w:t>
            </w:r>
            <w:r>
              <w:rPr>
                <w:b w:val="0"/>
                <w:color w:val="auto"/>
                <w:sz w:val="24"/>
                <w:bCs/>
                <w:rFonts w:ascii="仿宋_GB2312" w:hAnsi="仿宋_GB2312" w:eastAsia="仿宋_GB2312" w:cs="仿宋_GB2312" w:hint="eastAsia"/>
              </w:rPr>
              <w:t>确保所有技术参数、功能均可满足采购文件要求</w:t>
            </w:r>
            <w:r>
              <w:rPr>
                <w:b w:val="0"/>
                <w:color w:val="auto"/>
                <w:sz w:val="24"/>
                <w:lang w:val="en-US" w:eastAsia="zh-CN"/>
                <w:bCs/>
                <w:rFonts w:ascii="仿宋_GB2312" w:hAnsi="仿宋_GB2312" w:eastAsia="仿宋_GB2312" w:cs="仿宋_GB2312" w:hint="eastAsia"/>
              </w:rPr>
              <w:t>。</w:t>
            </w:r>
          </w:p>
        </w:tc>
        <w:tc>
          <w:tcPr>
            <w:tcW w:w="709" w:type="dxa"/>
            <w:vAlign w:val="center"/>
            <w:tcBorders>
              <w:top w:val="single" w:color="auto" w:sz="4" w:space="0"/>
              <w:left w:val="nil"/>
              <w:bottom w:val="single" w:color="auto" w:sz="4" w:space="0"/>
              <w:right w:val="single" w:color="auto" w:sz="4" w:space="0"/>
            </w:tcBorders>
            <w:shd w:val="clear" w:color="auto" w:fill="auto"/>
            <w:noWrap/>
          </w:tcPr>
          <w:p w14:paraId="659235F2">
            <w:pPr>
              <w:pageBreakBefore w:val="0"/>
              <w:wordWrap w:val="1"/>
              <w:overflowPunct w:val="1"/>
              <w:topLinePunct w:val="0"/>
              <w:kinsoku w:val="1"/>
              <w:autoSpaceDE w:val="1"/>
              <w:autoSpaceDN w:val="1"/>
              <w:bidi w:val="0"/>
              <w:adjustRightInd w:val="1"/>
              <w:snapToGrid w:val="1"/>
              <w:jc w:val="center"/>
              <w:spacing w:line="340" w:lineRule="exact"/>
              <w:rPr>
                <w:color w:val="auto"/>
                <w:sz w:val="24"/>
                <w:rFonts w:ascii="仿宋_GB2312" w:hAnsi="仿宋_GB2312" w:eastAsia="仿宋_GB2312" w:cs="仿宋_GB2312" w:hint="eastAsia"/>
              </w:rPr>
            </w:pPr>
            <w:r>
              <w:rPr>
                <w:color w:val="auto"/>
                <w:sz w:val="24"/>
                <w:rFonts w:ascii="仿宋_GB2312" w:hAnsi="仿宋_GB2312" w:eastAsia="仿宋_GB2312" w:cs="仿宋_GB2312" w:hint="eastAsia"/>
              </w:rPr>
              <w:t>790</w:t>
            </w:r>
          </w:p>
        </w:tc>
        <w:tc>
          <w:tcPr>
            <w:tcW w:w="851" w:type="dxa"/>
            <w:vAlign w:val="center"/>
            <w:tcBorders>
              <w:top w:val="single" w:color="auto" w:sz="4" w:space="0"/>
              <w:left w:val="nil"/>
              <w:bottom w:val="single" w:color="auto" w:sz="4" w:space="0"/>
              <w:right w:val="single" w:color="auto" w:sz="4" w:space="0"/>
            </w:tcBorders>
            <w:shd w:val="clear" w:color="auto" w:fill="auto"/>
            <w:noWrap/>
          </w:tcPr>
          <w:p w14:paraId="4B3BD1B2">
            <w:pPr>
              <w:pageBreakBefore w:val="0"/>
              <w:wordWrap w:val="1"/>
              <w:overflowPunct w:val="1"/>
              <w:topLinePunct w:val="0"/>
              <w:kinsoku w:val="1"/>
              <w:autoSpaceDE w:val="1"/>
              <w:autoSpaceDN w:val="1"/>
              <w:bidi w:val="0"/>
              <w:adjustRightInd w:val="1"/>
              <w:snapToGrid w:val="1"/>
              <w:jc w:val="center"/>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300</w:t>
            </w:r>
          </w:p>
        </w:tc>
        <w:tc>
          <w:tcPr>
            <w:tcW w:w="992" w:type="dxa"/>
            <w:vAlign w:val="center"/>
            <w:tcBorders>
              <w:top w:val="single" w:color="auto" w:sz="4" w:space="0"/>
              <w:left w:val="nil"/>
              <w:bottom w:val="single" w:color="auto" w:sz="4" w:space="0"/>
              <w:right w:val="nil"/>
            </w:tcBorders>
            <w:shd w:val="clear" w:color="auto" w:fill="auto"/>
            <w:noWrap/>
          </w:tcPr>
          <w:p w14:paraId="515333E4">
            <w:pPr>
              <w:pageBreakBefore w:val="0"/>
              <w:wordWrap w:val="1"/>
              <w:overflowPunct w:val="1"/>
              <w:topLinePunct w:val="0"/>
              <w:kinsoku w:val="1"/>
              <w:autoSpaceDE w:val="1"/>
              <w:autoSpaceDN w:val="1"/>
              <w:bidi w:val="0"/>
              <w:adjustRightInd w:val="1"/>
              <w:snapToGrid w:val="1"/>
              <w:jc w:val="center"/>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237000</w:t>
            </w:r>
          </w:p>
        </w:tc>
        <w:tc>
          <w:tcPr>
            <w:tcW w:w="1863" w:type="dxa"/>
            <w:vAlign w:val="center"/>
            <w:tcBorders>
              <w:top w:val="single" w:color="auto" w:sz="4" w:space="0"/>
              <w:left w:val="single" w:color="auto" w:sz="4" w:space="0"/>
              <w:bottom w:val="single" w:color="auto" w:sz="4" w:space="0"/>
              <w:right w:val="single" w:color="auto" w:sz="4" w:space="0"/>
            </w:tcBorders>
          </w:tcPr>
          <w:p w14:paraId="69D4FD3F">
            <w:pPr>
              <w:widowControl w:val="1"/>
              <w:pageBreakBefore w:val="0"/>
              <w:wordWrap w:val="1"/>
              <w:overflowPunct w:val="1"/>
              <w:topLinePunct w:val="0"/>
              <w:kinsoku w:val="1"/>
              <w:autoSpaceDE w:val="1"/>
              <w:autoSpaceDN w:val="1"/>
              <w:bidi w:val="0"/>
              <w:adjustRightInd w:val="1"/>
              <w:snapToGrid w:val="1"/>
              <w:jc w:val="left"/>
              <w:spacing w:line="340" w:lineRule="exact"/>
              <w:rPr>
                <w:color w:val="auto"/>
                <w:kern w:val="0"/>
                <w:szCs w:val="21"/>
                <w:rFonts w:ascii="仿宋_GB2312" w:hAnsi="仿宋_GB2312" w:eastAsia="仿宋_GB2312" w:cs="仿宋_GB2312" w:hint="eastAsia"/>
              </w:rPr>
            </w:pPr>
          </w:p>
          <w:p w14:paraId="7C1389F0">
            <w:pPr>
              <w:widowControl w:val="1"/>
              <w:pageBreakBefore w:val="0"/>
              <w:wordWrap w:val="1"/>
              <w:overflowPunct w:val="1"/>
              <w:topLinePunct w:val="0"/>
              <w:kinsoku w:val="1"/>
              <w:autoSpaceDE w:val="1"/>
              <w:autoSpaceDN w:val="1"/>
              <w:bidi w:val="0"/>
              <w:adjustRightInd w:val="1"/>
              <w:snapToGrid w:val="1"/>
              <w:jc w:val="left"/>
              <w:spacing w:line="340" w:lineRule="exact"/>
              <w:rPr>
                <w:color w:val="auto"/>
                <w:kern w:val="0"/>
                <w:szCs w:val="21"/>
                <w:rFonts w:ascii="仿宋_GB2312" w:hAnsi="仿宋_GB2312" w:eastAsia="仿宋_GB2312" w:cs="仿宋_GB2312" w:hint="eastAsia"/>
              </w:rPr>
            </w:pPr>
            <w:r>
              <w:rPr>
                <w:color w:val="auto"/>
                <w:kern w:val="0"/>
                <w:szCs w:val="21"/>
                <w:rFonts w:ascii="仿宋_GB2312" w:hAnsi="仿宋_GB2312" w:eastAsia="仿宋_GB2312" w:cs="仿宋_GB2312" w:hint="eastAsia"/>
              </w:rPr>
              <w:t>提供样品，实物必须与采购参数要求相符</w:t>
            </w:r>
          </w:p>
        </w:tc>
      </w:tr>
      <w:tr w14:paraId="70214F2B">
        <w:tblPrEx>
          <w:tblCellMar>
            <w:top w:type="dxa" w:w="0.000000"/>
            <w:bottom w:type="dxa" w:w="0.000000"/>
            <w:left w:type="dxa" w:w="108.000000"/>
            <w:right w:type="dxa" w:w="108.000000"/>
          </w:tblCellMar>
        </w:tblPrEx>
        <w:trPr>
          <w:trHeight w:val="1558" w:hRule="atLeast"/>
          <w:jc w:val="center"/>
        </w:trPr>
        <w:tc>
          <w:tcPr>
            <w:tcW w:w="814" w:type="dxa"/>
            <w:vAlign w:val="center"/>
            <w:tcBorders>
              <w:top w:val="single" w:color="auto" w:sz="4" w:space="0"/>
              <w:left w:val="single" w:color="auto" w:sz="4" w:space="0"/>
              <w:bottom w:val="single" w:color="auto" w:sz="4" w:space="0"/>
              <w:right w:val="single" w:color="auto" w:sz="4" w:space="0"/>
            </w:tcBorders>
            <w:shd w:val="clear" w:color="auto" w:fill="auto"/>
            <w:noWrap/>
          </w:tcPr>
          <w:p w14:paraId="6D0825A3">
            <w:pPr>
              <w:widowControl w:val="1"/>
              <w:pageBreakBefore w:val="0"/>
              <w:wordWrap w:val="1"/>
              <w:overflowPunct w:val="1"/>
              <w:topLinePunct w:val="0"/>
              <w:kinsoku w:val="1"/>
              <w:autoSpaceDE w:val="1"/>
              <w:autoSpaceDN w:val="1"/>
              <w:bidi w:val="0"/>
              <w:adjustRightInd w:val="1"/>
              <w:snapToGrid w:val="1"/>
              <w:jc w:val="center"/>
              <w:spacing w:line="340" w:lineRule="exact"/>
              <w:rPr>
                <w:kern w:val="0"/>
                <w:szCs w:val="21"/>
                <w:rFonts w:ascii="仿宋_GB2312" w:hAnsi="仿宋_GB2312" w:eastAsia="仿宋_GB2312" w:cs="仿宋_GB2312" w:hint="eastAsia"/>
              </w:rPr>
            </w:pPr>
            <w:r>
              <w:rPr>
                <w:kern w:val="0"/>
                <w:szCs w:val="21"/>
                <w:rFonts w:ascii="仿宋_GB2312" w:hAnsi="仿宋_GB2312" w:eastAsia="仿宋_GB2312" w:cs="仿宋_GB2312" w:hint="eastAsia"/>
              </w:rPr>
              <w:t>3</w:t>
            </w:r>
          </w:p>
        </w:tc>
        <w:tc>
          <w:tcPr>
            <w:tcW w:w="951" w:type="dxa"/>
            <w:vAlign w:val="center"/>
            <w:tcBorders>
              <w:top w:val="single" w:color="auto" w:sz="4" w:space="0"/>
              <w:left w:val="nil"/>
              <w:bottom w:val="single" w:color="auto" w:sz="4" w:space="0"/>
              <w:right w:val="single" w:color="auto" w:sz="4" w:space="0"/>
            </w:tcBorders>
            <w:shd w:val="clear" w:color="auto" w:fill="auto"/>
          </w:tcPr>
          <w:p w14:paraId="0D3CCDCF">
            <w:pPr>
              <w:pageBreakBefore w:val="0"/>
              <w:wordWrap w:val="1"/>
              <w:overflowPunct w:val="1"/>
              <w:topLinePunct w:val="0"/>
              <w:kinsoku w:val="1"/>
              <w:autoSpaceDE w:val="1"/>
              <w:autoSpaceDN w:val="1"/>
              <w:bidi w:val="0"/>
              <w:adjustRightInd w:val="1"/>
              <w:snapToGrid w:val="1"/>
              <w:jc w:val="center"/>
              <w:spacing w:line="340" w:lineRule="exact"/>
              <w:rPr>
                <w:sz w:val="24"/>
                <w:rFonts w:ascii="仿宋_GB2312" w:hAnsi="仿宋_GB2312" w:eastAsia="仿宋_GB2312" w:cs="仿宋_GB2312" w:hint="eastAsia"/>
              </w:rPr>
            </w:pPr>
            <w:r>
              <w:rPr>
                <w:sz w:val="24"/>
                <w:rFonts w:ascii="仿宋_GB2312" w:hAnsi="仿宋_GB2312" w:eastAsia="仿宋_GB2312" w:cs="仿宋_GB2312" w:hint="eastAsia"/>
              </w:rPr>
              <w:t>肩章警示灯</w:t>
            </w:r>
          </w:p>
        </w:tc>
        <w:tc>
          <w:tcPr>
            <w:tcW w:w="4550" w:type="dxa"/>
            <w:vAlign w:val="center"/>
            <w:tcBorders>
              <w:top w:val="single" w:color="auto" w:sz="4" w:space="0"/>
              <w:left w:val="nil"/>
              <w:bottom w:val="single" w:color="auto" w:sz="4" w:space="0"/>
              <w:right w:val="single" w:color="auto" w:sz="4" w:space="0"/>
            </w:tcBorders>
            <w:shd w:val="clear" w:color="auto" w:fill="auto"/>
          </w:tcPr>
          <w:p w14:paraId="415C2C0A">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一、基本要求：</w:t>
            </w:r>
            <w:r>
              <w:rPr>
                <w:color w:val="auto"/>
                <w:sz w:val="24"/>
                <w:rFonts w:ascii="仿宋_GB2312" w:hAnsi="仿宋_GB2312" w:eastAsia="仿宋_GB2312" w:cs="仿宋_GB2312" w:hint="eastAsia"/>
              </w:rPr>
              <w:t>符合GA/T 2140-2024《警用肩灯》</w:t>
            </w:r>
            <w:r>
              <w:rPr>
                <w:color w:val="auto"/>
                <w:sz w:val="24"/>
                <w:lang w:val="en-US" w:eastAsia="zh-CN"/>
                <w:rFonts w:ascii="仿宋_GB2312" w:hAnsi="仿宋_GB2312" w:eastAsia="仿宋_GB2312" w:cs="仿宋_GB2312" w:hint="eastAsia"/>
              </w:rPr>
              <w:t>技术</w:t>
            </w:r>
            <w:r>
              <w:rPr>
                <w:color w:val="auto"/>
                <w:sz w:val="24"/>
                <w:rFonts w:ascii="仿宋_GB2312" w:hAnsi="仿宋_GB2312" w:eastAsia="仿宋_GB2312" w:cs="仿宋_GB2312" w:hint="eastAsia"/>
              </w:rPr>
              <w:t>标准要求</w:t>
            </w:r>
            <w:r>
              <w:rPr>
                <w:color w:val="auto"/>
                <w:sz w:val="24"/>
                <w:lang w:eastAsia="zh-CN"/>
                <w:rFonts w:ascii="仿宋_GB2312" w:hAnsi="仿宋_GB2312" w:eastAsia="仿宋_GB2312" w:cs="仿宋_GB2312" w:hint="eastAsia"/>
              </w:rPr>
              <w:t>。</w:t>
            </w:r>
          </w:p>
          <w:p w14:paraId="692A2C52">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二、外观要求：</w:t>
            </w:r>
          </w:p>
          <w:p w14:paraId="57F85BDF">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1、外壳需定制交通执法徽标和“交通运输执法”字样，规格符合JT410—2022第4章的规定，</w:t>
            </w:r>
            <w:r>
              <w:rPr>
                <w:color w:val="auto"/>
                <w:sz w:val="24"/>
                <w:rFonts w:ascii="仿宋_GB2312" w:hAnsi="仿宋_GB2312" w:eastAsia="仿宋_GB2312" w:cs="仿宋_GB2312" w:hint="eastAsia"/>
              </w:rPr>
              <w:t>肩灯外观表面应光滑，无裂纹和明显的变形，不应有毛刺、起泡、腐蚀、划痕等缺陷。外露金属部件应无锈蚀</w:t>
            </w:r>
            <w:r>
              <w:rPr>
                <w:color w:val="auto"/>
                <w:sz w:val="24"/>
                <w:lang w:eastAsia="zh-CN"/>
                <w:rFonts w:ascii="仿宋_GB2312" w:hAnsi="仿宋_GB2312" w:eastAsia="仿宋_GB2312" w:cs="仿宋_GB2312" w:hint="eastAsia"/>
              </w:rPr>
              <w:t>；</w:t>
            </w:r>
          </w:p>
          <w:p w14:paraId="66CA9086">
            <w:pPr>
              <w:pageBreakBefore w:val="0"/>
              <w:wordWrap w:val="1"/>
              <w:overflowPunct w:val="1"/>
              <w:topLinePunct w:val="0"/>
              <w:kinsoku w:val="1"/>
              <w:autoSpaceDE w:val="1"/>
              <w:autoSpaceDN w:val="1"/>
              <w:bidi w:val="0"/>
              <w:adjustRightInd w:val="1"/>
              <w:snapToGrid w:val="1"/>
              <w:jc w:val="left"/>
              <w:numPr>
                <w:ilvl w:val="0"/>
                <w:numId w:val="0"/>
              </w:numPr>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2、</w:t>
            </w:r>
            <w:r>
              <w:rPr>
                <w:color w:val="auto"/>
                <w:sz w:val="24"/>
                <w:rFonts w:ascii="仿宋_GB2312" w:hAnsi="仿宋_GB2312" w:eastAsia="仿宋_GB2312" w:cs="仿宋_GB2312" w:hint="eastAsia"/>
              </w:rPr>
              <w:t>颜色：警用肩灯发光区域应可通过透明材质外壳交替发出红色、蓝色光</w:t>
            </w:r>
            <w:r>
              <w:rPr>
                <w:color w:val="auto"/>
                <w:sz w:val="24"/>
                <w:lang w:eastAsia="zh-CN"/>
                <w:rFonts w:ascii="仿宋_GB2312" w:hAnsi="仿宋_GB2312" w:eastAsia="仿宋_GB2312" w:cs="仿宋_GB2312" w:hint="eastAsia"/>
              </w:rPr>
              <w:t>。</w:t>
            </w:r>
          </w:p>
          <w:p w14:paraId="0C69DD83">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三、尺寸要求；≤78*35*31mm。</w:t>
            </w:r>
          </w:p>
          <w:p w14:paraId="118EF384">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四、</w:t>
            </w:r>
            <w:r>
              <w:rPr>
                <w:color w:val="auto"/>
                <w:sz w:val="24"/>
                <w:rFonts w:ascii="仿宋_GB2312" w:hAnsi="仿宋_GB2312" w:eastAsia="仿宋_GB2312" w:cs="仿宋_GB2312" w:hint="eastAsia"/>
              </w:rPr>
              <w:t>质量</w:t>
            </w:r>
            <w:r>
              <w:rPr>
                <w:color w:val="auto"/>
                <w:sz w:val="24"/>
                <w:lang w:val="en-US" w:eastAsia="zh-CN"/>
                <w:rFonts w:ascii="仿宋_GB2312" w:hAnsi="仿宋_GB2312" w:eastAsia="仿宋_GB2312" w:cs="仿宋_GB2312" w:hint="eastAsia"/>
              </w:rPr>
              <w:t>要求</w:t>
            </w:r>
            <w:r>
              <w:rPr>
                <w:color w:val="auto"/>
                <w:sz w:val="24"/>
                <w:rFonts w:ascii="仿宋_GB2312" w:hAnsi="仿宋_GB2312" w:eastAsia="仿宋_GB2312" w:cs="仿宋_GB2312" w:hint="eastAsia"/>
              </w:rPr>
              <w:t>：总质量（不含充电器）</w:t>
            </w:r>
            <w:r>
              <w:rPr>
                <w:color w:val="auto"/>
                <w:sz w:val="24"/>
                <w:lang w:val="en-US" w:eastAsia="zh-CN"/>
                <w:rFonts w:ascii="仿宋_GB2312" w:hAnsi="仿宋_GB2312" w:eastAsia="仿宋_GB2312" w:cs="仿宋_GB2312" w:hint="eastAsia"/>
              </w:rPr>
              <w:t>≤</w:t>
            </w:r>
            <w:r>
              <w:rPr>
                <w:color w:val="auto"/>
                <w:sz w:val="24"/>
                <w:rFonts w:ascii="仿宋_GB2312" w:hAnsi="仿宋_GB2312" w:eastAsia="仿宋_GB2312" w:cs="仿宋_GB2312" w:hint="eastAsia"/>
              </w:rPr>
              <w:t>5</w:t>
            </w:r>
            <w:r>
              <w:rPr>
                <w:color w:val="auto"/>
                <w:sz w:val="24"/>
                <w:lang w:val="en-US" w:eastAsia="zh-CN"/>
                <w:rFonts w:ascii="仿宋_GB2312" w:hAnsi="仿宋_GB2312" w:eastAsia="仿宋_GB2312" w:cs="仿宋_GB2312" w:hint="eastAsia"/>
              </w:rPr>
              <w:t>5</w:t>
            </w:r>
            <w:r>
              <w:rPr>
                <w:color w:val="auto"/>
                <w:sz w:val="24"/>
                <w:rFonts w:ascii="仿宋_GB2312" w:hAnsi="仿宋_GB2312" w:eastAsia="仿宋_GB2312" w:cs="仿宋_GB2312" w:hint="eastAsia"/>
              </w:rPr>
              <w:t>g</w:t>
            </w:r>
            <w:r>
              <w:rPr>
                <w:color w:val="auto"/>
                <w:sz w:val="24"/>
                <w:lang w:eastAsia="zh-CN"/>
                <w:rFonts w:ascii="仿宋_GB2312" w:hAnsi="仿宋_GB2312" w:eastAsia="仿宋_GB2312" w:cs="仿宋_GB2312" w:hint="eastAsia"/>
              </w:rPr>
              <w:t>。</w:t>
            </w:r>
          </w:p>
          <w:p w14:paraId="4BB07378">
            <w:pPr>
              <w:pageBreakBefore w:val="0"/>
              <w:wordWrap w:val="1"/>
              <w:overflowPunct w:val="1"/>
              <w:topLinePunct w:val="0"/>
              <w:kinsoku w:val="1"/>
              <w:autoSpaceDE w:val="1"/>
              <w:autoSpaceDN w:val="1"/>
              <w:bidi w:val="0"/>
              <w:adjustRightInd w:val="1"/>
              <w:snapToGrid w:val="1"/>
              <w:jc w:val="left"/>
              <w:numPr>
                <w:ilvl w:val="0"/>
                <w:numId w:val="7"/>
              </w:numPr>
              <w:spacing w:line="340" w:lineRule="exact"/>
              <w:ind w:firstLine="0" w:firstLineChars="0" w:left="0" w:leftChars="0"/>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结构要求</w:t>
            </w:r>
            <w:r>
              <w:rPr>
                <w:color w:val="auto"/>
                <w:sz w:val="24"/>
                <w:rFonts w:ascii="仿宋_GB2312" w:hAnsi="仿宋_GB2312" w:eastAsia="仿宋_GB2312" w:cs="仿宋_GB2312" w:hint="eastAsia"/>
              </w:rPr>
              <w:t>：肩灯由发光单元(频闪发光单元及照明发光单元)、外壳、内置可充电电池、开关、肩袢挂扣、充电器等组成。频闪发光单元与照明发光单元应独立，应由同一按钮开关进行功能切换。频闪发光单元及照明发光单元均应使用发光二极管（LED）制成</w:t>
            </w:r>
            <w:r>
              <w:rPr>
                <w:color w:val="auto"/>
                <w:sz w:val="24"/>
                <w:lang w:eastAsia="zh-CN"/>
                <w:rFonts w:ascii="仿宋_GB2312" w:hAnsi="仿宋_GB2312" w:eastAsia="仿宋_GB2312" w:cs="仿宋_GB2312" w:hint="eastAsia"/>
              </w:rPr>
              <w:t>。</w:t>
            </w:r>
          </w:p>
          <w:p w14:paraId="13094097">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六、性能要求：</w:t>
            </w:r>
          </w:p>
          <w:p w14:paraId="5F152885">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1、工作时间；</w:t>
            </w:r>
            <w:r>
              <w:rPr>
                <w:color w:val="auto"/>
                <w:sz w:val="24"/>
                <w:rFonts w:ascii="仿宋_GB2312" w:hAnsi="仿宋_GB2312" w:eastAsia="仿宋_GB2312" w:cs="仿宋_GB2312" w:hint="eastAsia"/>
              </w:rPr>
              <w:t>频闪模式连续工作时间：完全充电状态进入频闪模式,连续工作时间</w:t>
            </w:r>
            <w:r>
              <w:rPr>
                <w:color w:val="auto"/>
                <w:sz w:val="24"/>
                <w:lang w:val="en-US" w:eastAsia="zh-CN"/>
                <w:rFonts w:ascii="仿宋_GB2312" w:hAnsi="仿宋_GB2312" w:eastAsia="仿宋_GB2312" w:cs="仿宋_GB2312" w:hint="eastAsia"/>
              </w:rPr>
              <w:t>≥</w:t>
            </w:r>
            <w:r>
              <w:rPr>
                <w:color w:val="auto"/>
                <w:sz w:val="24"/>
                <w:rFonts w:ascii="仿宋_GB2312" w:hAnsi="仿宋_GB2312" w:eastAsia="仿宋_GB2312" w:cs="仿宋_GB2312" w:hint="eastAsia"/>
              </w:rPr>
              <w:t>28h，期间警用肩灯不应自动变换发光状态或熄灭</w:t>
            </w:r>
            <w:r>
              <w:rPr>
                <w:color w:val="auto"/>
                <w:sz w:val="24"/>
                <w:lang w:eastAsia="zh-CN"/>
                <w:rFonts w:ascii="仿宋_GB2312" w:hAnsi="仿宋_GB2312" w:eastAsia="仿宋_GB2312" w:cs="仿宋_GB2312" w:hint="eastAsia"/>
              </w:rPr>
              <w:t>；</w:t>
            </w:r>
          </w:p>
          <w:p w14:paraId="13B63296">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2、额定电压；5V；</w:t>
            </w:r>
          </w:p>
          <w:p w14:paraId="686C3CAB">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3、电池容量：≥500毫安；</w:t>
            </w:r>
          </w:p>
          <w:p w14:paraId="43A12AC9">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 xml:space="preserve">4、工作功能，具有四种模式，前闪，后闪，前后同时闪烁，照明； </w:t>
            </w:r>
          </w:p>
          <w:p w14:paraId="435F115F">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5、辨识可视距离：≥500m；</w:t>
            </w:r>
          </w:p>
          <w:p w14:paraId="5AFE5280">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6、闪光颜色：红、蓝；</w:t>
            </w:r>
          </w:p>
          <w:p w14:paraId="45010C41">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7、照明功能：</w:t>
            </w:r>
            <w:r>
              <w:rPr>
                <w:color w:val="auto"/>
                <w:sz w:val="24"/>
                <w:rFonts w:ascii="仿宋_GB2312" w:hAnsi="仿宋_GB2312" w:eastAsia="仿宋_GB2312" w:cs="仿宋_GB2312" w:hint="eastAsia"/>
              </w:rPr>
              <w:t>初始照度：照明模式时，据光源300 mm处光斑中心初始照度应为250 lx～300 lx</w:t>
            </w:r>
            <w:r>
              <w:rPr>
                <w:color w:val="auto"/>
                <w:sz w:val="24"/>
                <w:lang w:eastAsia="zh-CN"/>
                <w:rFonts w:ascii="仿宋_GB2312" w:hAnsi="仿宋_GB2312" w:eastAsia="仿宋_GB2312" w:cs="仿宋_GB2312" w:hint="eastAsia"/>
              </w:rPr>
              <w:t>；</w:t>
            </w:r>
          </w:p>
          <w:p w14:paraId="0F39CFFE">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8</w:t>
            </w:r>
            <w:r>
              <w:rPr>
                <w:color w:val="auto"/>
                <w:sz w:val="24"/>
                <w:rFonts w:ascii="仿宋_GB2312" w:hAnsi="仿宋_GB2312" w:eastAsia="仿宋_GB2312" w:cs="仿宋_GB2312" w:hint="eastAsia"/>
              </w:rPr>
              <w:t>、照明模式连续工作时间：完全充电状态进入照明模式，连续工作2h，期间警用肩灯不应自动变换发光状态或熄灭，距光源 300 mm 处光斑中心照度应大于或等于 80 lx</w:t>
            </w:r>
            <w:r>
              <w:rPr>
                <w:color w:val="auto"/>
                <w:sz w:val="24"/>
                <w:lang w:eastAsia="zh-CN"/>
                <w:rFonts w:ascii="仿宋_GB2312" w:hAnsi="仿宋_GB2312" w:eastAsia="仿宋_GB2312" w:cs="仿宋_GB2312" w:hint="eastAsia"/>
              </w:rPr>
              <w:t>；</w:t>
            </w:r>
          </w:p>
          <w:p w14:paraId="17A0E5CC">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9</w:t>
            </w:r>
            <w:r>
              <w:rPr>
                <w:color w:val="auto"/>
                <w:sz w:val="24"/>
                <w:rFonts w:ascii="仿宋_GB2312" w:hAnsi="仿宋_GB2312" w:eastAsia="仿宋_GB2312" w:cs="仿宋_GB2312" w:hint="eastAsia"/>
              </w:rPr>
              <w:t>、充电接口：警用肩灯使用USB Type-C充电接口</w:t>
            </w:r>
            <w:r>
              <w:rPr>
                <w:color w:val="auto"/>
                <w:sz w:val="24"/>
                <w:lang w:val="en-US" w:eastAsia="zh-CN"/>
                <w:rFonts w:ascii="仿宋_GB2312" w:hAnsi="仿宋_GB2312" w:eastAsia="仿宋_GB2312" w:cs="仿宋_GB2312" w:hint="eastAsia"/>
              </w:rPr>
              <w:t>.</w:t>
            </w:r>
          </w:p>
          <w:p w14:paraId="12F105B9">
            <w:pPr>
              <w:pageBreakBefore w:val="0"/>
              <w:wordWrap w:val="1"/>
              <w:overflowPunct w:val="1"/>
              <w:topLinePunct w:val="0"/>
              <w:kinsoku w:val="1"/>
              <w:autoSpaceDE w:val="1"/>
              <w:autoSpaceDN w:val="1"/>
              <w:bidi w:val="0"/>
              <w:adjustRightInd w:val="1"/>
              <w:snapToGrid w:val="1"/>
              <w:jc w:val="left"/>
              <w:numPr>
                <w:ilvl w:val="0"/>
                <w:numId w:val="7"/>
              </w:numPr>
              <w:spacing w:line="340" w:lineRule="exact"/>
              <w:ind w:firstLine="0" w:firstLineChars="0" w:left="0" w:leftChars="0"/>
              <w:rPr>
                <w:color w:val="auto"/>
                <w:sz w:val="24"/>
                <w:rFonts w:ascii="仿宋_GB2312" w:hAnsi="仿宋_GB2312" w:eastAsia="仿宋_GB2312" w:cs="仿宋_GB2312" w:hint="eastAsia"/>
              </w:rPr>
            </w:pPr>
            <w:r>
              <w:rPr>
                <w:color w:val="auto"/>
                <w:sz w:val="24"/>
                <w:rFonts w:ascii="仿宋_GB2312" w:hAnsi="仿宋_GB2312" w:eastAsia="仿宋_GB2312" w:cs="仿宋_GB2312" w:hint="eastAsia"/>
              </w:rPr>
              <w:t>功能</w:t>
            </w:r>
            <w:r>
              <w:rPr>
                <w:color w:val="auto"/>
                <w:sz w:val="24"/>
                <w:lang w:val="en-US" w:eastAsia="zh-CN"/>
                <w:rFonts w:ascii="仿宋_GB2312" w:hAnsi="仿宋_GB2312" w:eastAsia="仿宋_GB2312" w:cs="仿宋_GB2312" w:hint="eastAsia"/>
              </w:rPr>
              <w:t>要求</w:t>
            </w:r>
            <w:r>
              <w:rPr>
                <w:color w:val="auto"/>
                <w:sz w:val="24"/>
                <w:rFonts w:ascii="仿宋_GB2312" w:hAnsi="仿宋_GB2312" w:eastAsia="仿宋_GB2312" w:cs="仿宋_GB2312" w:hint="eastAsia"/>
              </w:rPr>
              <w:t>：</w:t>
            </w:r>
          </w:p>
          <w:p w14:paraId="23333307">
            <w:pPr>
              <w:pageBreakBefore w:val="0"/>
              <w:wordWrap w:val="1"/>
              <w:overflowPunct w:val="1"/>
              <w:topLinePunct w:val="0"/>
              <w:kinsoku w:val="1"/>
              <w:autoSpaceDE w:val="1"/>
              <w:autoSpaceDN w:val="1"/>
              <w:bidi w:val="0"/>
              <w:adjustRightInd w:val="1"/>
              <w:snapToGrid w:val="1"/>
              <w:jc w:val="left"/>
              <w:numPr>
                <w:ilvl w:val="0"/>
                <w:numId w:val="0"/>
              </w:numPr>
              <w:spacing w:line="340" w:lineRule="exact"/>
              <w:ind w:leftChars="0"/>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1、</w:t>
            </w:r>
            <w:r>
              <w:rPr>
                <w:color w:val="auto"/>
                <w:sz w:val="24"/>
                <w:rFonts w:ascii="仿宋_GB2312" w:hAnsi="仿宋_GB2312" w:eastAsia="仿宋_GB2312" w:cs="仿宋_GB2312" w:hint="eastAsia"/>
              </w:rPr>
              <w:t>警用肩灯应具有照明模式及频闪模式，通过单一控制按钮进行开关及模式切换。照明模式与频闪模式应独立工作。开启警用肩灯后应直接进入频闪模式，在频闪模式中任意时间按压一次开关即可切换到照明模式</w:t>
            </w:r>
            <w:r>
              <w:rPr>
                <w:color w:val="auto"/>
                <w:sz w:val="24"/>
                <w:lang w:eastAsia="zh-CN"/>
                <w:rFonts w:ascii="仿宋_GB2312" w:hAnsi="仿宋_GB2312" w:eastAsia="仿宋_GB2312" w:cs="仿宋_GB2312" w:hint="eastAsia"/>
              </w:rPr>
              <w:t>；</w:t>
            </w:r>
          </w:p>
          <w:p w14:paraId="1B626722">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2</w:t>
            </w:r>
            <w:r>
              <w:rPr>
                <w:color w:val="auto"/>
                <w:sz w:val="24"/>
                <w:rFonts w:ascii="仿宋_GB2312" w:hAnsi="仿宋_GB2312" w:eastAsia="仿宋_GB2312" w:cs="仿宋_GB2312" w:hint="eastAsia"/>
              </w:rPr>
              <w:t>、电量提示功能：警用肩灯应具有电量提示功能，欠压及充满电状况均应有提示。 绿灯亮表示当前电量充足，红灯亮则表示当前电量低下，提示灯2秒后自动关闭。欠压时红光指示灯会持续闪烁</w:t>
            </w:r>
            <w:r>
              <w:rPr>
                <w:color w:val="auto"/>
                <w:sz w:val="24"/>
                <w:lang w:eastAsia="zh-CN"/>
                <w:rFonts w:ascii="仿宋_GB2312" w:hAnsi="仿宋_GB2312" w:eastAsia="仿宋_GB2312" w:cs="仿宋_GB2312" w:hint="eastAsia"/>
              </w:rPr>
              <w:t>；</w:t>
            </w:r>
          </w:p>
          <w:p w14:paraId="3DD488E3">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3</w:t>
            </w:r>
            <w:r>
              <w:rPr>
                <w:color w:val="auto"/>
                <w:sz w:val="24"/>
                <w:rFonts w:ascii="仿宋_GB2312" w:hAnsi="仿宋_GB2312" w:eastAsia="仿宋_GB2312" w:cs="仿宋_GB2312" w:hint="eastAsia"/>
              </w:rPr>
              <w:t>、频闪模式：频闪模式最大发光强度：全部频闪发光单元同时点亮时的最大发光强度应为2cd～4cd。频闪频率：警用肩灯分为3段频率：慢闪3hz±1hz、中闪5hz±1hz、快闪8hz±1hz</w:t>
            </w:r>
            <w:r>
              <w:rPr>
                <w:color w:val="auto"/>
                <w:sz w:val="24"/>
                <w:lang w:eastAsia="zh-CN"/>
                <w:rFonts w:ascii="仿宋_GB2312" w:hAnsi="仿宋_GB2312" w:eastAsia="仿宋_GB2312" w:cs="仿宋_GB2312" w:hint="eastAsia"/>
              </w:rPr>
              <w:t>；</w:t>
            </w:r>
          </w:p>
          <w:p w14:paraId="190A42EB">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4</w:t>
            </w:r>
            <w:r>
              <w:rPr>
                <w:color w:val="auto"/>
                <w:sz w:val="24"/>
                <w:rFonts w:ascii="仿宋_GB2312" w:hAnsi="仿宋_GB2312" w:eastAsia="仿宋_GB2312" w:cs="仿宋_GB2312" w:hint="eastAsia"/>
              </w:rPr>
              <w:t>、佩戴方式：肩袢挂扣应可进行旋转以配合调整佩戴方向。金属挂扣带有磁性，可吸附在金属表面</w:t>
            </w:r>
            <w:r>
              <w:rPr>
                <w:color w:val="auto"/>
                <w:sz w:val="24"/>
                <w:lang w:eastAsia="zh-CN"/>
                <w:rFonts w:ascii="仿宋_GB2312" w:hAnsi="仿宋_GB2312" w:eastAsia="仿宋_GB2312" w:cs="仿宋_GB2312" w:hint="eastAsia"/>
              </w:rPr>
              <w:t>；</w:t>
            </w:r>
          </w:p>
          <w:p w14:paraId="339175CB">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5</w:t>
            </w:r>
            <w:r>
              <w:rPr>
                <w:color w:val="auto"/>
                <w:sz w:val="24"/>
                <w:rFonts w:ascii="仿宋_GB2312" w:hAnsi="仿宋_GB2312" w:eastAsia="仿宋_GB2312" w:cs="仿宋_GB2312" w:hint="eastAsia"/>
              </w:rPr>
              <w:t>、挡光板：设置遮光板或防止闪光影响警员的装置或部件</w:t>
            </w:r>
            <w:r>
              <w:rPr>
                <w:color w:val="auto"/>
                <w:sz w:val="24"/>
                <w:lang w:eastAsia="zh-CN"/>
                <w:rFonts w:ascii="仿宋_GB2312" w:hAnsi="仿宋_GB2312" w:eastAsia="仿宋_GB2312" w:cs="仿宋_GB2312" w:hint="eastAsia"/>
              </w:rPr>
              <w:t>。</w:t>
            </w:r>
          </w:p>
          <w:p w14:paraId="65E34F81">
            <w:pPr>
              <w:pageBreakBefore w:val="0"/>
              <w:wordWrap w:val="1"/>
              <w:overflowPunct w:val="1"/>
              <w:topLinePunct w:val="0"/>
              <w:kinsoku w:val="1"/>
              <w:autoSpaceDE w:val="1"/>
              <w:autoSpaceDN w:val="1"/>
              <w:bidi w:val="0"/>
              <w:adjustRightInd w:val="1"/>
              <w:snapToGrid w:val="1"/>
              <w:jc w:val="left"/>
              <w:numPr>
                <w:ilvl w:val="0"/>
                <w:numId w:val="7"/>
              </w:numPr>
              <w:spacing w:line="340" w:lineRule="exact"/>
              <w:ind w:firstLine="0" w:firstLineChars="0" w:left="0" w:leftChars="0"/>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可靠性要求：</w:t>
            </w:r>
          </w:p>
          <w:p w14:paraId="16379D0E">
            <w:pPr>
              <w:pageBreakBefore w:val="0"/>
              <w:wordWrap w:val="1"/>
              <w:overflowPunct w:val="1"/>
              <w:topLinePunct w:val="0"/>
              <w:kinsoku w:val="1"/>
              <w:autoSpaceDE w:val="1"/>
              <w:autoSpaceDN w:val="1"/>
              <w:bidi w:val="0"/>
              <w:adjustRightInd w:val="1"/>
              <w:snapToGrid w:val="1"/>
              <w:jc w:val="left"/>
              <w:spacing w:line="340" w:lineRule="exact"/>
              <w:rPr>
                <w:color w:val="auto"/>
                <w:sz w:val="24"/>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1</w:t>
            </w:r>
            <w:r>
              <w:rPr>
                <w:color w:val="auto"/>
                <w:sz w:val="24"/>
                <w:rFonts w:ascii="仿宋_GB2312" w:hAnsi="仿宋_GB2312" w:eastAsia="仿宋_GB2312" w:cs="仿宋_GB2312" w:hint="eastAsia"/>
              </w:rPr>
              <w:t>、开关可靠性：以（20次～30次）/ min频率触压开关10000次，开关功能应正常</w:t>
            </w:r>
            <w:r>
              <w:rPr>
                <w:color w:val="auto"/>
                <w:sz w:val="24"/>
                <w:lang w:eastAsia="zh-CN"/>
                <w:rFonts w:ascii="仿宋_GB2312" w:hAnsi="仿宋_GB2312" w:eastAsia="仿宋_GB2312" w:cs="仿宋_GB2312" w:hint="eastAsia"/>
              </w:rPr>
              <w:t>；</w:t>
            </w:r>
            <w:r>
              <w:rPr>
                <w:color w:val="auto"/>
                <w:sz w:val="24"/>
                <w:rFonts w:ascii="仿宋_GB2312" w:hAnsi="仿宋_GB2312" w:eastAsia="仿宋_GB2312" w:cs="仿宋_GB2312" w:hint="eastAsia"/>
              </w:rPr>
              <w:t xml:space="preserve"> </w:t>
            </w:r>
          </w:p>
          <w:p w14:paraId="6969E708">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2</w:t>
            </w:r>
            <w:r>
              <w:rPr>
                <w:color w:val="auto"/>
                <w:sz w:val="24"/>
                <w:rFonts w:ascii="仿宋_GB2312" w:hAnsi="仿宋_GB2312" w:eastAsia="仿宋_GB2312" w:cs="仿宋_GB2312" w:hint="eastAsia"/>
              </w:rPr>
              <w:t>、跌落可靠性：警用肩灯自1.8 m高度自由落下，各组成部件应无松动脱落、开裂、破碎</w:t>
            </w:r>
            <w:r>
              <w:rPr>
                <w:color w:val="auto"/>
                <w:sz w:val="24"/>
                <w:lang w:eastAsia="zh-CN"/>
                <w:rFonts w:ascii="仿宋_GB2312" w:hAnsi="仿宋_GB2312" w:eastAsia="仿宋_GB2312" w:cs="仿宋_GB2312" w:hint="eastAsia"/>
              </w:rPr>
              <w:t>；</w:t>
            </w:r>
          </w:p>
          <w:p w14:paraId="31764CFD">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3</w:t>
            </w:r>
            <w:r>
              <w:rPr>
                <w:color w:val="auto"/>
                <w:sz w:val="24"/>
                <w:rFonts w:ascii="仿宋_GB2312" w:hAnsi="仿宋_GB2312" w:eastAsia="仿宋_GB2312" w:cs="仿宋_GB2312" w:hint="eastAsia"/>
              </w:rPr>
              <w:t>、静电放电抗扰度：警用肩灯静电放电抗扰度应符合GB/T 17626.2-2018中等级3的规定,试验中允许出现功能或性能暂时丧失或降低，但在骚扰停止后应能自行恢复，不需要操作者干预</w:t>
            </w:r>
            <w:r>
              <w:rPr>
                <w:color w:val="auto"/>
                <w:sz w:val="24"/>
                <w:lang w:eastAsia="zh-CN"/>
                <w:rFonts w:ascii="仿宋_GB2312" w:hAnsi="仿宋_GB2312" w:eastAsia="仿宋_GB2312" w:cs="仿宋_GB2312" w:hint="eastAsia"/>
              </w:rPr>
              <w:t>；</w:t>
            </w:r>
          </w:p>
          <w:p w14:paraId="18B92CAD">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4</w:t>
            </w:r>
            <w:r>
              <w:rPr>
                <w:color w:val="auto"/>
                <w:sz w:val="24"/>
                <w:rFonts w:ascii="仿宋_GB2312" w:hAnsi="仿宋_GB2312" w:eastAsia="仿宋_GB2312" w:cs="仿宋_GB2312" w:hint="eastAsia"/>
              </w:rPr>
              <w:t>、外壳防护等级：警用肩灯的外壳防护等级应符合GB/T 4208-2017中IP56的规定</w:t>
            </w:r>
            <w:r>
              <w:rPr>
                <w:color w:val="auto"/>
                <w:sz w:val="24"/>
                <w:lang w:eastAsia="zh-CN"/>
                <w:rFonts w:ascii="仿宋_GB2312" w:hAnsi="仿宋_GB2312" w:eastAsia="仿宋_GB2312" w:cs="仿宋_GB2312" w:hint="eastAsia"/>
              </w:rPr>
              <w:t>；</w:t>
            </w:r>
          </w:p>
          <w:p w14:paraId="14F6C8AC">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5</w:t>
            </w:r>
            <w:r>
              <w:rPr>
                <w:color w:val="auto"/>
                <w:sz w:val="24"/>
                <w:rFonts w:ascii="仿宋_GB2312" w:hAnsi="仿宋_GB2312" w:eastAsia="仿宋_GB2312" w:cs="仿宋_GB2312" w:hint="eastAsia"/>
              </w:rPr>
              <w:t>、外壳温升：警用肩灯的外壳温升应小于或等于25K</w:t>
            </w:r>
            <w:r>
              <w:rPr>
                <w:color w:val="auto"/>
                <w:sz w:val="24"/>
                <w:lang w:eastAsia="zh-CN"/>
                <w:rFonts w:ascii="仿宋_GB2312" w:hAnsi="仿宋_GB2312" w:eastAsia="仿宋_GB2312" w:cs="仿宋_GB2312" w:hint="eastAsia"/>
              </w:rPr>
              <w:t>；</w:t>
            </w:r>
          </w:p>
          <w:p w14:paraId="4CFA6018">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6</w:t>
            </w:r>
            <w:r>
              <w:rPr>
                <w:color w:val="auto"/>
                <w:sz w:val="24"/>
                <w:rFonts w:ascii="仿宋_GB2312" w:hAnsi="仿宋_GB2312" w:eastAsia="仿宋_GB2312" w:cs="仿宋_GB2312" w:hint="eastAsia"/>
              </w:rPr>
              <w:t>、温度适应性：警用肩灯在-20℃～55℃的温度条件下,保持4h，应能正常工作</w:t>
            </w:r>
            <w:r>
              <w:rPr>
                <w:color w:val="auto"/>
                <w:sz w:val="24"/>
                <w:lang w:eastAsia="zh-CN"/>
                <w:rFonts w:ascii="仿宋_GB2312" w:hAnsi="仿宋_GB2312" w:eastAsia="仿宋_GB2312" w:cs="仿宋_GB2312" w:hint="eastAsia"/>
              </w:rPr>
              <w:t>；</w:t>
            </w:r>
          </w:p>
          <w:p w14:paraId="5F6892BE">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7</w:t>
            </w:r>
            <w:r>
              <w:rPr>
                <w:color w:val="auto"/>
                <w:sz w:val="24"/>
                <w:rFonts w:ascii="仿宋_GB2312" w:hAnsi="仿宋_GB2312" w:eastAsia="仿宋_GB2312" w:cs="仿宋_GB2312" w:hint="eastAsia"/>
              </w:rPr>
              <w:t>、耐盐雾：警用肩灯经受盐雾腐蚀试验后应能正常启动，金属件应无锈蚀现象，壳体不应出现变形或裂纹</w:t>
            </w:r>
            <w:r>
              <w:rPr>
                <w:color w:val="auto"/>
                <w:sz w:val="24"/>
                <w:lang w:eastAsia="zh-CN"/>
                <w:rFonts w:ascii="仿宋_GB2312" w:hAnsi="仿宋_GB2312" w:eastAsia="仿宋_GB2312" w:cs="仿宋_GB2312" w:hint="eastAsia"/>
              </w:rPr>
              <w:t>。</w:t>
            </w:r>
          </w:p>
          <w:p w14:paraId="2D6AA687">
            <w:pPr>
              <w:pageBreakBefore w:val="0"/>
              <w:wordWrap w:val="1"/>
              <w:topLinePunct w:val="0"/>
              <w:kinsoku w:val="1"/>
              <w:bidi w:val="0"/>
              <w:snapToGrid w:val="1"/>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七、</w:t>
            </w:r>
            <w:r>
              <w:rPr>
                <w:color w:val="auto"/>
                <w:sz w:val="24"/>
                <w:rFonts w:ascii="仿宋_GB2312" w:hAnsi="仿宋_GB2312" w:eastAsia="仿宋_GB2312" w:cs="仿宋_GB2312" w:hint="eastAsia"/>
              </w:rPr>
              <w:t>货物免费保修期内，设备制造商要免费为设备及设备中包含的软硬件提供免费维护及升级的服务，需提供设备制造商书面承诺函(格式自定)并加盖设备制造商的公章</w:t>
            </w:r>
            <w:r>
              <w:rPr>
                <w:color w:val="auto"/>
                <w:sz w:val="24"/>
                <w:lang w:eastAsia="zh-CN"/>
                <w:rFonts w:ascii="仿宋_GB2312" w:hAnsi="仿宋_GB2312" w:eastAsia="仿宋_GB2312" w:cs="仿宋_GB2312" w:hint="eastAsia"/>
              </w:rPr>
              <w:t>。</w:t>
            </w:r>
          </w:p>
          <w:p w14:paraId="4BF7200D">
            <w:pPr>
              <w:pageBreakBefore w:val="0"/>
              <w:wordWrap w:val="1"/>
              <w:overflowPunct w:val="1"/>
              <w:topLinePunct w:val="0"/>
              <w:kinsoku w:val="1"/>
              <w:autoSpaceDE w:val="1"/>
              <w:autoSpaceDN w:val="1"/>
              <w:bidi w:val="0"/>
              <w:adjustRightInd w:val="1"/>
              <w:snapToGrid w:val="1"/>
              <w:jc w:val="left"/>
              <w:numPr>
                <w:ilvl w:val="0"/>
                <w:numId w:val="0"/>
              </w:numPr>
              <w:spacing w:line="340" w:lineRule="exact"/>
              <w:rPr>
                <w:color w:val="auto"/>
                <w:sz w:val="24"/>
                <w:lang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八、上述“</w:t>
            </w:r>
            <w:r>
              <w:rPr>
                <w:i w:val="0"/>
                <w:u w:val="none"/>
                <w:color w:val="auto"/>
                <w:sz w:val="24"/>
                <w:lang w:val="en-US" w:eastAsia="zh-CN" w:bidi="ar"/>
                <w:iCs w:val="0"/>
                <w:kern w:val="0"/>
                <w:szCs w:val="24"/>
                <w:rFonts w:ascii="仿宋_GB2312" w:hAnsi="仿宋_GB2312" w:eastAsia="仿宋_GB2312" w:cs="仿宋_GB2312" w:hint="eastAsia"/>
              </w:rPr>
              <w:t>▲</w:t>
            </w:r>
            <w:r>
              <w:rPr>
                <w:color w:val="auto"/>
                <w:sz w:val="24"/>
                <w:lang w:val="en-US" w:eastAsia="zh-CN"/>
                <w:szCs w:val="24"/>
                <w:rFonts w:ascii="仿宋_GB2312" w:hAnsi="仿宋_GB2312" w:eastAsia="仿宋_GB2312" w:cs="仿宋_GB2312" w:hint="eastAsia"/>
              </w:rPr>
              <w:t>”指标，竞标时需提供</w:t>
            </w:r>
            <w:r>
              <w:rPr>
                <w:color w:val="auto"/>
                <w:sz w:val="24"/>
                <w:szCs w:val="24"/>
                <w:rFonts w:ascii="仿宋_GB2312" w:hAnsi="仿宋_GB2312" w:eastAsia="仿宋_GB2312" w:cs="仿宋_GB2312" w:hint="eastAsia"/>
              </w:rPr>
              <w:t>提供公安部产品质量监督检验中心出具的产品检验报告</w:t>
            </w:r>
            <w:r>
              <w:rPr>
                <w:color w:val="auto"/>
                <w:sz w:val="24"/>
                <w:lang w:val="en-US" w:eastAsia="zh-CN"/>
                <w:szCs w:val="24"/>
                <w:rFonts w:ascii="仿宋_GB2312" w:hAnsi="仿宋_GB2312" w:eastAsia="仿宋_GB2312" w:cs="仿宋_GB2312" w:hint="eastAsia"/>
              </w:rPr>
              <w:t>原件扫描件</w:t>
            </w:r>
            <w:r>
              <w:rPr>
                <w:color w:val="auto"/>
                <w:sz w:val="24"/>
                <w:szCs w:val="24"/>
                <w:rFonts w:ascii="仿宋_GB2312" w:hAnsi="仿宋_GB2312" w:eastAsia="仿宋_GB2312" w:cs="仿宋_GB2312" w:hint="eastAsia"/>
              </w:rPr>
              <w:t>并加盖</w:t>
            </w:r>
            <w:r>
              <w:rPr>
                <w:color w:val="auto"/>
                <w:sz w:val="24"/>
                <w:lang w:val="en-US" w:eastAsia="zh-CN"/>
                <w:szCs w:val="24"/>
                <w:rFonts w:ascii="仿宋_GB2312" w:hAnsi="仿宋_GB2312" w:eastAsia="仿宋_GB2312" w:cs="仿宋_GB2312" w:hint="eastAsia"/>
              </w:rPr>
              <w:t>生产厂家及供应商</w:t>
            </w:r>
            <w:r>
              <w:rPr>
                <w:color w:val="auto"/>
                <w:sz w:val="24"/>
                <w:szCs w:val="24"/>
                <w:rFonts w:ascii="仿宋_GB2312" w:hAnsi="仿宋_GB2312" w:eastAsia="仿宋_GB2312" w:cs="仿宋_GB2312" w:hint="eastAsia"/>
              </w:rPr>
              <w:t>单位公章</w:t>
            </w:r>
            <w:r>
              <w:rPr>
                <w:color w:val="auto"/>
                <w:sz w:val="24"/>
                <w:lang w:val="en-US" w:eastAsia="zh-CN"/>
                <w:szCs w:val="24"/>
                <w:rFonts w:ascii="仿宋_GB2312" w:hAnsi="仿宋_GB2312" w:eastAsia="仿宋_GB2312" w:cs="仿宋_GB2312" w:hint="eastAsia"/>
              </w:rPr>
              <w:t>，同时提供原件核查，</w:t>
            </w:r>
            <w:r>
              <w:rPr>
                <w:color w:val="auto"/>
                <w:sz w:val="24"/>
                <w:rFonts w:ascii="仿宋_GB2312" w:hAnsi="仿宋_GB2312" w:eastAsia="仿宋_GB2312" w:cs="仿宋_GB2312" w:hint="eastAsia"/>
              </w:rPr>
              <w:t>确保所有技术参数、功能均可满足采购文件要求</w:t>
            </w:r>
            <w:r>
              <w:rPr>
                <w:color w:val="auto"/>
                <w:sz w:val="24"/>
                <w:lang w:val="en-US" w:eastAsia="zh-CN"/>
                <w:rFonts w:ascii="仿宋_GB2312" w:hAnsi="仿宋_GB2312" w:eastAsia="仿宋_GB2312" w:cs="仿宋_GB2312" w:hint="eastAsia"/>
              </w:rPr>
              <w:t>。</w:t>
            </w:r>
          </w:p>
        </w:tc>
        <w:tc>
          <w:tcPr>
            <w:tcW w:w="709" w:type="dxa"/>
            <w:vAlign w:val="center"/>
            <w:tcBorders>
              <w:top w:val="single" w:color="auto" w:sz="4" w:space="0"/>
              <w:left w:val="nil"/>
              <w:bottom w:val="single" w:color="auto" w:sz="4" w:space="0"/>
              <w:right w:val="single" w:color="auto" w:sz="4" w:space="0"/>
            </w:tcBorders>
            <w:shd w:val="clear" w:color="auto" w:fill="auto"/>
            <w:noWrap/>
          </w:tcPr>
          <w:p w14:paraId="12EEED9A">
            <w:pPr>
              <w:pageBreakBefore w:val="0"/>
              <w:wordWrap w:val="1"/>
              <w:overflowPunct w:val="1"/>
              <w:topLinePunct w:val="0"/>
              <w:kinsoku w:val="1"/>
              <w:autoSpaceDE w:val="1"/>
              <w:autoSpaceDN w:val="1"/>
              <w:bidi w:val="0"/>
              <w:adjustRightInd w:val="1"/>
              <w:snapToGrid w:val="1"/>
              <w:jc w:val="center"/>
              <w:spacing w:line="340" w:lineRule="exact"/>
              <w:rPr>
                <w:color w:val="auto"/>
                <w:sz w:val="24"/>
                <w:rFonts w:ascii="仿宋_GB2312" w:hAnsi="仿宋_GB2312" w:eastAsia="仿宋_GB2312" w:cs="仿宋_GB2312" w:hint="eastAsia"/>
              </w:rPr>
            </w:pPr>
            <w:r>
              <w:rPr>
                <w:color w:val="auto"/>
                <w:sz w:val="24"/>
                <w:rFonts w:ascii="仿宋_GB2312" w:hAnsi="仿宋_GB2312" w:eastAsia="仿宋_GB2312" w:cs="仿宋_GB2312" w:hint="eastAsia"/>
              </w:rPr>
              <w:t>1460</w:t>
            </w:r>
          </w:p>
        </w:tc>
        <w:tc>
          <w:tcPr>
            <w:tcW w:w="851" w:type="dxa"/>
            <w:vAlign w:val="center"/>
            <w:tcBorders>
              <w:top w:val="single" w:color="auto" w:sz="4" w:space="0"/>
              <w:left w:val="nil"/>
              <w:bottom w:val="single" w:color="auto" w:sz="4" w:space="0"/>
              <w:right w:val="single" w:color="auto" w:sz="4" w:space="0"/>
            </w:tcBorders>
            <w:shd w:val="clear" w:color="auto" w:fill="auto"/>
            <w:noWrap/>
          </w:tcPr>
          <w:p w14:paraId="5118FFB5">
            <w:pPr>
              <w:pageBreakBefore w:val="0"/>
              <w:wordWrap w:val="1"/>
              <w:overflowPunct w:val="1"/>
              <w:topLinePunct w:val="0"/>
              <w:kinsoku w:val="1"/>
              <w:autoSpaceDE w:val="1"/>
              <w:autoSpaceDN w:val="1"/>
              <w:bidi w:val="0"/>
              <w:adjustRightInd w:val="1"/>
              <w:snapToGrid w:val="1"/>
              <w:jc w:val="center"/>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65</w:t>
            </w:r>
          </w:p>
        </w:tc>
        <w:tc>
          <w:tcPr>
            <w:tcW w:w="992" w:type="dxa"/>
            <w:vAlign w:val="center"/>
            <w:tcBorders>
              <w:top w:val="single" w:color="auto" w:sz="4" w:space="0"/>
              <w:left w:val="nil"/>
              <w:bottom w:val="single" w:color="auto" w:sz="4" w:space="0"/>
              <w:right w:val="nil"/>
            </w:tcBorders>
            <w:shd w:val="clear" w:color="auto" w:fill="auto"/>
            <w:noWrap/>
          </w:tcPr>
          <w:p w14:paraId="2139BCB4">
            <w:pPr>
              <w:pageBreakBefore w:val="0"/>
              <w:wordWrap w:val="1"/>
              <w:overflowPunct w:val="1"/>
              <w:topLinePunct w:val="0"/>
              <w:kinsoku w:val="1"/>
              <w:autoSpaceDE w:val="1"/>
              <w:autoSpaceDN w:val="1"/>
              <w:bidi w:val="0"/>
              <w:adjustRightInd w:val="1"/>
              <w:snapToGrid w:val="1"/>
              <w:jc w:val="center"/>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94900</w:t>
            </w:r>
          </w:p>
        </w:tc>
        <w:tc>
          <w:tcPr>
            <w:tcW w:w="1863" w:type="dxa"/>
            <w:vAlign w:val="center"/>
            <w:tcBorders>
              <w:top w:val="single" w:color="auto" w:sz="4" w:space="0"/>
              <w:left w:val="single" w:color="auto" w:sz="4" w:space="0"/>
              <w:bottom w:val="single" w:color="auto" w:sz="4" w:space="0"/>
              <w:right w:val="single" w:color="auto" w:sz="4" w:space="0"/>
            </w:tcBorders>
          </w:tcPr>
          <w:p w14:paraId="19CB2A4C">
            <w:pPr>
              <w:widowControl w:val="1"/>
              <w:pageBreakBefore w:val="0"/>
              <w:wordWrap w:val="1"/>
              <w:overflowPunct w:val="1"/>
              <w:topLinePunct w:val="0"/>
              <w:kinsoku w:val="1"/>
              <w:autoSpaceDE w:val="1"/>
              <w:autoSpaceDN w:val="1"/>
              <w:bidi w:val="0"/>
              <w:adjustRightInd w:val="1"/>
              <w:snapToGrid w:val="1"/>
              <w:jc w:val="left"/>
              <w:spacing w:line="340" w:lineRule="exact"/>
              <w:rPr>
                <w:color w:val="auto"/>
                <w:kern w:val="0"/>
                <w:szCs w:val="21"/>
                <w:rFonts w:ascii="仿宋_GB2312" w:hAnsi="仿宋_GB2312" w:eastAsia="仿宋_GB2312" w:cs="仿宋_GB2312" w:hint="eastAsia"/>
              </w:rPr>
            </w:pPr>
          </w:p>
          <w:p w14:paraId="66F4D681">
            <w:pPr>
              <w:widowControl w:val="1"/>
              <w:pageBreakBefore w:val="0"/>
              <w:wordWrap w:val="1"/>
              <w:overflowPunct w:val="1"/>
              <w:topLinePunct w:val="0"/>
              <w:kinsoku w:val="1"/>
              <w:autoSpaceDE w:val="1"/>
              <w:autoSpaceDN w:val="1"/>
              <w:bidi w:val="0"/>
              <w:adjustRightInd w:val="1"/>
              <w:snapToGrid w:val="1"/>
              <w:jc w:val="left"/>
              <w:spacing w:line="340" w:lineRule="exact"/>
              <w:rPr>
                <w:color w:val="auto"/>
                <w:kern w:val="0"/>
                <w:szCs w:val="21"/>
                <w:rFonts w:ascii="仿宋_GB2312" w:hAnsi="仿宋_GB2312" w:eastAsia="仿宋_GB2312" w:cs="仿宋_GB2312" w:hint="eastAsia"/>
              </w:rPr>
            </w:pPr>
            <w:r>
              <w:rPr>
                <w:color w:val="auto"/>
                <w:kern w:val="0"/>
                <w:szCs w:val="21"/>
                <w:rFonts w:ascii="仿宋_GB2312" w:hAnsi="仿宋_GB2312" w:eastAsia="仿宋_GB2312" w:cs="仿宋_GB2312" w:hint="eastAsia"/>
              </w:rPr>
              <w:t>提供样品，实物必须与采购参数要求相符</w:t>
            </w:r>
          </w:p>
        </w:tc>
      </w:tr>
      <w:tr w14:paraId="683BD45D">
        <w:tblPrEx>
          <w:tblCellMar>
            <w:top w:type="dxa" w:w="0.000000"/>
            <w:bottom w:type="dxa" w:w="0.000000"/>
            <w:left w:type="dxa" w:w="108.000000"/>
            <w:right w:type="dxa" w:w="108.000000"/>
          </w:tblCellMar>
        </w:tblPrEx>
        <w:trPr>
          <w:trHeight w:val="1558" w:hRule="atLeast"/>
          <w:jc w:val="center"/>
        </w:trPr>
        <w:tc>
          <w:tcPr>
            <w:tcW w:w="814" w:type="dxa"/>
            <w:vAlign w:val="center"/>
            <w:tcBorders>
              <w:top w:val="single" w:color="auto" w:sz="4" w:space="0"/>
              <w:left w:val="single" w:color="auto" w:sz="4" w:space="0"/>
              <w:bottom w:val="single" w:color="auto" w:sz="4" w:space="0"/>
              <w:right w:val="single" w:color="auto" w:sz="4" w:space="0"/>
            </w:tcBorders>
            <w:shd w:val="clear" w:color="auto" w:fill="auto"/>
            <w:noWrap/>
          </w:tcPr>
          <w:p w14:paraId="3124B5D4">
            <w:pPr>
              <w:widowControl w:val="1"/>
              <w:pageBreakBefore w:val="0"/>
              <w:wordWrap w:val="1"/>
              <w:overflowPunct w:val="1"/>
              <w:topLinePunct w:val="0"/>
              <w:kinsoku w:val="1"/>
              <w:autoSpaceDE w:val="1"/>
              <w:autoSpaceDN w:val="1"/>
              <w:bidi w:val="0"/>
              <w:adjustRightInd w:val="1"/>
              <w:snapToGrid w:val="1"/>
              <w:jc w:val="center"/>
              <w:spacing w:line="340" w:lineRule="exact"/>
              <w:rPr>
                <w:kern w:val="0"/>
                <w:szCs w:val="21"/>
                <w:rFonts w:ascii="仿宋_GB2312" w:hAnsi="仿宋_GB2312" w:eastAsia="仿宋_GB2312" w:cs="仿宋_GB2312" w:hint="eastAsia"/>
              </w:rPr>
            </w:pPr>
            <w:r>
              <w:rPr>
                <w:kern w:val="0"/>
                <w:szCs w:val="21"/>
                <w:rFonts w:ascii="仿宋_GB2312" w:hAnsi="仿宋_GB2312" w:eastAsia="仿宋_GB2312" w:cs="仿宋_GB2312" w:hint="eastAsia"/>
              </w:rPr>
              <w:t>4</w:t>
            </w:r>
          </w:p>
        </w:tc>
        <w:tc>
          <w:tcPr>
            <w:tcW w:w="951" w:type="dxa"/>
            <w:vAlign w:val="center"/>
            <w:tcBorders>
              <w:top w:val="single" w:color="auto" w:sz="4" w:space="0"/>
              <w:left w:val="nil"/>
              <w:bottom w:val="single" w:color="auto" w:sz="4" w:space="0"/>
              <w:right w:val="single" w:color="auto" w:sz="4" w:space="0"/>
            </w:tcBorders>
            <w:shd w:val="clear" w:color="auto" w:fill="auto"/>
          </w:tcPr>
          <w:p w14:paraId="57E598BE">
            <w:pPr>
              <w:pageBreakBefore w:val="0"/>
              <w:wordWrap w:val="1"/>
              <w:overflowPunct w:val="1"/>
              <w:topLinePunct w:val="0"/>
              <w:kinsoku w:val="1"/>
              <w:autoSpaceDE w:val="1"/>
              <w:autoSpaceDN w:val="1"/>
              <w:bidi w:val="0"/>
              <w:adjustRightInd w:val="1"/>
              <w:snapToGrid w:val="1"/>
              <w:jc w:val="center"/>
              <w:spacing w:line="340" w:lineRule="exact"/>
              <w:rPr>
                <w:sz w:val="24"/>
                <w:rFonts w:ascii="仿宋_GB2312" w:hAnsi="仿宋_GB2312" w:eastAsia="仿宋_GB2312" w:cs="仿宋_GB2312" w:hint="eastAsia"/>
              </w:rPr>
            </w:pPr>
            <w:r>
              <w:rPr>
                <w:sz w:val="24"/>
                <w:rFonts w:ascii="仿宋_GB2312" w:hAnsi="仿宋_GB2312" w:eastAsia="仿宋_GB2312" w:cs="仿宋_GB2312" w:hint="eastAsia"/>
              </w:rPr>
              <w:t>安全帽</w:t>
            </w:r>
          </w:p>
        </w:tc>
        <w:tc>
          <w:tcPr>
            <w:tcW w:w="4550" w:type="dxa"/>
            <w:vAlign w:val="center"/>
            <w:tcBorders>
              <w:top w:val="single" w:color="auto" w:sz="4" w:space="0"/>
              <w:left w:val="nil"/>
              <w:bottom w:val="single" w:color="auto" w:sz="4" w:space="0"/>
              <w:right w:val="single" w:color="auto" w:sz="4" w:space="0"/>
            </w:tcBorders>
            <w:shd w:val="clear" w:color="auto" w:fill="auto"/>
          </w:tcPr>
          <w:p w14:paraId="3424FA8E">
            <w:pPr>
              <w:pageBreakBefore w:val="0"/>
              <w:wordWrap w:val="1"/>
              <w:overflowPunct w:val="1"/>
              <w:topLinePunct w:val="0"/>
              <w:kinsoku w:val="1"/>
              <w:autoSpaceDE w:val="1"/>
              <w:autoSpaceDN w:val="1"/>
              <w:bidi w:val="0"/>
              <w:adjustRightInd w:val="1"/>
              <w:snapToGrid w:val="1"/>
              <w:jc w:val="left"/>
              <w:numPr>
                <w:ilvl w:val="0"/>
                <w:numId w:val="0"/>
              </w:numPr>
              <w:spacing w:line="340" w:lineRule="exact"/>
              <w:rPr>
                <w:color w:val="auto"/>
                <w:lang w:eastAsia="zh-CN"/>
                <w:szCs w:val="21"/>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一、基本要求：</w:t>
            </w:r>
            <w:r>
              <w:rPr>
                <w:color w:val="auto"/>
                <w:sz w:val="24"/>
                <w:rFonts w:ascii="仿宋_GB2312" w:hAnsi="仿宋_GB2312" w:eastAsia="仿宋_GB2312" w:cs="仿宋_GB2312" w:hint="eastAsia"/>
              </w:rPr>
              <w:t>符合</w:t>
            </w:r>
            <w:r>
              <w:rPr>
                <w:color w:val="auto"/>
                <w:szCs w:val="21"/>
                <w:rFonts w:ascii="仿宋_GB2312" w:hAnsi="仿宋_GB2312" w:eastAsia="仿宋_GB2312" w:cs="仿宋_GB2312" w:hint="eastAsia"/>
              </w:rPr>
              <w:t>GB2811-2019《头部防护 安全帽》</w:t>
            </w:r>
            <w:r>
              <w:rPr>
                <w:color w:val="auto"/>
                <w:lang w:val="en-US" w:eastAsia="zh-CN"/>
                <w:szCs w:val="21"/>
                <w:rFonts w:ascii="仿宋_GB2312" w:hAnsi="仿宋_GB2312" w:eastAsia="仿宋_GB2312" w:cs="仿宋_GB2312" w:hint="eastAsia"/>
              </w:rPr>
              <w:t>技术</w:t>
            </w:r>
            <w:r>
              <w:rPr>
                <w:color w:val="auto"/>
                <w:szCs w:val="21"/>
                <w:rFonts w:ascii="仿宋_GB2312" w:hAnsi="仿宋_GB2312" w:eastAsia="仿宋_GB2312" w:cs="仿宋_GB2312" w:hint="eastAsia"/>
              </w:rPr>
              <w:t>标准要求</w:t>
            </w:r>
            <w:r>
              <w:rPr>
                <w:color w:val="auto"/>
                <w:lang w:eastAsia="zh-CN"/>
                <w:szCs w:val="21"/>
                <w:rFonts w:ascii="仿宋_GB2312" w:hAnsi="仿宋_GB2312" w:eastAsia="仿宋_GB2312" w:cs="仿宋_GB2312" w:hint="eastAsia"/>
              </w:rPr>
              <w:t>。</w:t>
            </w:r>
          </w:p>
          <w:p w14:paraId="5CB63A36">
            <w:pPr>
              <w:pageBreakBefore w:val="0"/>
              <w:wordWrap w:val="1"/>
              <w:overflowPunct w:val="1"/>
              <w:topLinePunct w:val="0"/>
              <w:kinsoku w:val="1"/>
              <w:autoSpaceDE w:val="1"/>
              <w:autoSpaceDN w:val="1"/>
              <w:bidi w:val="0"/>
              <w:adjustRightInd w:val="1"/>
              <w:snapToGrid w:val="1"/>
              <w:jc w:val="left"/>
              <w:numPr>
                <w:ilvl w:val="0"/>
                <w:numId w:val="0"/>
              </w:numPr>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二、</w:t>
            </w:r>
            <w:r>
              <w:rPr>
                <w:color w:val="auto"/>
                <w:sz w:val="24"/>
                <w:rFonts w:ascii="仿宋_GB2312" w:hAnsi="仿宋_GB2312" w:eastAsia="仿宋_GB2312" w:cs="仿宋_GB2312" w:hint="eastAsia"/>
              </w:rPr>
              <w:t>外观</w:t>
            </w:r>
            <w:r>
              <w:rPr>
                <w:color w:val="auto"/>
                <w:sz w:val="24"/>
                <w:lang w:val="en-US" w:eastAsia="zh-CN"/>
                <w:rFonts w:ascii="仿宋_GB2312" w:hAnsi="仿宋_GB2312" w:eastAsia="仿宋_GB2312" w:cs="仿宋_GB2312" w:hint="eastAsia"/>
              </w:rPr>
              <w:t>要求</w:t>
            </w:r>
            <w:r>
              <w:rPr>
                <w:color w:val="auto"/>
                <w:sz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安全帽正前方需定制交通执法徽标，规格符合JT410—2022第4章的规定；</w:t>
            </w:r>
            <w:r>
              <w:rPr>
                <w:color w:val="auto"/>
                <w:sz w:val="24"/>
                <w:rFonts w:ascii="仿宋_GB2312" w:hAnsi="仿宋_GB2312" w:eastAsia="仿宋_GB2312" w:cs="仿宋_GB2312" w:hint="eastAsia"/>
              </w:rPr>
              <w:t>帽壳外部贴高可视反光材料</w:t>
            </w:r>
            <w:r>
              <w:rPr>
                <w:color w:val="auto"/>
                <w:sz w:val="24"/>
                <w:lang w:eastAsia="zh-CN"/>
                <w:rFonts w:ascii="仿宋_GB2312" w:hAnsi="仿宋_GB2312" w:eastAsia="仿宋_GB2312" w:cs="仿宋_GB2312" w:hint="eastAsia"/>
              </w:rPr>
              <w:t>。</w:t>
            </w:r>
          </w:p>
          <w:p w14:paraId="18E730CB">
            <w:pPr>
              <w:pageBreakBefore w:val="0"/>
              <w:wordWrap w:val="1"/>
              <w:overflowPunct w:val="1"/>
              <w:topLinePunct w:val="0"/>
              <w:kinsoku w:val="1"/>
              <w:autoSpaceDE w:val="1"/>
              <w:autoSpaceDN w:val="1"/>
              <w:bidi w:val="0"/>
              <w:adjustRightInd w:val="1"/>
              <w:snapToGrid w:val="1"/>
              <w:jc w:val="left"/>
              <w:numPr>
                <w:ilvl w:val="0"/>
                <w:numId w:val="0"/>
              </w:numPr>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三、规格和尺寸要求：</w:t>
            </w:r>
          </w:p>
          <w:p w14:paraId="0938EEB3">
            <w:pPr>
              <w:pageBreakBefore w:val="0"/>
              <w:wordWrap w:val="1"/>
              <w:overflowPunct w:val="1"/>
              <w:topLinePunct w:val="0"/>
              <w:kinsoku w:val="1"/>
              <w:autoSpaceDE w:val="1"/>
              <w:autoSpaceDN w:val="1"/>
              <w:bidi w:val="0"/>
              <w:adjustRightInd w:val="1"/>
              <w:snapToGrid w:val="1"/>
              <w:jc w:val="left"/>
              <w:spacing w:line="340" w:lineRule="exact"/>
              <w:rPr>
                <w:color w:val="auto"/>
                <w:sz w:val="24"/>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1</w:t>
            </w:r>
            <w:r>
              <w:rPr>
                <w:color w:val="auto"/>
                <w:sz w:val="24"/>
                <w:rFonts w:ascii="仿宋_GB2312" w:hAnsi="仿宋_GB2312" w:eastAsia="仿宋_GB2312" w:cs="仿宋_GB2312" w:hint="eastAsia"/>
              </w:rPr>
              <w:t>、规格：14*24*29.5cm（±1cm）；抗压、绝缘、防护、有透气孔；</w:t>
            </w:r>
          </w:p>
          <w:p w14:paraId="3200EAC2">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2</w:t>
            </w:r>
            <w:r>
              <w:rPr>
                <w:color w:val="auto"/>
                <w:sz w:val="24"/>
                <w:rFonts w:ascii="仿宋_GB2312" w:hAnsi="仿宋_GB2312" w:eastAsia="仿宋_GB2312" w:cs="仿宋_GB2312" w:hint="eastAsia"/>
              </w:rPr>
              <w:t>：帽箍:帽箍应可根据安全帽标识中明示的适用头围尺寸进行调整</w:t>
            </w:r>
            <w:r>
              <w:rPr>
                <w:color w:val="auto"/>
                <w:sz w:val="24"/>
                <w:lang w:eastAsia="zh-CN"/>
                <w:rFonts w:ascii="仿宋_GB2312" w:hAnsi="仿宋_GB2312" w:eastAsia="仿宋_GB2312" w:cs="仿宋_GB2312" w:hint="eastAsia"/>
              </w:rPr>
              <w:t>；</w:t>
            </w:r>
          </w:p>
          <w:p w14:paraId="7464126B">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3</w:t>
            </w:r>
            <w:r>
              <w:rPr>
                <w:color w:val="auto"/>
                <w:sz w:val="24"/>
                <w:rFonts w:ascii="仿宋_GB2312" w:hAnsi="仿宋_GB2312" w:eastAsia="仿宋_GB2312" w:cs="仿宋_GB2312" w:hint="eastAsia"/>
              </w:rPr>
              <w:t>、吸汗带：帽箍对应前额的区域应有吸汗性织物或增加吸汗带,吸汗带宽度应不小于帽箍的宽度</w:t>
            </w:r>
            <w:r>
              <w:rPr>
                <w:color w:val="auto"/>
                <w:sz w:val="24"/>
                <w:lang w:eastAsia="zh-CN"/>
                <w:rFonts w:ascii="仿宋_GB2312" w:hAnsi="仿宋_GB2312" w:eastAsia="仿宋_GB2312" w:cs="仿宋_GB2312" w:hint="eastAsia"/>
              </w:rPr>
              <w:t>；</w:t>
            </w:r>
          </w:p>
          <w:p w14:paraId="342D5332">
            <w:pPr>
              <w:pageBreakBefore w:val="0"/>
              <w:wordWrap w:val="1"/>
              <w:overflowPunct w:val="1"/>
              <w:topLinePunct w:val="0"/>
              <w:kinsoku w:val="1"/>
              <w:autoSpaceDE w:val="1"/>
              <w:autoSpaceDN w:val="1"/>
              <w:bidi w:val="0"/>
              <w:adjustRightInd w:val="1"/>
              <w:snapToGrid w:val="1"/>
              <w:jc w:val="left"/>
              <w:spacing w:line="340" w:lineRule="exact"/>
              <w:rPr>
                <w:color w:val="auto"/>
                <w:sz w:val="24"/>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4</w:t>
            </w:r>
            <w:r>
              <w:rPr>
                <w:color w:val="auto"/>
                <w:sz w:val="24"/>
                <w:rFonts w:ascii="仿宋_GB2312" w:hAnsi="仿宋_GB2312" w:eastAsia="仿宋_GB2312" w:cs="仿宋_GB2312" w:hint="eastAsia"/>
              </w:rPr>
              <w:t>、下颏带尺寸：</w:t>
            </w:r>
            <w:r>
              <w:rPr>
                <w:color w:val="auto"/>
                <w:sz w:val="24"/>
                <w:lang w:val="en-US" w:eastAsia="zh-CN"/>
                <w:rFonts w:ascii="仿宋_GB2312" w:hAnsi="仿宋_GB2312" w:eastAsia="仿宋_GB2312" w:cs="仿宋_GB2312" w:hint="eastAsia"/>
              </w:rPr>
              <w:t>宽度 ≥10mm或直径 ≥5mm；</w:t>
            </w:r>
          </w:p>
          <w:p w14:paraId="433DCF64">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5</w:t>
            </w:r>
            <w:r>
              <w:rPr>
                <w:color w:val="auto"/>
                <w:sz w:val="24"/>
                <w:rFonts w:ascii="仿宋_GB2312" w:hAnsi="仿宋_GB2312" w:eastAsia="仿宋_GB2312" w:cs="仿宋_GB2312" w:hint="eastAsia"/>
              </w:rPr>
              <w:t>、帽壳：帽壳表面不能有气泡、缺损及其他有损性能的缺陷</w:t>
            </w:r>
            <w:r>
              <w:rPr>
                <w:color w:val="auto"/>
                <w:sz w:val="24"/>
                <w:lang w:eastAsia="zh-CN"/>
                <w:rFonts w:ascii="仿宋_GB2312" w:hAnsi="仿宋_GB2312" w:eastAsia="仿宋_GB2312" w:cs="仿宋_GB2312" w:hint="eastAsia"/>
              </w:rPr>
              <w:t>；</w:t>
            </w:r>
          </w:p>
          <w:p w14:paraId="2465E15B">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6</w:t>
            </w:r>
            <w:r>
              <w:rPr>
                <w:color w:val="auto"/>
                <w:sz w:val="24"/>
                <w:rFonts w:ascii="仿宋_GB2312" w:hAnsi="仿宋_GB2312" w:eastAsia="仿宋_GB2312" w:cs="仿宋_GB2312" w:hint="eastAsia"/>
              </w:rPr>
              <w:t>、部件安装：安全帽各部件的安装应牢固,无松脱、滑落现象</w:t>
            </w:r>
            <w:r>
              <w:rPr>
                <w:color w:val="auto"/>
                <w:sz w:val="24"/>
                <w:lang w:eastAsia="zh-CN"/>
                <w:rFonts w:ascii="仿宋_GB2312" w:hAnsi="仿宋_GB2312" w:eastAsia="仿宋_GB2312" w:cs="仿宋_GB2312" w:hint="eastAsia"/>
              </w:rPr>
              <w:t>；</w:t>
            </w:r>
          </w:p>
          <w:p w14:paraId="544DCCD6">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7</w:t>
            </w:r>
            <w:r>
              <w:rPr>
                <w:color w:val="auto"/>
                <w:sz w:val="24"/>
                <w:rFonts w:ascii="仿宋_GB2312" w:hAnsi="仿宋_GB2312" w:eastAsia="仿宋_GB2312" w:cs="仿宋_GB2312" w:hint="eastAsia"/>
              </w:rPr>
              <w:t>、帽舌：帽舌应≤70mm</w:t>
            </w:r>
            <w:r>
              <w:rPr>
                <w:color w:val="auto"/>
                <w:sz w:val="24"/>
                <w:lang w:eastAsia="zh-CN"/>
                <w:rFonts w:ascii="仿宋_GB2312" w:hAnsi="仿宋_GB2312" w:eastAsia="仿宋_GB2312" w:cs="仿宋_GB2312" w:hint="eastAsia"/>
              </w:rPr>
              <w:t>；</w:t>
            </w:r>
          </w:p>
          <w:p w14:paraId="38FC8E52">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8</w:t>
            </w:r>
            <w:r>
              <w:rPr>
                <w:color w:val="auto"/>
                <w:sz w:val="24"/>
                <w:rFonts w:ascii="仿宋_GB2312" w:hAnsi="仿宋_GB2312" w:eastAsia="仿宋_GB2312" w:cs="仿宋_GB2312" w:hint="eastAsia"/>
              </w:rPr>
              <w:t>、帽沿：帽沿应≤70mm</w:t>
            </w:r>
            <w:r>
              <w:rPr>
                <w:color w:val="auto"/>
                <w:sz w:val="24"/>
                <w:lang w:eastAsia="zh-CN"/>
                <w:rFonts w:ascii="仿宋_GB2312" w:hAnsi="仿宋_GB2312" w:eastAsia="仿宋_GB2312" w:cs="仿宋_GB2312" w:hint="eastAsia"/>
              </w:rPr>
              <w:t>；</w:t>
            </w:r>
          </w:p>
          <w:p w14:paraId="0360B1A8">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9</w:t>
            </w:r>
            <w:r>
              <w:rPr>
                <w:color w:val="auto"/>
                <w:sz w:val="24"/>
                <w:rFonts w:ascii="仿宋_GB2312" w:hAnsi="仿宋_GB2312" w:eastAsia="仿宋_GB2312" w:cs="仿宋_GB2312" w:hint="eastAsia"/>
              </w:rPr>
              <w:t>、佩戴高度：佩戴高度应≥80mm</w:t>
            </w:r>
            <w:r>
              <w:rPr>
                <w:color w:val="auto"/>
                <w:sz w:val="24"/>
                <w:lang w:eastAsia="zh-CN"/>
                <w:rFonts w:ascii="仿宋_GB2312" w:hAnsi="仿宋_GB2312" w:eastAsia="仿宋_GB2312" w:cs="仿宋_GB2312" w:hint="eastAsia"/>
              </w:rPr>
              <w:t>；</w:t>
            </w:r>
          </w:p>
          <w:p w14:paraId="1E0ED7BD">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10</w:t>
            </w:r>
            <w:r>
              <w:rPr>
                <w:color w:val="auto"/>
                <w:sz w:val="24"/>
                <w:rFonts w:ascii="仿宋_GB2312" w:hAnsi="仿宋_GB2312" w:eastAsia="仿宋_GB2312" w:cs="仿宋_GB2312" w:hint="eastAsia"/>
              </w:rPr>
              <w:t>、垂直间距：垂直间距应≤50mm</w:t>
            </w:r>
            <w:r>
              <w:rPr>
                <w:color w:val="auto"/>
                <w:sz w:val="24"/>
                <w:lang w:eastAsia="zh-CN"/>
                <w:rFonts w:ascii="仿宋_GB2312" w:hAnsi="仿宋_GB2312" w:eastAsia="仿宋_GB2312" w:cs="仿宋_GB2312" w:hint="eastAsia"/>
              </w:rPr>
              <w:t>；</w:t>
            </w:r>
          </w:p>
          <w:p w14:paraId="55217540">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1</w:t>
            </w:r>
            <w:r>
              <w:rPr>
                <w:color w:val="auto"/>
                <w:sz w:val="24"/>
                <w:lang w:val="en-US" w:eastAsia="zh-CN"/>
                <w:rFonts w:ascii="仿宋_GB2312" w:hAnsi="仿宋_GB2312" w:eastAsia="仿宋_GB2312" w:cs="仿宋_GB2312" w:hint="eastAsia"/>
              </w:rPr>
              <w:t>1</w:t>
            </w:r>
            <w:r>
              <w:rPr>
                <w:color w:val="auto"/>
                <w:sz w:val="24"/>
                <w:rFonts w:ascii="仿宋_GB2312" w:hAnsi="仿宋_GB2312" w:eastAsia="仿宋_GB2312" w:cs="仿宋_GB2312" w:hint="eastAsia"/>
              </w:rPr>
              <w:t>、水平间距：水平间距应≥6mm</w:t>
            </w:r>
            <w:r>
              <w:rPr>
                <w:color w:val="auto"/>
                <w:sz w:val="24"/>
                <w:lang w:eastAsia="zh-CN"/>
                <w:rFonts w:ascii="仿宋_GB2312" w:hAnsi="仿宋_GB2312" w:eastAsia="仿宋_GB2312" w:cs="仿宋_GB2312" w:hint="eastAsia"/>
              </w:rPr>
              <w:t>；</w:t>
            </w:r>
          </w:p>
          <w:p w14:paraId="65BA662E">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1</w:t>
            </w:r>
            <w:r>
              <w:rPr>
                <w:color w:val="auto"/>
                <w:sz w:val="24"/>
                <w:lang w:val="en-US" w:eastAsia="zh-CN"/>
                <w:rFonts w:ascii="仿宋_GB2312" w:hAnsi="仿宋_GB2312" w:eastAsia="仿宋_GB2312" w:cs="仿宋_GB2312" w:hint="eastAsia"/>
              </w:rPr>
              <w:t>2</w:t>
            </w:r>
            <w:r>
              <w:rPr>
                <w:color w:val="auto"/>
                <w:sz w:val="24"/>
                <w:rFonts w:ascii="仿宋_GB2312" w:hAnsi="仿宋_GB2312" w:eastAsia="仿宋_GB2312" w:cs="仿宋_GB2312" w:hint="eastAsia"/>
              </w:rPr>
              <w:t>、帽壳内突出物：帽壳内侧与帽衬之间存在的尖锐锋利突出物高度不得超过6mm,突出物应有软垫覆盖</w:t>
            </w:r>
            <w:r>
              <w:rPr>
                <w:color w:val="auto"/>
                <w:sz w:val="24"/>
                <w:lang w:eastAsia="zh-CN"/>
                <w:rFonts w:ascii="仿宋_GB2312" w:hAnsi="仿宋_GB2312" w:eastAsia="仿宋_GB2312" w:cs="仿宋_GB2312" w:hint="eastAsia"/>
              </w:rPr>
              <w:t>；</w:t>
            </w:r>
          </w:p>
          <w:p w14:paraId="6B3C617D">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1</w:t>
            </w:r>
            <w:r>
              <w:rPr>
                <w:color w:val="auto"/>
                <w:sz w:val="24"/>
                <w:lang w:val="en-US" w:eastAsia="zh-CN"/>
                <w:rFonts w:ascii="仿宋_GB2312" w:hAnsi="仿宋_GB2312" w:eastAsia="仿宋_GB2312" w:cs="仿宋_GB2312" w:hint="eastAsia"/>
              </w:rPr>
              <w:t>3</w:t>
            </w:r>
            <w:r>
              <w:rPr>
                <w:color w:val="auto"/>
                <w:sz w:val="24"/>
                <w:rFonts w:ascii="仿宋_GB2312" w:hAnsi="仿宋_GB2312" w:eastAsia="仿宋_GB2312" w:cs="仿宋_GB2312" w:hint="eastAsia"/>
              </w:rPr>
              <w:t>、通气孔：当帽壳留有通气孔时,通气孔总面积不应大于450mm2</w:t>
            </w:r>
            <w:r>
              <w:rPr>
                <w:color w:val="auto"/>
                <w:sz w:val="24"/>
                <w:lang w:eastAsia="zh-CN"/>
                <w:rFonts w:ascii="仿宋_GB2312" w:hAnsi="仿宋_GB2312" w:eastAsia="仿宋_GB2312" w:cs="仿宋_GB2312" w:hint="eastAsia"/>
              </w:rPr>
              <w:t>。</w:t>
            </w:r>
          </w:p>
          <w:p w14:paraId="0522A7B0">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四、</w:t>
            </w:r>
            <w:r>
              <w:rPr>
                <w:color w:val="auto"/>
                <w:sz w:val="24"/>
                <w:rFonts w:ascii="仿宋_GB2312" w:hAnsi="仿宋_GB2312" w:eastAsia="仿宋_GB2312" w:cs="仿宋_GB2312" w:hint="eastAsia"/>
              </w:rPr>
              <w:t>质量</w:t>
            </w:r>
            <w:r>
              <w:rPr>
                <w:color w:val="auto"/>
                <w:sz w:val="24"/>
                <w:lang w:val="en-US" w:eastAsia="zh-CN"/>
                <w:rFonts w:ascii="仿宋_GB2312" w:hAnsi="仿宋_GB2312" w:eastAsia="仿宋_GB2312" w:cs="仿宋_GB2312" w:hint="eastAsia"/>
              </w:rPr>
              <w:t>要求</w:t>
            </w:r>
            <w:r>
              <w:rPr>
                <w:color w:val="auto"/>
                <w:sz w:val="24"/>
                <w:rFonts w:ascii="仿宋_GB2312" w:hAnsi="仿宋_GB2312" w:eastAsia="仿宋_GB2312" w:cs="仿宋_GB2312" w:hint="eastAsia"/>
              </w:rPr>
              <w:t>(不包括附件):安全帽不应超过600g,产品实际质量与标记质量相对误差不应大于5%</w:t>
            </w:r>
            <w:r>
              <w:rPr>
                <w:color w:val="auto"/>
                <w:sz w:val="24"/>
                <w:lang w:eastAsia="zh-CN"/>
                <w:rFonts w:ascii="仿宋_GB2312" w:hAnsi="仿宋_GB2312" w:eastAsia="仿宋_GB2312" w:cs="仿宋_GB2312" w:hint="eastAsia"/>
              </w:rPr>
              <w:t>。</w:t>
            </w:r>
          </w:p>
          <w:p w14:paraId="2F9B7E0A">
            <w:pPr>
              <w:pageBreakBefore w:val="0"/>
              <w:wordWrap w:val="1"/>
              <w:overflowPunct w:val="1"/>
              <w:topLinePunct w:val="0"/>
              <w:kinsoku w:val="1"/>
              <w:autoSpaceDE w:val="1"/>
              <w:autoSpaceDN w:val="1"/>
              <w:bidi w:val="0"/>
              <w:adjustRightInd w:val="1"/>
              <w:snapToGrid w:val="1"/>
              <w:jc w:val="left"/>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五、可靠性要求：</w:t>
            </w:r>
          </w:p>
          <w:p w14:paraId="1FF39279">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rFonts w:ascii="仿宋_GB2312" w:hAnsi="仿宋_GB2312" w:eastAsia="仿宋_GB2312" w:cs="仿宋_GB2312" w:hint="eastAsia"/>
              </w:rPr>
              <w:t>1、下颏带强度：当安全帽有下颏带时,下颏带发生破坏时的力值应介于150N-250N之间</w:t>
            </w:r>
            <w:r>
              <w:rPr>
                <w:color w:val="auto"/>
                <w:sz w:val="24"/>
                <w:lang w:eastAsia="zh-CN"/>
                <w:rFonts w:ascii="仿宋_GB2312" w:hAnsi="仿宋_GB2312" w:eastAsia="仿宋_GB2312" w:cs="仿宋_GB2312" w:hint="eastAsia"/>
              </w:rPr>
              <w:t>；</w:t>
            </w:r>
          </w:p>
          <w:p w14:paraId="0E5939F2">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★2</w:t>
            </w:r>
            <w:r>
              <w:rPr>
                <w:color w:val="auto"/>
                <w:sz w:val="24"/>
                <w:rFonts w:ascii="仿宋_GB2312" w:hAnsi="仿宋_GB2312" w:eastAsia="仿宋_GB2312" w:cs="仿宋_GB2312" w:hint="eastAsia"/>
              </w:rPr>
              <w:t>、附件：当安全帽配有附件(如防护面屏、护听器、照明装置、通信设备、警示标识、信息化装置等)时,附件应不影响安全帽的佩戴稳定性,同时不影响其正常防护功能</w:t>
            </w:r>
            <w:r>
              <w:rPr>
                <w:color w:val="auto"/>
                <w:sz w:val="24"/>
                <w:lang w:eastAsia="zh-CN"/>
                <w:rFonts w:ascii="仿宋_GB2312" w:hAnsi="仿宋_GB2312" w:eastAsia="仿宋_GB2312" w:cs="仿宋_GB2312" w:hint="eastAsia"/>
              </w:rPr>
              <w:t>；</w:t>
            </w:r>
          </w:p>
          <w:p w14:paraId="1F998918">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3</w:t>
            </w:r>
            <w:r>
              <w:rPr>
                <w:color w:val="auto"/>
                <w:sz w:val="24"/>
                <w:rFonts w:ascii="仿宋_GB2312" w:hAnsi="仿宋_GB2312" w:eastAsia="仿宋_GB2312" w:cs="仿宋_GB2312" w:hint="eastAsia"/>
              </w:rPr>
              <w:t>、冲击吸收性能：经高温(50℃+2℃)、低温(-10℃+2℃)、浸水(水温20℃+2℃)、紫外线照射预处理后做冲击测试,传递到头模的力不应大于4900N,帽壳不得有碎片脱落</w:t>
            </w:r>
            <w:r>
              <w:rPr>
                <w:color w:val="auto"/>
                <w:sz w:val="24"/>
                <w:lang w:eastAsia="zh-CN"/>
                <w:rFonts w:ascii="仿宋_GB2312" w:hAnsi="仿宋_GB2312" w:eastAsia="仿宋_GB2312" w:cs="仿宋_GB2312" w:hint="eastAsia"/>
              </w:rPr>
              <w:t>；</w:t>
            </w:r>
          </w:p>
          <w:p w14:paraId="3C0FF735">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4</w:t>
            </w:r>
            <w:r>
              <w:rPr>
                <w:color w:val="auto"/>
                <w:sz w:val="24"/>
                <w:rFonts w:ascii="仿宋_GB2312" w:hAnsi="仿宋_GB2312" w:eastAsia="仿宋_GB2312" w:cs="仿宋_GB2312" w:hint="eastAsia"/>
              </w:rPr>
              <w:t>、耐穿刺性能：经高温(50 ℃±2℃)、低温(-10℃+2℃)浸水(水温20℃士2℃)紫外线照射预处理后做穿刺测试,钢锥不得接触头表面,帽壳不得有碎片脱落</w:t>
            </w:r>
            <w:r>
              <w:rPr>
                <w:color w:val="auto"/>
                <w:sz w:val="24"/>
                <w:lang w:eastAsia="zh-CN"/>
                <w:rFonts w:ascii="仿宋_GB2312" w:hAnsi="仿宋_GB2312" w:eastAsia="仿宋_GB2312" w:cs="仿宋_GB2312" w:hint="eastAsia"/>
              </w:rPr>
              <w:t>；</w:t>
            </w:r>
          </w:p>
          <w:p w14:paraId="36E25244">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5</w:t>
            </w:r>
            <w:r>
              <w:rPr>
                <w:color w:val="auto"/>
                <w:sz w:val="24"/>
                <w:rFonts w:ascii="仿宋_GB2312" w:hAnsi="仿宋_GB2312" w:eastAsia="仿宋_GB2312" w:cs="仿宋_GB2312" w:hint="eastAsia"/>
              </w:rPr>
              <w:t>、阻燃性能：续燃时间不应超过5s,帽壳不得烧穿</w:t>
            </w:r>
            <w:r>
              <w:rPr>
                <w:color w:val="auto"/>
                <w:sz w:val="24"/>
                <w:lang w:eastAsia="zh-CN"/>
                <w:rFonts w:ascii="仿宋_GB2312" w:hAnsi="仿宋_GB2312" w:eastAsia="仿宋_GB2312" w:cs="仿宋_GB2312" w:hint="eastAsia"/>
              </w:rPr>
              <w:t>；</w:t>
            </w:r>
          </w:p>
          <w:p w14:paraId="51AA7EF4">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6</w:t>
            </w:r>
            <w:r>
              <w:rPr>
                <w:color w:val="auto"/>
                <w:sz w:val="24"/>
                <w:rFonts w:ascii="仿宋_GB2312" w:hAnsi="仿宋_GB2312" w:eastAsia="仿宋_GB2312" w:cs="仿宋_GB2312" w:hint="eastAsia"/>
              </w:rPr>
              <w:t>、侧向刚性：最大变形不应大于40mm,残余变形不应大于15mm,帽壳不得有碎片脱落</w:t>
            </w:r>
            <w:r>
              <w:rPr>
                <w:color w:val="auto"/>
                <w:sz w:val="24"/>
                <w:lang w:eastAsia="zh-CN"/>
                <w:rFonts w:ascii="仿宋_GB2312" w:hAnsi="仿宋_GB2312" w:eastAsia="仿宋_GB2312" w:cs="仿宋_GB2312" w:hint="eastAsia"/>
              </w:rPr>
              <w:t>；</w:t>
            </w:r>
          </w:p>
          <w:p w14:paraId="69DB7716">
            <w:pPr>
              <w:pageBreakBefore w:val="0"/>
              <w:wordWrap w:val="1"/>
              <w:overflowPunct w:val="1"/>
              <w:topLinePunct w:val="0"/>
              <w:kinsoku w:val="1"/>
              <w:autoSpaceDE w:val="1"/>
              <w:autoSpaceDN w:val="1"/>
              <w:bidi w:val="0"/>
              <w:adjustRightInd w:val="1"/>
              <w:snapToGrid w:val="1"/>
              <w:jc w:val="left"/>
              <w:spacing w:line="340" w:lineRule="exact"/>
              <w:rPr>
                <w:color w:val="auto"/>
                <w:sz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7</w:t>
            </w:r>
            <w:r>
              <w:rPr>
                <w:color w:val="auto"/>
                <w:sz w:val="24"/>
                <w:rFonts w:ascii="仿宋_GB2312" w:hAnsi="仿宋_GB2312" w:eastAsia="仿宋_GB2312" w:cs="仿宋_GB2312" w:hint="eastAsia"/>
              </w:rPr>
              <w:t>、耐低温性能：</w:t>
            </w:r>
          </w:p>
          <w:p w14:paraId="125DEEA1">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①低温(-30℃士2℃),3h预处理后做冲击测试,传递到头模的力不应大于4900N,帽壳不得有碎片脱落</w:t>
            </w:r>
            <w:r>
              <w:rPr>
                <w:color w:val="auto"/>
                <w:sz w:val="24"/>
                <w:lang w:eastAsia="zh-CN"/>
                <w:rFonts w:ascii="仿宋_GB2312" w:hAnsi="仿宋_GB2312" w:eastAsia="仿宋_GB2312" w:cs="仿宋_GB2312" w:hint="eastAsia"/>
              </w:rPr>
              <w:t>；</w:t>
            </w:r>
          </w:p>
          <w:p w14:paraId="707FE7B3">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②低温(-30℃士2℃)、3h预处理后做穿刺测试,钢锥不得接触头模表面,帽壳不得有碎片脱落</w:t>
            </w:r>
            <w:r>
              <w:rPr>
                <w:color w:val="auto"/>
                <w:sz w:val="24"/>
                <w:lang w:eastAsia="zh-CN"/>
                <w:rFonts w:ascii="仿宋_GB2312" w:hAnsi="仿宋_GB2312" w:eastAsia="仿宋_GB2312" w:cs="仿宋_GB2312" w:hint="eastAsia"/>
              </w:rPr>
              <w:t>；</w:t>
            </w:r>
          </w:p>
          <w:p w14:paraId="1C6841B9">
            <w:pPr>
              <w:pageBreakBefore w:val="0"/>
              <w:wordWrap w:val="1"/>
              <w:overflowPunct w:val="1"/>
              <w:topLinePunct w:val="0"/>
              <w:kinsoku w:val="1"/>
              <w:autoSpaceDE w:val="1"/>
              <w:autoSpaceDN w:val="1"/>
              <w:bidi w:val="0"/>
              <w:adjustRightInd w:val="1"/>
              <w:snapToGrid w:val="1"/>
              <w:jc w:val="left"/>
              <w:spacing w:line="340" w:lineRule="exact"/>
              <w:rPr>
                <w:color w:val="auto"/>
                <w:sz w:val="24"/>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8</w:t>
            </w:r>
            <w:r>
              <w:rPr>
                <w:color w:val="auto"/>
                <w:sz w:val="24"/>
                <w:rFonts w:ascii="仿宋_GB2312" w:hAnsi="仿宋_GB2312" w:eastAsia="仿宋_GB2312" w:cs="仿宋_GB2312" w:hint="eastAsia"/>
              </w:rPr>
              <w:t>、耐极高温性能：</w:t>
            </w:r>
          </w:p>
          <w:p w14:paraId="4AE75724">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①极高温(150℃士5 ℃)、1h预处理后做冲击测试,传递到头模的力不应大于4900N,帽壳不得有碎片脱落</w:t>
            </w:r>
            <w:r>
              <w:rPr>
                <w:color w:val="auto"/>
                <w:sz w:val="24"/>
                <w:lang w:eastAsia="zh-CN"/>
                <w:rFonts w:ascii="仿宋_GB2312" w:hAnsi="仿宋_GB2312" w:eastAsia="仿宋_GB2312" w:cs="仿宋_GB2312" w:hint="eastAsia"/>
              </w:rPr>
              <w:t>。</w:t>
            </w:r>
          </w:p>
          <w:p w14:paraId="7A008853">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rFonts w:ascii="仿宋_GB2312" w:hAnsi="仿宋_GB2312" w:eastAsia="仿宋_GB2312" w:cs="仿宋_GB2312" w:hint="eastAsia"/>
              </w:rPr>
              <w:t>②极高温(150℃+5℃)、1h预处理后做穿刺测试,钢锥不得接触头模表面。帽壳不得有碎片脱落</w:t>
            </w:r>
            <w:r>
              <w:rPr>
                <w:color w:val="auto"/>
                <w:sz w:val="24"/>
                <w:lang w:eastAsia="zh-CN"/>
                <w:rFonts w:ascii="仿宋_GB2312" w:hAnsi="仿宋_GB2312" w:eastAsia="仿宋_GB2312" w:cs="仿宋_GB2312" w:hint="eastAsia"/>
              </w:rPr>
              <w:t>；</w:t>
            </w:r>
          </w:p>
          <w:p w14:paraId="705DEBC6">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w:t>
            </w:r>
            <w:r>
              <w:rPr>
                <w:color w:val="auto"/>
                <w:sz w:val="24"/>
                <w:lang w:val="en-US" w:eastAsia="zh-CN"/>
                <w:rFonts w:ascii="仿宋_GB2312" w:hAnsi="仿宋_GB2312" w:eastAsia="仿宋_GB2312" w:cs="仿宋_GB2312" w:hint="eastAsia"/>
              </w:rPr>
              <w:t>9</w:t>
            </w:r>
            <w:r>
              <w:rPr>
                <w:color w:val="auto"/>
                <w:sz w:val="24"/>
                <w:rFonts w:ascii="仿宋_GB2312" w:hAnsi="仿宋_GB2312" w:eastAsia="仿宋_GB2312" w:cs="仿宋_GB2312" w:hint="eastAsia"/>
              </w:rPr>
              <w:t>、电绝缘性能：G级安全帽泄漏电流不应大于3.0mA;E级安全帽泄漏电流不应大于9.0mA,电压30000V时,安全帽不应被击穿、发生燃烧现象</w:t>
            </w:r>
            <w:r>
              <w:rPr>
                <w:color w:val="auto"/>
                <w:sz w:val="24"/>
                <w:lang w:eastAsia="zh-CN"/>
                <w:rFonts w:ascii="仿宋_GB2312" w:hAnsi="仿宋_GB2312" w:eastAsia="仿宋_GB2312" w:cs="仿宋_GB2312" w:hint="eastAsia"/>
              </w:rPr>
              <w:t>；</w:t>
            </w:r>
          </w:p>
          <w:p w14:paraId="3B44A582">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10</w:t>
            </w:r>
            <w:r>
              <w:rPr>
                <w:color w:val="auto"/>
                <w:sz w:val="24"/>
                <w:rFonts w:ascii="仿宋_GB2312" w:hAnsi="仿宋_GB2312" w:eastAsia="仿宋_GB2312" w:cs="仿宋_GB2312" w:hint="eastAsia"/>
              </w:rPr>
              <w:t>、防静电性能：表面电阳应为1x10'Ω~1x10”Ω</w:t>
            </w:r>
            <w:r>
              <w:rPr>
                <w:color w:val="auto"/>
                <w:sz w:val="24"/>
                <w:lang w:eastAsia="zh-CN"/>
                <w:rFonts w:ascii="仿宋_GB2312" w:hAnsi="仿宋_GB2312" w:eastAsia="仿宋_GB2312" w:cs="仿宋_GB2312" w:hint="eastAsia"/>
              </w:rPr>
              <w:t>；</w:t>
            </w:r>
          </w:p>
          <w:p w14:paraId="4A525DF2">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11</w:t>
            </w:r>
            <w:r>
              <w:rPr>
                <w:color w:val="auto"/>
                <w:sz w:val="24"/>
                <w:rFonts w:ascii="仿宋_GB2312" w:hAnsi="仿宋_GB2312" w:eastAsia="仿宋_GB2312" w:cs="仿宋_GB2312" w:hint="eastAsia"/>
              </w:rPr>
              <w:t>、永久标识：安全帽的永久标识应位于产品主体 安全帽主体内侧有保持清晰可辨的内侧，并在产品整个生命周期内一直保持清晰可辨的标识，至少应包括以下内容:标准编号、制造厂名、生产日期、产品名称、产品的分类标记、产品的强制报废期限</w:t>
            </w:r>
            <w:r>
              <w:rPr>
                <w:color w:val="auto"/>
                <w:sz w:val="24"/>
                <w:lang w:val="en-US" w:eastAsia="zh-CN"/>
                <w:rFonts w:ascii="仿宋_GB2312" w:hAnsi="仿宋_GB2312" w:eastAsia="仿宋_GB2312" w:cs="仿宋_GB2312" w:hint="eastAsia"/>
              </w:rPr>
              <w:t>.</w:t>
            </w:r>
          </w:p>
          <w:p w14:paraId="7EAA3C56">
            <w:pPr>
              <w:pageBreakBefore w:val="0"/>
              <w:wordWrap w:val="1"/>
              <w:topLinePunct w:val="0"/>
              <w:kinsoku w:val="1"/>
              <w:bidi w:val="0"/>
              <w:snapToGrid w:val="1"/>
              <w:spacing w:line="340" w:lineRule="exact"/>
              <w:rPr>
                <w:color w:val="auto"/>
                <w:sz w:val="24"/>
                <w:lang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五、</w:t>
            </w:r>
            <w:r>
              <w:rPr>
                <w:color w:val="auto"/>
                <w:sz w:val="24"/>
                <w:rFonts w:ascii="仿宋_GB2312" w:hAnsi="仿宋_GB2312" w:eastAsia="仿宋_GB2312" w:cs="仿宋_GB2312" w:hint="eastAsia"/>
              </w:rPr>
              <w:t>货物免费保修期内，设备制造商要免费为设备及设备中包含的软硬件提供免费维护及升级的服务，需提供设备制造商书面承诺函(格式自定)并加盖设备制造商的公章</w:t>
            </w:r>
            <w:r>
              <w:rPr>
                <w:color w:val="auto"/>
                <w:sz w:val="24"/>
                <w:lang w:eastAsia="zh-CN"/>
                <w:rFonts w:ascii="仿宋_GB2312" w:hAnsi="仿宋_GB2312" w:eastAsia="仿宋_GB2312" w:cs="仿宋_GB2312" w:hint="eastAsia"/>
              </w:rPr>
              <w:t>。</w:t>
            </w:r>
          </w:p>
          <w:p w14:paraId="6E8EB62C">
            <w:pPr>
              <w:pageBreakBefore w:val="0"/>
              <w:wordWrap w:val="1"/>
              <w:overflowPunct w:val="1"/>
              <w:topLinePunct w:val="0"/>
              <w:kinsoku w:val="1"/>
              <w:autoSpaceDE w:val="1"/>
              <w:autoSpaceDN w:val="1"/>
              <w:bidi w:val="0"/>
              <w:adjustRightInd w:val="1"/>
              <w:snapToGrid w:val="1"/>
              <w:jc w:val="left"/>
              <w:spacing w:line="340" w:lineRule="exact"/>
              <w:rPr>
                <w:color w:val="auto"/>
                <w:sz w:val="24"/>
                <w:lang w:eastAsia="zh-CN"/>
                <w:rFonts w:ascii="仿宋_GB2312" w:hAnsi="仿宋_GB2312" w:eastAsia="仿宋_GB2312" w:cs="仿宋_GB2312" w:hint="eastAsia"/>
              </w:rPr>
            </w:pPr>
            <w:r>
              <w:rPr>
                <w:color w:val="auto"/>
                <w:sz w:val="24"/>
                <w:lang w:val="en-US" w:eastAsia="zh-CN"/>
                <w:szCs w:val="24"/>
                <w:rFonts w:ascii="仿宋_GB2312" w:hAnsi="仿宋_GB2312" w:eastAsia="仿宋_GB2312" w:cs="仿宋_GB2312" w:hint="eastAsia"/>
              </w:rPr>
              <w:t>六、上述“</w:t>
            </w:r>
            <w:r>
              <w:rPr>
                <w:color w:val="auto"/>
                <w:sz w:val="24"/>
                <w:lang w:val="en-US" w:eastAsia="zh-CN"/>
                <w:szCs w:val="24"/>
                <w:rFonts w:ascii="仿宋_GB2312" w:hAnsi="仿宋_GB2312" w:eastAsia="仿宋_GB2312" w:cs="仿宋_GB2312" w:hint="eastAsia"/>
              </w:rPr>
              <w:t>★</w:t>
            </w:r>
            <w:r>
              <w:rPr>
                <w:color w:val="auto"/>
                <w:sz w:val="24"/>
                <w:lang w:val="en-US" w:eastAsia="zh-CN"/>
                <w:szCs w:val="24"/>
                <w:rFonts w:ascii="仿宋_GB2312" w:hAnsi="仿宋_GB2312" w:eastAsia="仿宋_GB2312" w:cs="仿宋_GB2312" w:hint="eastAsia"/>
              </w:rPr>
              <w:t>”指标，</w:t>
            </w:r>
            <w:r>
              <w:rPr>
                <w:color w:val="auto"/>
                <w:sz w:val="24"/>
                <w:rFonts w:ascii="仿宋_GB2312" w:hAnsi="仿宋_GB2312" w:eastAsia="仿宋_GB2312" w:cs="仿宋_GB2312" w:hint="eastAsia"/>
              </w:rPr>
              <w:t>竞标时请提供具有CMA</w:t>
            </w:r>
            <w:r>
              <w:rPr>
                <w:color w:val="auto"/>
                <w:sz w:val="24"/>
                <w:lang w:val="en-US" w:eastAsia="zh-CN"/>
                <w:rFonts w:ascii="仿宋_GB2312" w:hAnsi="仿宋_GB2312" w:eastAsia="仿宋_GB2312" w:cs="仿宋_GB2312" w:hint="eastAsia"/>
              </w:rPr>
              <w:t>\</w:t>
            </w:r>
            <w:r>
              <w:rPr>
                <w:color w:val="auto"/>
                <w:sz w:val="24"/>
                <w:rFonts w:ascii="仿宋_GB2312" w:hAnsi="仿宋_GB2312" w:eastAsia="仿宋_GB2312" w:cs="仿宋_GB2312" w:hint="eastAsia"/>
              </w:rPr>
              <w:t>CNAS</w:t>
            </w:r>
            <w:r>
              <w:rPr>
                <w:color w:val="auto"/>
                <w:sz w:val="24"/>
                <w:lang w:val="en-US" w:eastAsia="zh-CN"/>
                <w:rFonts w:ascii="仿宋_GB2312" w:hAnsi="仿宋_GB2312" w:eastAsia="仿宋_GB2312" w:cs="仿宋_GB2312" w:hint="eastAsia"/>
              </w:rPr>
              <w:t>\GAL</w:t>
            </w:r>
            <w:r>
              <w:rPr>
                <w:color w:val="auto"/>
                <w:sz w:val="24"/>
                <w:rFonts w:ascii="仿宋_GB2312" w:hAnsi="仿宋_GB2312" w:eastAsia="仿宋_GB2312" w:cs="仿宋_GB2312" w:hint="eastAsia"/>
              </w:rPr>
              <w:t>认证标识的第三方检验机构出具的</w:t>
            </w:r>
            <w:r>
              <w:rPr>
                <w:color w:val="auto"/>
                <w:sz w:val="24"/>
                <w:szCs w:val="24"/>
                <w:rFonts w:ascii="仿宋_GB2312" w:hAnsi="仿宋_GB2312" w:eastAsia="仿宋_GB2312" w:cs="仿宋_GB2312" w:hint="eastAsia"/>
              </w:rPr>
              <w:t>检验报告</w:t>
            </w:r>
            <w:r>
              <w:rPr>
                <w:color w:val="auto"/>
                <w:sz w:val="24"/>
                <w:lang w:val="en-US" w:eastAsia="zh-CN"/>
                <w:szCs w:val="24"/>
                <w:rFonts w:ascii="仿宋_GB2312" w:hAnsi="仿宋_GB2312" w:eastAsia="仿宋_GB2312" w:cs="仿宋_GB2312" w:hint="eastAsia"/>
              </w:rPr>
              <w:t>原件扫描件</w:t>
            </w:r>
            <w:r>
              <w:rPr>
                <w:color w:val="auto"/>
                <w:sz w:val="24"/>
                <w:szCs w:val="24"/>
                <w:rFonts w:ascii="仿宋_GB2312" w:hAnsi="仿宋_GB2312" w:eastAsia="仿宋_GB2312" w:cs="仿宋_GB2312" w:hint="eastAsia"/>
              </w:rPr>
              <w:t>并加盖</w:t>
            </w:r>
            <w:r>
              <w:rPr>
                <w:color w:val="auto"/>
                <w:sz w:val="24"/>
                <w:lang w:val="en-US" w:eastAsia="zh-CN"/>
                <w:szCs w:val="24"/>
                <w:rFonts w:ascii="仿宋_GB2312" w:hAnsi="仿宋_GB2312" w:eastAsia="仿宋_GB2312" w:cs="仿宋_GB2312" w:hint="eastAsia"/>
              </w:rPr>
              <w:t>生产厂家及供应商</w:t>
            </w:r>
            <w:r>
              <w:rPr>
                <w:color w:val="auto"/>
                <w:sz w:val="24"/>
                <w:szCs w:val="24"/>
                <w:rFonts w:ascii="仿宋_GB2312" w:hAnsi="仿宋_GB2312" w:eastAsia="仿宋_GB2312" w:cs="仿宋_GB2312" w:hint="eastAsia"/>
              </w:rPr>
              <w:t>单位公章</w:t>
            </w:r>
            <w:r>
              <w:rPr>
                <w:color w:val="auto"/>
                <w:sz w:val="24"/>
                <w:lang w:val="en-US" w:eastAsia="zh-CN"/>
                <w:szCs w:val="24"/>
                <w:rFonts w:ascii="仿宋_GB2312" w:hAnsi="仿宋_GB2312" w:eastAsia="仿宋_GB2312" w:cs="仿宋_GB2312" w:hint="eastAsia"/>
              </w:rPr>
              <w:t>，同时提供原件核查，</w:t>
            </w:r>
            <w:r>
              <w:rPr>
                <w:color w:val="auto"/>
                <w:sz w:val="24"/>
                <w:rFonts w:ascii="仿宋_GB2312" w:hAnsi="仿宋_GB2312" w:eastAsia="仿宋_GB2312" w:cs="仿宋_GB2312" w:hint="eastAsia"/>
              </w:rPr>
              <w:t>确保所有技术参数、功能均可满足采购文件要求</w:t>
            </w:r>
            <w:r>
              <w:rPr>
                <w:color w:val="auto"/>
                <w:sz w:val="24"/>
                <w:lang w:eastAsia="zh-CN"/>
                <w:rFonts w:ascii="仿宋_GB2312" w:hAnsi="仿宋_GB2312" w:eastAsia="仿宋_GB2312" w:cs="仿宋_GB2312" w:hint="eastAsia"/>
              </w:rPr>
              <w:t>。</w:t>
            </w:r>
          </w:p>
        </w:tc>
        <w:tc>
          <w:tcPr>
            <w:tcW w:w="709" w:type="dxa"/>
            <w:vAlign w:val="center"/>
            <w:tcBorders>
              <w:top w:val="single" w:color="auto" w:sz="4" w:space="0"/>
              <w:left w:val="nil"/>
              <w:bottom w:val="single" w:color="auto" w:sz="4" w:space="0"/>
              <w:right w:val="single" w:color="auto" w:sz="4" w:space="0"/>
            </w:tcBorders>
            <w:shd w:val="clear" w:color="auto" w:fill="auto"/>
            <w:noWrap/>
          </w:tcPr>
          <w:p w14:paraId="645A5495">
            <w:pPr>
              <w:pageBreakBefore w:val="0"/>
              <w:wordWrap w:val="1"/>
              <w:overflowPunct w:val="1"/>
              <w:topLinePunct w:val="0"/>
              <w:kinsoku w:val="1"/>
              <w:autoSpaceDE w:val="1"/>
              <w:autoSpaceDN w:val="1"/>
              <w:bidi w:val="0"/>
              <w:adjustRightInd w:val="1"/>
              <w:snapToGrid w:val="1"/>
              <w:jc w:val="center"/>
              <w:spacing w:line="340" w:lineRule="exact"/>
              <w:rPr>
                <w:color w:val="auto"/>
                <w:sz w:val="24"/>
                <w:rFonts w:ascii="仿宋_GB2312" w:hAnsi="仿宋_GB2312" w:eastAsia="仿宋_GB2312" w:cs="仿宋_GB2312" w:hint="eastAsia"/>
              </w:rPr>
            </w:pPr>
            <w:r>
              <w:rPr>
                <w:color w:val="auto"/>
                <w:sz w:val="24"/>
                <w:rFonts w:ascii="仿宋_GB2312" w:hAnsi="仿宋_GB2312" w:eastAsia="仿宋_GB2312" w:cs="仿宋_GB2312" w:hint="eastAsia"/>
              </w:rPr>
              <w:t>28</w:t>
            </w:r>
          </w:p>
        </w:tc>
        <w:tc>
          <w:tcPr>
            <w:tcW w:w="851" w:type="dxa"/>
            <w:vAlign w:val="center"/>
            <w:tcBorders>
              <w:top w:val="single" w:color="auto" w:sz="4" w:space="0"/>
              <w:left w:val="nil"/>
              <w:bottom w:val="single" w:color="auto" w:sz="4" w:space="0"/>
              <w:right w:val="single" w:color="auto" w:sz="4" w:space="0"/>
            </w:tcBorders>
            <w:shd w:val="clear" w:color="auto" w:fill="auto"/>
            <w:noWrap/>
          </w:tcPr>
          <w:p w14:paraId="1808D3D4">
            <w:pPr>
              <w:pageBreakBefore w:val="0"/>
              <w:wordWrap w:val="1"/>
              <w:overflowPunct w:val="1"/>
              <w:topLinePunct w:val="0"/>
              <w:kinsoku w:val="1"/>
              <w:autoSpaceDE w:val="1"/>
              <w:autoSpaceDN w:val="1"/>
              <w:bidi w:val="0"/>
              <w:adjustRightInd w:val="1"/>
              <w:snapToGrid w:val="1"/>
              <w:jc w:val="center"/>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50</w:t>
            </w:r>
          </w:p>
        </w:tc>
        <w:tc>
          <w:tcPr>
            <w:tcW w:w="992" w:type="dxa"/>
            <w:vAlign w:val="center"/>
            <w:tcBorders>
              <w:top w:val="single" w:color="auto" w:sz="4" w:space="0"/>
              <w:left w:val="nil"/>
              <w:bottom w:val="single" w:color="auto" w:sz="4" w:space="0"/>
              <w:right w:val="nil"/>
            </w:tcBorders>
            <w:shd w:val="clear" w:color="auto" w:fill="auto"/>
            <w:noWrap/>
          </w:tcPr>
          <w:p w14:paraId="1542EADE">
            <w:pPr>
              <w:pageBreakBefore w:val="0"/>
              <w:wordWrap w:val="1"/>
              <w:overflowPunct w:val="1"/>
              <w:topLinePunct w:val="0"/>
              <w:kinsoku w:val="1"/>
              <w:autoSpaceDE w:val="1"/>
              <w:autoSpaceDN w:val="1"/>
              <w:bidi w:val="0"/>
              <w:adjustRightInd w:val="1"/>
              <w:snapToGrid w:val="1"/>
              <w:jc w:val="center"/>
              <w:spacing w:line="340" w:lineRule="exact"/>
              <w:rPr>
                <w:color w:val="auto"/>
                <w:sz w:val="24"/>
                <w:lang w:val="en-US" w:eastAsia="zh-CN"/>
                <w:rFonts w:ascii="仿宋_GB2312" w:hAnsi="仿宋_GB2312" w:eastAsia="仿宋_GB2312" w:cs="仿宋_GB2312" w:hint="eastAsia"/>
              </w:rPr>
            </w:pPr>
            <w:r>
              <w:rPr>
                <w:color w:val="auto"/>
                <w:sz w:val="24"/>
                <w:lang w:val="en-US" w:eastAsia="zh-CN"/>
                <w:rFonts w:ascii="仿宋_GB2312" w:hAnsi="仿宋_GB2312" w:eastAsia="仿宋_GB2312" w:cs="仿宋_GB2312" w:hint="eastAsia"/>
              </w:rPr>
              <w:t>1400</w:t>
            </w:r>
          </w:p>
        </w:tc>
        <w:tc>
          <w:tcPr>
            <w:tcW w:w="1863" w:type="dxa"/>
            <w:vAlign w:val="center"/>
            <w:tcBorders>
              <w:top w:val="single" w:color="auto" w:sz="4" w:space="0"/>
              <w:left w:val="single" w:color="auto" w:sz="4" w:space="0"/>
              <w:bottom w:val="single" w:color="auto" w:sz="4" w:space="0"/>
              <w:right w:val="single" w:color="auto" w:sz="4" w:space="0"/>
            </w:tcBorders>
          </w:tcPr>
          <w:p w14:paraId="3A8A3074">
            <w:pPr>
              <w:widowControl w:val="1"/>
              <w:pageBreakBefore w:val="0"/>
              <w:wordWrap w:val="1"/>
              <w:overflowPunct w:val="1"/>
              <w:topLinePunct w:val="0"/>
              <w:kinsoku w:val="1"/>
              <w:autoSpaceDE w:val="1"/>
              <w:autoSpaceDN w:val="1"/>
              <w:bidi w:val="0"/>
              <w:adjustRightInd w:val="1"/>
              <w:snapToGrid w:val="1"/>
              <w:jc w:val="left"/>
              <w:spacing w:line="340" w:lineRule="exact"/>
              <w:rPr>
                <w:color w:val="auto"/>
                <w:kern w:val="0"/>
                <w:szCs w:val="21"/>
                <w:rFonts w:ascii="仿宋_GB2312" w:hAnsi="仿宋_GB2312" w:eastAsia="仿宋_GB2312" w:cs="仿宋_GB2312" w:hint="eastAsia"/>
              </w:rPr>
            </w:pPr>
          </w:p>
          <w:p w14:paraId="51064904">
            <w:pPr>
              <w:widowControl w:val="1"/>
              <w:pageBreakBefore w:val="0"/>
              <w:wordWrap w:val="1"/>
              <w:overflowPunct w:val="1"/>
              <w:topLinePunct w:val="0"/>
              <w:kinsoku w:val="1"/>
              <w:autoSpaceDE w:val="1"/>
              <w:autoSpaceDN w:val="1"/>
              <w:bidi w:val="0"/>
              <w:adjustRightInd w:val="1"/>
              <w:snapToGrid w:val="1"/>
              <w:jc w:val="left"/>
              <w:spacing w:line="340" w:lineRule="exact"/>
              <w:rPr>
                <w:color w:val="auto"/>
                <w:kern w:val="0"/>
                <w:szCs w:val="21"/>
                <w:rFonts w:ascii="仿宋_GB2312" w:hAnsi="仿宋_GB2312" w:eastAsia="仿宋_GB2312" w:cs="仿宋_GB2312" w:hint="eastAsia"/>
              </w:rPr>
            </w:pPr>
            <w:r>
              <w:rPr>
                <w:color w:val="auto"/>
                <w:kern w:val="0"/>
                <w:szCs w:val="21"/>
                <w:rFonts w:ascii="仿宋_GB2312" w:hAnsi="仿宋_GB2312" w:eastAsia="仿宋_GB2312" w:cs="仿宋_GB2312" w:hint="eastAsia"/>
              </w:rPr>
              <w:t>提供样品，实物必须与采购参数要求相符</w:t>
            </w:r>
          </w:p>
        </w:tc>
      </w:tr>
      <w:tr w14:paraId="7BAF7BA5">
        <w:tblPrEx>
          <w:tblCellMar>
            <w:top w:type="dxa" w:w="0.000000"/>
            <w:bottom w:type="dxa" w:w="0.000000"/>
            <w:left w:type="dxa" w:w="108.000000"/>
            <w:right w:type="dxa" w:w="108.000000"/>
          </w:tblCellMar>
        </w:tblPrEx>
        <w:trPr>
          <w:trHeight w:val="689" w:hRule="atLeast"/>
          <w:jc w:val="center"/>
        </w:trPr>
        <w:tc>
          <w:tcPr>
            <w:tcW w:w="814" w:type="dxa"/>
            <w:vAlign w:val="center"/>
            <w:tcBorders>
              <w:top w:val="single" w:color="auto" w:sz="4" w:space="0"/>
              <w:left w:val="single" w:color="auto" w:sz="4" w:space="0"/>
              <w:bottom w:val="single" w:color="auto" w:sz="4" w:space="0"/>
              <w:right w:val="single" w:color="auto" w:sz="4" w:space="0"/>
            </w:tcBorders>
            <w:shd w:val="clear" w:color="auto" w:fill="auto"/>
            <w:noWrap/>
          </w:tcPr>
          <w:p w14:paraId="41F3ED36">
            <w:pPr>
              <w:widowControl w:val="1"/>
              <w:pageBreakBefore w:val="0"/>
              <w:wordWrap w:val="1"/>
              <w:overflowPunct w:val="1"/>
              <w:topLinePunct w:val="0"/>
              <w:kinsoku w:val="1"/>
              <w:autoSpaceDE w:val="1"/>
              <w:autoSpaceDN w:val="1"/>
              <w:bidi w:val="0"/>
              <w:adjustRightInd w:val="1"/>
              <w:snapToGrid w:val="1"/>
              <w:jc w:val="left"/>
              <w:spacing w:line="340" w:lineRule="exact"/>
              <w:rPr>
                <w:kern w:val="0"/>
                <w:szCs w:val="21"/>
                <w:rFonts w:ascii="仿宋_GB2312" w:hAnsi="仿宋_GB2312" w:eastAsia="仿宋_GB2312" w:cs="仿宋_GB2312" w:hint="eastAsia"/>
              </w:rPr>
            </w:pPr>
            <w:r>
              <w:rPr>
                <w:kern w:val="0"/>
                <w:szCs w:val="21"/>
                <w:rFonts w:ascii="仿宋_GB2312" w:hAnsi="仿宋_GB2312" w:eastAsia="仿宋_GB2312" w:cs="仿宋_GB2312" w:hint="eastAsia"/>
              </w:rPr>
              <w:t>　</w:t>
            </w:r>
          </w:p>
        </w:tc>
        <w:tc>
          <w:tcPr>
            <w:tcW w:w="951" w:type="dxa"/>
            <w:vAlign w:val="center"/>
            <w:tcBorders>
              <w:top w:val="single" w:color="auto" w:sz="4" w:space="0"/>
              <w:left w:val="nil"/>
              <w:bottom w:val="single" w:color="auto" w:sz="4" w:space="0"/>
              <w:right w:val="single" w:color="auto" w:sz="4" w:space="0"/>
            </w:tcBorders>
            <w:shd w:val="clear" w:color="auto" w:fill="auto"/>
          </w:tcPr>
          <w:p w14:paraId="20FA0300">
            <w:pPr>
              <w:widowControl w:val="1"/>
              <w:pageBreakBefore w:val="0"/>
              <w:wordWrap w:val="1"/>
              <w:overflowPunct w:val="1"/>
              <w:topLinePunct w:val="0"/>
              <w:kinsoku w:val="1"/>
              <w:autoSpaceDE w:val="1"/>
              <w:autoSpaceDN w:val="1"/>
              <w:bidi w:val="0"/>
              <w:adjustRightInd w:val="1"/>
              <w:snapToGrid w:val="1"/>
              <w:jc w:val="center"/>
              <w:spacing w:line="340" w:lineRule="exact"/>
              <w:rPr>
                <w:kern w:val="0"/>
                <w:szCs w:val="21"/>
                <w:rFonts w:ascii="仿宋_GB2312" w:hAnsi="仿宋_GB2312" w:eastAsia="仿宋_GB2312" w:cs="仿宋_GB2312" w:hint="eastAsia"/>
              </w:rPr>
            </w:pPr>
            <w:r>
              <w:rPr>
                <w:kern w:val="0"/>
                <w:szCs w:val="21"/>
                <w:rFonts w:ascii="仿宋_GB2312" w:hAnsi="仿宋_GB2312" w:eastAsia="仿宋_GB2312" w:cs="仿宋_GB2312" w:hint="eastAsia"/>
              </w:rPr>
              <w:t>合计费用(元)</w:t>
            </w:r>
          </w:p>
        </w:tc>
        <w:tc>
          <w:tcPr>
            <w:tcW w:w="4550" w:type="dxa"/>
            <w:vAlign w:val="center"/>
            <w:tcBorders>
              <w:top w:val="single" w:color="auto" w:sz="4" w:space="0"/>
              <w:left w:val="nil"/>
              <w:bottom w:val="single" w:color="auto" w:sz="4" w:space="0"/>
              <w:right w:val="single" w:color="auto" w:sz="4" w:space="0"/>
            </w:tcBorders>
            <w:shd w:val="clear" w:color="auto" w:fill="auto"/>
            <w:noWrap/>
          </w:tcPr>
          <w:p w14:paraId="6259A743">
            <w:pPr>
              <w:widowControl w:val="1"/>
              <w:pageBreakBefore w:val="0"/>
              <w:wordWrap w:val="1"/>
              <w:overflowPunct w:val="1"/>
              <w:topLinePunct w:val="0"/>
              <w:kinsoku w:val="1"/>
              <w:autoSpaceDE w:val="1"/>
              <w:autoSpaceDN w:val="1"/>
              <w:bidi w:val="0"/>
              <w:adjustRightInd w:val="1"/>
              <w:snapToGrid w:val="1"/>
              <w:jc w:val="both"/>
              <w:spacing w:line="340" w:lineRule="exact"/>
              <w:rPr>
                <w:b w:val="1"/>
                <w:color w:val="auto"/>
                <w:lang w:val="en-US" w:eastAsia="zh-CN"/>
                <w:bCs/>
                <w:kern w:val="0"/>
                <w:szCs w:val="21"/>
                <w:rFonts w:ascii="仿宋_GB2312" w:hAnsi="仿宋_GB2312" w:eastAsia="仿宋_GB2312" w:cs="仿宋_GB2312" w:hint="eastAsia"/>
              </w:rPr>
            </w:pPr>
            <w:r>
              <w:rPr>
                <w:b w:val="1"/>
                <w:color w:val="auto"/>
                <w:lang w:val="en-US" w:eastAsia="zh-CN"/>
                <w:bCs/>
                <w:kern w:val="0"/>
                <w:szCs w:val="21"/>
                <w:rFonts w:ascii="仿宋_GB2312" w:hAnsi="仿宋_GB2312" w:eastAsia="仿宋_GB2312" w:cs="仿宋_GB2312" w:hint="eastAsia"/>
              </w:rPr>
              <w:t>459700元</w:t>
            </w:r>
          </w:p>
        </w:tc>
        <w:tc>
          <w:tcPr>
            <w:tcW w:w="709" w:type="dxa"/>
            <w:vAlign w:val="center"/>
            <w:tcBorders>
              <w:top w:val="single" w:color="auto" w:sz="4" w:space="0"/>
              <w:left w:val="nil"/>
              <w:bottom w:val="single" w:color="auto" w:sz="4" w:space="0"/>
              <w:right w:val="single" w:color="auto" w:sz="4" w:space="0"/>
            </w:tcBorders>
            <w:shd w:val="clear" w:color="auto" w:fill="auto"/>
            <w:noWrap/>
          </w:tcPr>
          <w:p w14:paraId="0E93127A">
            <w:pPr>
              <w:widowControl w:val="1"/>
              <w:pageBreakBefore w:val="0"/>
              <w:wordWrap w:val="1"/>
              <w:overflowPunct w:val="1"/>
              <w:topLinePunct w:val="0"/>
              <w:kinsoku w:val="1"/>
              <w:autoSpaceDE w:val="1"/>
              <w:autoSpaceDN w:val="1"/>
              <w:bidi w:val="0"/>
              <w:adjustRightInd w:val="1"/>
              <w:snapToGrid w:val="1"/>
              <w:jc w:val="center"/>
              <w:spacing w:line="340" w:lineRule="exact"/>
              <w:rPr>
                <w:b w:val="1"/>
                <w:color w:val="auto"/>
                <w:sz w:val="24"/>
                <w:bCs/>
                <w:kern w:val="0"/>
                <w:rFonts w:ascii="仿宋_GB2312" w:hAnsi="仿宋_GB2312" w:eastAsia="仿宋_GB2312" w:cs="仿宋_GB2312" w:hint="eastAsia"/>
              </w:rPr>
            </w:pPr>
          </w:p>
        </w:tc>
        <w:tc>
          <w:tcPr>
            <w:tcW w:w="851" w:type="dxa"/>
            <w:vAlign w:val="center"/>
            <w:tcBorders>
              <w:top w:val="single" w:color="auto" w:sz="4" w:space="0"/>
              <w:left w:val="nil"/>
              <w:bottom w:val="single" w:color="auto" w:sz="4" w:space="0"/>
              <w:right w:val="single" w:color="auto" w:sz="4" w:space="0"/>
            </w:tcBorders>
            <w:shd w:val="clear" w:color="auto" w:fill="auto"/>
            <w:noWrap/>
          </w:tcPr>
          <w:p w14:paraId="2CC55D46">
            <w:pPr>
              <w:widowControl w:val="1"/>
              <w:pageBreakBefore w:val="0"/>
              <w:wordWrap w:val="1"/>
              <w:overflowPunct w:val="1"/>
              <w:topLinePunct w:val="0"/>
              <w:kinsoku w:val="1"/>
              <w:autoSpaceDE w:val="1"/>
              <w:autoSpaceDN w:val="1"/>
              <w:bidi w:val="0"/>
              <w:adjustRightInd w:val="1"/>
              <w:snapToGrid w:val="1"/>
              <w:jc w:val="center"/>
              <w:spacing w:line="340" w:lineRule="exact"/>
              <w:rPr>
                <w:b w:val="1"/>
                <w:color w:val="auto"/>
                <w:sz w:val="24"/>
                <w:bCs/>
                <w:kern w:val="0"/>
                <w:rFonts w:ascii="仿宋_GB2312" w:hAnsi="仿宋_GB2312" w:eastAsia="仿宋_GB2312" w:cs="仿宋_GB2312" w:hint="eastAsia"/>
              </w:rPr>
            </w:pPr>
          </w:p>
        </w:tc>
        <w:tc>
          <w:tcPr>
            <w:tcW w:w="992" w:type="dxa"/>
            <w:vAlign w:val="center"/>
            <w:tcBorders>
              <w:top w:val="single" w:color="auto" w:sz="4" w:space="0"/>
              <w:left w:val="nil"/>
              <w:bottom w:val="single" w:color="auto" w:sz="4" w:space="0"/>
              <w:right w:val="single" w:color="auto" w:sz="4" w:space="0"/>
            </w:tcBorders>
            <w:shd w:val="clear" w:color="auto" w:fill="auto"/>
            <w:noWrap/>
          </w:tcPr>
          <w:p w14:paraId="6DC7005A">
            <w:pPr>
              <w:widowControl w:val="1"/>
              <w:pageBreakBefore w:val="0"/>
              <w:wordWrap w:val="1"/>
              <w:overflowPunct w:val="1"/>
              <w:topLinePunct w:val="0"/>
              <w:kinsoku w:val="1"/>
              <w:autoSpaceDE w:val="1"/>
              <w:autoSpaceDN w:val="1"/>
              <w:bidi w:val="0"/>
              <w:adjustRightInd w:val="1"/>
              <w:snapToGrid w:val="1"/>
              <w:jc w:val="center"/>
              <w:spacing w:line="340" w:lineRule="exact"/>
              <w:rPr>
                <w:b w:val="1"/>
                <w:color w:val="auto"/>
                <w:sz w:val="24"/>
                <w:bCs/>
                <w:kern w:val="0"/>
                <w:rFonts w:ascii="仿宋_GB2312" w:hAnsi="仿宋_GB2312" w:eastAsia="仿宋_GB2312" w:cs="仿宋_GB2312" w:hint="eastAsia"/>
              </w:rPr>
            </w:pPr>
          </w:p>
        </w:tc>
        <w:tc>
          <w:tcPr>
            <w:tcW w:w="1863" w:type="dxa"/>
            <w:vAlign w:val="center"/>
            <w:tcBorders>
              <w:top w:val="single" w:color="auto" w:sz="4" w:space="0"/>
              <w:left w:val="nil"/>
              <w:bottom w:val="single" w:color="auto" w:sz="4" w:space="0"/>
              <w:right w:val="single" w:color="auto" w:sz="4" w:space="0"/>
            </w:tcBorders>
            <w:shd w:val="clear" w:color="auto" w:fill="auto"/>
          </w:tcPr>
          <w:p w14:paraId="174BD3F9">
            <w:pPr>
              <w:widowControl w:val="1"/>
              <w:pageBreakBefore w:val="0"/>
              <w:wordWrap w:val="1"/>
              <w:overflowPunct w:val="1"/>
              <w:topLinePunct w:val="0"/>
              <w:kinsoku w:val="1"/>
              <w:autoSpaceDE w:val="1"/>
              <w:autoSpaceDN w:val="1"/>
              <w:bidi w:val="0"/>
              <w:adjustRightInd w:val="1"/>
              <w:snapToGrid w:val="1"/>
              <w:jc w:val="center"/>
              <w:spacing w:line="340" w:lineRule="exact"/>
              <w:rPr>
                <w:color w:val="auto"/>
                <w:kern w:val="0"/>
                <w:szCs w:val="21"/>
                <w:rFonts w:ascii="仿宋_GB2312" w:hAnsi="仿宋_GB2312" w:eastAsia="仿宋_GB2312" w:cs="仿宋_GB2312" w:hint="eastAsia"/>
              </w:rPr>
            </w:pPr>
            <w:r>
              <w:rPr>
                <w:color w:val="auto"/>
                <w:kern w:val="0"/>
                <w:szCs w:val="21"/>
                <w:rFonts w:ascii="仿宋_GB2312" w:hAnsi="仿宋_GB2312" w:eastAsia="仿宋_GB2312" w:cs="仿宋_GB2312" w:hint="eastAsia"/>
              </w:rPr>
              <w:t>　</w:t>
            </w:r>
          </w:p>
        </w:tc>
      </w:tr>
      <w:tr w14:paraId="627BD6F4">
        <w:tblPrEx>
          <w:tblCellMar>
            <w:top w:type="dxa" w:w="0.000000"/>
            <w:bottom w:type="dxa" w:w="0.000000"/>
            <w:left w:type="dxa" w:w="108.000000"/>
            <w:right w:type="dxa" w:w="108.000000"/>
          </w:tblCellMar>
        </w:tblPrEx>
        <w:trPr>
          <w:trHeight w:val="468" w:hRule="atLeast"/>
          <w:jc w:val="center"/>
        </w:trPr>
        <w:tc>
          <w:tcPr>
            <w:tcW w:w="10730" w:type="dxa"/>
            <w:gridSpan w:val="7"/>
            <w:vAlign w:val="center"/>
            <w:tcBorders>
              <w:top w:val="single" w:color="auto" w:sz="4" w:space="0"/>
              <w:left w:val="single" w:color="auto" w:sz="4" w:space="0"/>
              <w:bottom w:val="single" w:color="auto" w:sz="4" w:space="0"/>
              <w:right w:val="single" w:color="auto" w:sz="4" w:space="0"/>
            </w:tcBorders>
            <w:shd w:val="clear" w:color="auto" w:fill="auto"/>
          </w:tcPr>
          <w:p w14:paraId="68FFD75D">
            <w:pPr>
              <w:widowControl w:val="1"/>
              <w:pageBreakBefore w:val="0"/>
              <w:wordWrap w:val="1"/>
              <w:overflowPunct w:val="1"/>
              <w:topLinePunct w:val="0"/>
              <w:kinsoku w:val="1"/>
              <w:autoSpaceDE w:val="1"/>
              <w:autoSpaceDN w:val="1"/>
              <w:bidi w:val="0"/>
              <w:adjustRightInd w:val="1"/>
              <w:snapToGrid w:val="1"/>
              <w:jc w:val="left"/>
              <w:spacing w:line="340" w:lineRule="exact"/>
              <w:rPr>
                <w:kern w:val="0"/>
                <w:szCs w:val="21"/>
                <w:rFonts w:ascii="仿宋_GB2312" w:hAnsi="仿宋_GB2312" w:eastAsia="仿宋_GB2312" w:cs="仿宋_GB2312" w:hint="eastAsia"/>
              </w:rPr>
            </w:pPr>
            <w:r>
              <w:rPr>
                <w:kern w:val="0"/>
                <w:szCs w:val="21"/>
                <w:rFonts w:ascii="仿宋_GB2312" w:hAnsi="仿宋_GB2312" w:eastAsia="仿宋_GB2312" w:cs="仿宋_GB2312" w:hint="eastAsia"/>
              </w:rPr>
              <w:t>备注：1、所报价格包含货物、运费、装卸费、安装人工费、调试费、培训费、税金、售后服务费及其他所有可能发生的一切费用；2、所报货物单价均不能超过执法装备明细清单内货物规定的单价。</w:t>
            </w:r>
          </w:p>
        </w:tc>
      </w:tr>
    </w:tbl>
    <w:p w14:paraId="5BB891DB">
      <w:pPr>
        <w:pStyle w:val="10"/>
        <w:rPr>
          <w:lang w:val="en-US" w:eastAsia="zh-CN"/>
          <w:rFonts w:hint="default"/>
        </w:rPr>
      </w:pPr>
    </w:p>
    <w:sectPr>
      <w:footerReference r:id="rId6" w:type="default"/>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14:paraId="3429DCC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57AB56">
                          <w:pPr>
                            <w:pStyle w:val="5"/>
                            <w:rPr>
                              <w:sz w:val="28"/>
                              <w:szCs w:val="28"/>
                              <w:rFonts w:ascii="宋体" w:hAnsi="宋体" w:eastAsia="宋体" w:cs="宋体" w:hint="eastAsia"/>
                            </w:rPr>
                          </w:pPr>
                          <w:r>
                            <w:rPr>
                              <w:sz w:val="28"/>
                              <w:szCs w:val="28"/>
                              <w:rFonts w:ascii="宋体" w:hAnsi="宋体" w:eastAsia="宋体" w:cs="宋体" w:hint="eastAsia"/>
                            </w:rPr>
                            <w:t xml:space="preserve">— </w:t>
                          </w:r>
                          <w:r>
                            <w:rPr>
                              <w:sz w:val="28"/>
                              <w:szCs w:val="28"/>
                              <w:rFonts w:ascii="宋体" w:hAnsi="宋体" w:eastAsia="宋体" w:cs="宋体" w:hint="eastAsia"/>
                            </w:rPr>
                            <w:fldChar w:fldCharType="begin"/>
                          </w:r>
                          <w:r>
                            <w:rPr>
                              <w:sz w:val="28"/>
                              <w:szCs w:val="28"/>
                              <w:rFonts w:ascii="宋体" w:hAnsi="宋体" w:eastAsia="宋体" w:cs="宋体" w:hint="eastAsia"/>
                            </w:rPr>
                            <w:instrText xml:space="preserve"> PAGE  \* MERGEFORMAT </w:instrText>
                          </w:r>
                          <w:r>
                            <w:rPr>
                              <w:sz w:val="28"/>
                              <w:szCs w:val="28"/>
                              <w:rFonts w:ascii="宋体" w:hAnsi="宋体" w:eastAsia="宋体" w:cs="宋体" w:hint="eastAsia"/>
                            </w:rPr>
                            <w:fldChar w:fldCharType="separate"/>
                          </w:r>
                          <w:r>
                            <w:rPr>
                              <w:sz w:val="28"/>
                              <w:szCs w:val="28"/>
                              <w:rFonts w:ascii="宋体" w:hAnsi="宋体" w:eastAsia="宋体" w:cs="宋体" w:hint="eastAsia"/>
                            </w:rPr>
                            <w:t>1</w:t>
                          </w:r>
                          <w:r>
                            <w:rPr>
                              <w:sz w:val="28"/>
                              <w:szCs w:val="28"/>
                              <w:rFonts w:ascii="宋体" w:hAnsi="宋体" w:eastAsia="宋体" w:cs="宋体" w:hint="eastAsia"/>
                            </w:rPr>
                            <w:fldChar w:fldCharType="end"/>
                          </w:r>
                          <w:r>
                            <w:rPr>
                              <w:sz w:val="28"/>
                              <w:szCs w:val="28"/>
                              <w:rFonts w:ascii="宋体" w:hAnsi="宋体" w:eastAsia="宋体" w:cs="宋体" w:hint="eastAsia"/>
                            </w:rPr>
                            <w:t xml:space="preserve"> —</w:t>
                          </w:r>
                        </w:p>
                      </w:txbxContent>
                    </wps:txbx>
                    <wps:bodyPr rot="0" vert="horz" wrap="none" lIns="0" tIns="0" rIns="0" bIns="0" anchor="t" anchorCtr="0">
                      <a:spAutoFit/>
                    </wps:bodyPr>
                  </wps:wsp>
                </a:graphicData>
              </a:graphic>
            </wp:anchor>
          </w:drawing>
        </mc:Choice>
      </mc:AlternateContent>
    </w:r>
  </w:p>
</w:ftr>
</file>

<file path=word/footer2.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14:paraId="3398DEC1">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323"/>
                          </w:sdtPr>
                          <w:sdtContent>
                            <w:p w14:paraId="47D7816C">
                              <w:pPr>
                                <w:pStyle w:val="5"/>
                                <w:jc w:val="center"/>
                              </w:pPr>
                              <w:r>
                                <w:fldChar w:fldCharType="begin"/>
                              </w:r>
                              <w:r>
                                <w:instrText xml:space="preserve"> PAGE   \* MERGEFORMAT </w:instrText>
                              </w:r>
                              <w:r>
                                <w:fldChar w:fldCharType="separate"/>
                              </w:r>
                              <w:r>
                                <w:rPr>
                                  <w:color w:val="000000"/>
                                  <w:lang w:val="zh-CN"/>
                                </w:rPr>
                                <w:t>4</w:t>
                              </w:r>
                              <w:r>
                                <w:rPr>
                                  <w:color w:val="000000"/>
                                  <w:lang w:val="zh-CN"/>
                                </w:rPr>
                                <w:fldChar w:fldCharType="end"/>
                              </w:r>
                            </w:p>
                          </w:sdtContent>
                        </w:sdt>
                        <w:p w14:paraId="585C517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p w14:paraId="5EDECAAB">
    <w:pPr>
      <w:pStyle w:val="5"/>
    </w:pPr>
  </w:p>
</w:ftr>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92089DEB"/>
    <w:multiLevelType w:val="singleLevel"/>
    <w:tmpl w:val="92089DEB"/>
    <w:lvl w:ilvl="0" w:tentative="0">
      <w:start w:val="1"/>
      <w:numFmt w:val="decimal"/>
      <w:suff w:val="nothing"/>
      <w:lvlText w:val="%1、"/>
      <w:lvlJc w:val="left"/>
    </w:lvl>
  </w:abstractNum>
  <w:abstractNum w:abstractNumId="1">
    <w:nsid w:val="ACF544D1"/>
    <w:multiLevelType w:val="singleLevel"/>
    <w:tmpl w:val="ACF544D1"/>
    <w:lvl w:ilvl="0" w:tentative="0">
      <w:start w:val="1"/>
      <w:numFmt w:val="decimal"/>
      <w:lvlText w:val="%1."/>
      <w:lvlJc w:val="left"/>
      <w:pPr>
        <w:tabs>
          <w:tab w:val="left" w:pos="312"/>
        </w:tabs>
      </w:pPr>
    </w:lvl>
  </w:abstractNum>
  <w:abstractNum w:abstractNumId="2">
    <w:nsid w:val="C495B302"/>
    <w:multiLevelType w:val="singleLevel"/>
    <w:tmpl w:val="C495B302"/>
    <w:lvl w:ilvl="0" w:tentative="0">
      <w:start w:val="4"/>
      <w:numFmt w:val="chineseCounting"/>
      <w:suff w:val="nothing"/>
      <w:lvlText w:val="%1、"/>
      <w:lvlJc w:val="left"/>
      <w:rPr>
        <w:rFonts w:hint="eastAsia"/>
      </w:rPr>
    </w:lvl>
  </w:abstractNum>
  <w:abstractNum w:abstractNumId="3">
    <w:nsid w:val="2AA2A275"/>
    <w:multiLevelType w:val="singleLevel"/>
    <w:tmpl w:val="2AA2A275"/>
    <w:lvl w:ilvl="0" w:tentative="0">
      <w:start w:val="4"/>
      <w:numFmt w:val="chineseCounting"/>
      <w:suff w:val="nothing"/>
      <w:lvlText w:val="（%1）"/>
      <w:lvlJc w:val="left"/>
      <w:rPr>
        <w:rFonts w:hint="eastAsia"/>
      </w:rPr>
    </w:lvl>
  </w:abstractNum>
  <w:abstractNum w:abstractNumId="4">
    <w:nsid w:val="3D0BA1CB"/>
    <w:multiLevelType w:val="singleLevel"/>
    <w:tmpl w:val="3D0BA1CB"/>
    <w:lvl w:ilvl="0" w:tentative="0">
      <w:start w:val="1"/>
      <w:numFmt w:val="chineseCounting"/>
      <w:suff w:val="nothing"/>
      <w:lvlText w:val="%1、"/>
      <w:lvlJc w:val="left"/>
      <w:rPr>
        <w:rFonts w:hint="eastAsia"/>
      </w:rPr>
    </w:lvl>
  </w:abstractNum>
  <w:abstractNum w:abstractNumId="5">
    <w:nsid w:val="4C2A8DAE"/>
    <w:multiLevelType w:val="singleLevel"/>
    <w:tmpl w:val="4C2A8DAE"/>
    <w:lvl w:ilvl="0" w:tentative="0">
      <w:start w:val="4"/>
      <w:numFmt w:val="chineseCounting"/>
      <w:suff w:val="nothing"/>
      <w:lvlText w:val="%1、"/>
      <w:lvlJc w:val="left"/>
      <w:rPr>
        <w:rFonts w:hint="eastAsia"/>
      </w:rPr>
    </w:lvl>
  </w:abstractNum>
  <w:abstractNum w:abstractNumId="6">
    <w:nsid w:val="750BDB13"/>
    <w:multiLevelType w:val="singleLevel"/>
    <w:tmpl w:val="750BDB13"/>
    <w:lvl w:ilvl="0" w:tentative="0">
      <w:start w:val="1"/>
      <w:numFmt w:val="chineseCounting"/>
      <w:suff w:val="nothing"/>
      <w:lvlText w:val="%1、"/>
      <w:lvlJc w:val="left"/>
      <w:rPr>
        <w:rFonts w:hint="eastAsia"/>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characterSpacingControl w:val="compressPunctuation"/>
  <w:zoom w:percent="13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B871A0"/>
    <w:rsid w:val="00043F5A"/>
    <w:rsid w:val="00071CBC"/>
    <w:rsid w:val="00084123"/>
    <w:rsid w:val="000B6F1C"/>
    <w:rsid w:val="000F1A7D"/>
    <w:rsid w:val="000F2547"/>
    <w:rsid w:val="001079C6"/>
    <w:rsid w:val="00184006"/>
    <w:rsid w:val="0018481A"/>
    <w:rsid w:val="001A4869"/>
    <w:rsid w:val="001A4D54"/>
    <w:rsid w:val="001B04EE"/>
    <w:rsid w:val="001B7637"/>
    <w:rsid w:val="001E162A"/>
    <w:rsid w:val="001F6A9A"/>
    <w:rsid w:val="001F7A64"/>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B3166"/>
    <w:rsid w:val="003B67F3"/>
    <w:rsid w:val="00452B05"/>
    <w:rsid w:val="004768C0"/>
    <w:rsid w:val="00481B5D"/>
    <w:rsid w:val="0048309A"/>
    <w:rsid w:val="00484D2D"/>
    <w:rsid w:val="004D23F7"/>
    <w:rsid w:val="004F343B"/>
    <w:rsid w:val="00520B2F"/>
    <w:rsid w:val="00537AA9"/>
    <w:rsid w:val="00552057"/>
    <w:rsid w:val="00553624"/>
    <w:rsid w:val="00564927"/>
    <w:rsid w:val="00592419"/>
    <w:rsid w:val="006264F5"/>
    <w:rsid w:val="00626693"/>
    <w:rsid w:val="00644E9D"/>
    <w:rsid w:val="006513A7"/>
    <w:rsid w:val="00653095"/>
    <w:rsid w:val="00666027"/>
    <w:rsid w:val="00685A47"/>
    <w:rsid w:val="00685D36"/>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508F1"/>
    <w:rsid w:val="009E15BC"/>
    <w:rsid w:val="00A10521"/>
    <w:rsid w:val="00A834A9"/>
    <w:rsid w:val="00AC1885"/>
    <w:rsid w:val="00AC32F0"/>
    <w:rsid w:val="00AC428C"/>
    <w:rsid w:val="00AC7F3A"/>
    <w:rsid w:val="00AC7F87"/>
    <w:rsid w:val="00AE728D"/>
    <w:rsid w:val="00AE7B2B"/>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63477"/>
    <w:rsid w:val="00D708B7"/>
    <w:rsid w:val="00D83556"/>
    <w:rsid w:val="00DA4FD3"/>
    <w:rsid w:val="00DB21B7"/>
    <w:rsid w:val="00E24D0C"/>
    <w:rsid w:val="00E25094"/>
    <w:rsid w:val="00E366C6"/>
    <w:rsid w:val="00E631EA"/>
    <w:rsid w:val="00EB1AC9"/>
    <w:rsid w:val="00ED6314"/>
    <w:rsid w:val="00EE6864"/>
    <w:rsid w:val="00EE7890"/>
    <w:rsid w:val="00EF0DC4"/>
    <w:rsid w:val="00F22D5A"/>
    <w:rsid w:val="00F37DA9"/>
    <w:rsid w:val="00F51FBD"/>
    <w:rsid w:val="00F5618F"/>
    <w:rsid w:val="00F5669C"/>
    <w:rsid w:val="00F77EF9"/>
    <w:rsid w:val="00FE6975"/>
    <w:rsid w:val="05263C65"/>
    <w:rsid w:val="06AB1C35"/>
    <w:rsid w:val="081801C1"/>
    <w:rsid w:val="09B10087"/>
    <w:rsid w:val="0A190B04"/>
    <w:rsid w:val="0A550018"/>
    <w:rsid w:val="0AC2092E"/>
    <w:rsid w:val="0C215FF4"/>
    <w:rsid w:val="0C7C44D2"/>
    <w:rsid w:val="0CEC1036"/>
    <w:rsid w:val="0E806DD8"/>
    <w:rsid w:val="15040250"/>
    <w:rsid w:val="18152F93"/>
    <w:rsid w:val="18F1645B"/>
    <w:rsid w:val="1A5959E3"/>
    <w:rsid w:val="1D752EE2"/>
    <w:rsid w:val="23556AED"/>
    <w:rsid w:val="2A8449D0"/>
    <w:rsid w:val="2E733FAC"/>
    <w:rsid w:val="2EF671F3"/>
    <w:rsid w:val="35DA01A0"/>
    <w:rsid w:val="38D953FB"/>
    <w:rsid w:val="3DCC1EB9"/>
    <w:rsid w:val="419E78E5"/>
    <w:rsid w:val="431974F1"/>
    <w:rsid w:val="48DB38E3"/>
    <w:rsid w:val="4ABE5468"/>
    <w:rsid w:val="4E674CCB"/>
    <w:rsid w:val="4FF24EEF"/>
    <w:rsid w:val="5193023F"/>
    <w:rsid w:val="54180DA0"/>
    <w:rsid w:val="55354818"/>
    <w:rsid w:val="558D1E46"/>
    <w:rsid w:val="580C5023"/>
    <w:rsid w:val="59654A62"/>
    <w:rsid w:val="5E6D387B"/>
    <w:rsid w:val="61DD1536"/>
    <w:rsid w:val="62C93456"/>
    <w:rsid w:val="64714A1E"/>
    <w:rsid w:val="65B12BD8"/>
    <w:rsid w:val="66244E2E"/>
    <w:rsid w:val="67976B83"/>
    <w:rsid w:val="690A6DCD"/>
    <w:rsid w:val="707C36B3"/>
    <w:rsid w:val="70FE340A"/>
    <w:rsid w:val="73EF7FB3"/>
    <w:rsid w:val="757D4185"/>
    <w:rsid w:val="7719513F"/>
    <w:rsid w:val="7A506EC0"/>
    <w:rsid w:val="7B241F6A"/>
    <w:rsid w:val="7CAB52BF"/>
    <w:rsid w:val="7FCE0A49"/>
  </w:rsids>
  <m:mathPr>
    <m:mathFont val="Cambria Math"/>
    <m:brkBin val="before"/>
    <m:brkBinSub val="--"/>
    <m:smallFrac val="1"/>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lsdException w:name="Block Text"/>
    <w:lsdException w:name="Body Text" w:semiHidden="0" w:unhideWhenUsed="0"/>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semiHidden="0" w:unhideWhenUsed="0"/>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semiHidden="0" w:unhideWhenUsed="0"/>
  </w:latentStyles>
  <w:style w:type="paragraph" w:styleId="1" w:default="1">
    <w:name w:val="Normal"/>
    <w:uiPriority w:val="0"/>
    <w:qFormat/>
    <w:pPr>
      <w:widowControl w:val="0"/>
      <w:jc w:val="both"/>
    </w:pPr>
    <w:rPr>
      <w:sz w:val="21"/>
      <w:lang w:val="en-US" w:eastAsia="zh-CN" w:bidi="ar-SA"/>
      <w:kern w:val="2"/>
      <w:szCs w:val="22"/>
      <w:rFonts w:asciiTheme="minorHAnsi" w:hAnsiTheme="minorHAnsi" w:eastAsiaTheme="minorEastAsia" w:cstheme="minorBidi"/>
    </w:rPr>
  </w:style>
  <w:style w:type="character" w:styleId="9" w:default="1">
    <w:name w:val="Default Paragraph Font"/>
    <w:uiPriority w:val="1"/>
    <w:semiHidden/>
    <w:unhideWhenUsed/>
    <w:qFormat/>
  </w:style>
  <w:style w:type="table" w:styleId="8"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ody Text"/>
    <w:basedOn w:val="1"/>
    <w:link w:val="16"/>
    <w:uiPriority w:val="1"/>
    <w:qFormat/>
    <w:pPr>
      <w:spacing w:before="161"/>
      <w:ind w:left="120"/>
    </w:pPr>
    <w:rPr>
      <w:sz w:val="24"/>
      <w:lang w:val="zh-CN" w:bidi="zh-CN"/>
      <w:szCs w:val="24"/>
      <w:rFonts w:ascii="宋体" w:hAnsi="宋体" w:eastAsia="宋体" w:cs="宋体"/>
    </w:rPr>
  </w:style>
  <w:style w:type="paragraph" w:styleId="3">
    <w:name w:val="Plain Text"/>
    <w:basedOn w:val="1"/>
    <w:link w:val="14"/>
    <w:uiPriority w:val="0"/>
    <w:qFormat/>
    <w:rPr>
      <w:rFonts w:ascii="宋体" w:hAnsi="Courier New"/>
    </w:rPr>
  </w:style>
  <w:style w:type="paragraph" w:styleId="4">
    <w:name w:val="Balloon Text"/>
    <w:basedOn w:val="1"/>
    <w:link w:val="22"/>
    <w:uiPriority w:val="99"/>
    <w:semiHidden/>
    <w:unhideWhenUsed/>
    <w:qFormat/>
    <w:rPr>
      <w:sz w:val="18"/>
      <w:szCs w:val="18"/>
    </w:rPr>
  </w:style>
  <w:style w:type="paragraph" w:styleId="5">
    <w:name w:val="footer"/>
    <w:basedOn w:val="1"/>
    <w:link w:val="12"/>
    <w:uiPriority w:val="99"/>
    <w:unhideWhenUsed/>
    <w:qFormat/>
    <w:pPr>
      <w:snapToGrid w:val="0"/>
      <w:jc w:val="left"/>
      <w:tabs>
        <w:tab w:val="center" w:pos="4153"/>
        <w:tab w:val="right" w:pos="8306"/>
      </w:tabs>
    </w:pPr>
    <w:rPr>
      <w:sz w:val="18"/>
      <w:szCs w:val="18"/>
    </w:rPr>
  </w:style>
  <w:style w:type="paragraph" w:styleId="6">
    <w:name w:val="header"/>
    <w:basedOn w:val="1"/>
    <w:link w:val="11"/>
    <w:uiPriority w:val="0"/>
    <w:unhideWhenUsed/>
    <w:qFormat/>
    <w:pPr>
      <w:snapToGrid w:val="0"/>
      <w:jc w:val="center"/>
      <w:pBdr>
        <w:bottom w:val="single" w:color="auto" w:sz="6" w:space="1"/>
      </w:pBdr>
      <w:tabs>
        <w:tab w:val="center" w:pos="4153"/>
        <w:tab w:val="right" w:pos="8306"/>
      </w:tabs>
    </w:pPr>
    <w:rPr>
      <w:sz w:val="18"/>
      <w:szCs w:val="18"/>
    </w:rPr>
  </w:style>
  <w:style w:type="paragraph" w:styleId="7">
    <w:name w:val="toc 9"/>
    <w:basedOn w:val="1"/>
    <w:uiPriority w:val="0"/>
    <w:qFormat/>
    <w:pPr>
      <w:adjustRightInd w:val="0"/>
      <w:tabs>
        <w:tab w:val="right" w:leader="dot" w:pos="9185"/>
      </w:tabs>
      <w:spacing w:line="312" w:lineRule="atLeast"/>
      <w:ind w:left="3360"/>
    </w:pPr>
    <w:rPr>
      <w:kern w:val="0"/>
      <w:szCs w:val="20"/>
      <w:rFonts w:ascii="Times New Roman" w:hAnsi="Times New Roman" w:eastAsia="宋体" w:cs="Times New Roman"/>
    </w:rPr>
  </w:style>
  <w:style w:type="paragraph" w:styleId="10" w:customStyle="1">
    <w:name w:val="首行缩进"/>
    <w:basedOn w:val="1"/>
    <w:uiPriority w:val="0"/>
    <w:qFormat/>
    <w:pPr>
      <w:ind w:firstLine="480" w:firstLineChars="200"/>
    </w:pPr>
  </w:style>
  <w:style w:type="character" w:styleId="11" w:customStyle="1">
    <w:name w:val="页眉 Char"/>
    <w:basedOn w:val="9"/>
    <w:link w:val="6"/>
    <w:uiPriority w:val="0"/>
    <w:qFormat/>
    <w:rPr>
      <w:sz w:val="18"/>
      <w:szCs w:val="18"/>
    </w:rPr>
  </w:style>
  <w:style w:type="character" w:styleId="12" w:customStyle="1">
    <w:name w:val="页脚 Char"/>
    <w:basedOn w:val="9"/>
    <w:link w:val="5"/>
    <w:uiPriority w:val="99"/>
    <w:qFormat/>
    <w:rPr>
      <w:sz w:val="18"/>
      <w:szCs w:val="18"/>
    </w:rPr>
  </w:style>
  <w:style w:type="character" w:styleId="13" w:customStyle="1">
    <w:name w:val="纯文本 Char"/>
    <w:link w:val="3"/>
    <w:uiPriority w:val="0"/>
    <w:qFormat/>
    <w:rPr>
      <w:rFonts w:ascii="宋体" w:hAnsi="Courier New"/>
    </w:rPr>
  </w:style>
  <w:style w:type="character" w:styleId="14" w:customStyle="1">
    <w:name w:val="纯文本 Char1"/>
    <w:basedOn w:val="9"/>
    <w:link w:val="3"/>
    <w:uiPriority w:val="99"/>
    <w:semiHidden/>
    <w:qFormat/>
    <w:rPr>
      <w:szCs w:val="21"/>
      <w:rFonts w:ascii="宋体" w:hAnsi="Courier New" w:eastAsia="宋体" w:cs="Courier New"/>
    </w:rPr>
  </w:style>
  <w:style w:type="paragraph" w:styleId="15" w:customStyle="1">
    <w:name w:val="正文缩进2格"/>
    <w:basedOn w:val="1"/>
    <w:uiPriority w:val="0"/>
    <w:qFormat/>
    <w:pPr>
      <w:spacing w:line="600" w:lineRule="exact"/>
      <w:ind w:firstLine="639" w:firstLineChars="206"/>
    </w:pPr>
    <w:rPr>
      <w:sz w:val="28"/>
      <w:szCs w:val="20"/>
      <w:rFonts w:ascii="仿宋_GB2312" w:hAnsi="宋体" w:eastAsia="仿宋_GB2312" w:cs="Times New Roman"/>
    </w:rPr>
  </w:style>
  <w:style w:type="character" w:styleId="16" w:customStyle="1">
    <w:name w:val="正文文本 Char"/>
    <w:basedOn w:val="9"/>
    <w:link w:val="2"/>
    <w:uiPriority w:val="1"/>
    <w:qFormat/>
    <w:rPr>
      <w:sz w:val="24"/>
      <w:lang w:val="zh-CN" w:bidi="zh-CN"/>
      <w:kern w:val="2"/>
      <w:szCs w:val="24"/>
      <w:rFonts w:ascii="宋体" w:hAnsi="宋体" w:eastAsia="宋体" w:cs="宋体"/>
    </w:rPr>
  </w:style>
  <w:style w:type="character" w:styleId="17" w:customStyle="1">
    <w:name w:val="font61"/>
    <w:basedOn w:val="9"/>
    <w:uiPriority w:val="0"/>
    <w:qFormat/>
    <w:rPr>
      <w:u w:val="none"/>
      <w:color w:val="000000"/>
      <w:sz w:val="18"/>
      <w:szCs w:val="18"/>
      <w:rFonts w:ascii="宋体" w:hAnsi="宋体" w:eastAsia="宋体" w:cs="宋体" w:hint="eastAsia"/>
    </w:rPr>
  </w:style>
  <w:style w:type="character" w:styleId="18" w:customStyle="1">
    <w:name w:val="font91"/>
    <w:basedOn w:val="9"/>
    <w:uiPriority w:val="0"/>
    <w:qFormat/>
    <w:rPr>
      <w:u w:val="none"/>
      <w:color w:val="000000"/>
      <w:sz w:val="18"/>
      <w:szCs w:val="18"/>
      <w:rFonts w:ascii="Arial" w:hAnsi="Arial" w:cs="Arial"/>
    </w:rPr>
  </w:style>
  <w:style w:type="character" w:styleId="19" w:customStyle="1">
    <w:name w:val="font101"/>
    <w:basedOn w:val="9"/>
    <w:uiPriority w:val="0"/>
    <w:qFormat/>
    <w:rPr>
      <w:b w:val="1"/>
      <w:u w:val="none"/>
      <w:color w:val="000000"/>
      <w:sz w:val="18"/>
      <w:bCs/>
      <w:szCs w:val="18"/>
      <w:rFonts w:ascii="宋体" w:hAnsi="宋体" w:eastAsia="宋体" w:cs="宋体" w:hint="eastAsia"/>
    </w:rPr>
  </w:style>
  <w:style w:type="character" w:styleId="20" w:customStyle="1">
    <w:name w:val="font112"/>
    <w:basedOn w:val="9"/>
    <w:uiPriority w:val="0"/>
    <w:qFormat/>
    <w:rPr>
      <w:vertAlign w:val="superscript"/>
      <w:u w:val="none"/>
      <w:color w:val="000000"/>
      <w:sz w:val="18"/>
      <w:szCs w:val="18"/>
      <w:rFonts w:ascii="宋体" w:hAnsi="宋体" w:eastAsia="宋体" w:cs="宋体" w:hint="eastAsia"/>
    </w:rPr>
  </w:style>
  <w:style w:type="character" w:styleId="21" w:customStyle="1">
    <w:name w:val="font21"/>
    <w:basedOn w:val="9"/>
    <w:uiPriority w:val="0"/>
    <w:qFormat/>
    <w:rPr>
      <w:u w:val="none"/>
      <w:color w:val="000000"/>
      <w:sz w:val="18"/>
      <w:szCs w:val="18"/>
      <w:rFonts w:ascii="宋体" w:hAnsi="宋体" w:eastAsia="宋体" w:cs="宋体" w:hint="eastAsia"/>
    </w:rPr>
  </w:style>
  <w:style w:type="character" w:styleId="22" w:customStyle="1">
    <w:name w:val="批注框文本 Char"/>
    <w:basedOn w:val="9"/>
    <w:link w:val="4"/>
    <w:uiPriority w:val="99"/>
    <w:semiHidden/>
    <w:qFormat/>
    <w:rPr>
      <w:sz w:val="18"/>
      <w:kern w:val="2"/>
      <w:szCs w:val="18"/>
      <w:rFonts w:asciiTheme="minorHAnsi" w:hAnsiTheme="minorHAnsi" w:eastAsiaTheme="minorEastAsia" w:cstheme="minorBidi"/>
    </w:rPr>
  </w:style>
</w:styles>
</file>

<file path=word/_rels/document.xml.rels><?xml version="1.0" encoding="UTF-8" standalone="yes"?><Relationships xmlns="http://schemas.openxmlformats.org/package/2006/relationships"><Relationship Id="rId6" Type="http://schemas.openxmlformats.org/officeDocument/2006/relationships/footer" Target="footer2.xml" /><Relationship Id="rId5" Type="http://schemas.openxmlformats.org/officeDocument/2006/relationships/footer" Target="footer1.xml" /><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50</TotalTime>
  <Pages>18</Pages>
  <Words>8631</Words>
  <Characters>9378</Characters>
  <Application>WPS Office_12.1.0.21171_F1E327BC-269C-435d-A152-05C5408002CA</Application>
  <DocSecurity>0</DocSecurity>
  <Lines>14</Lines>
  <Paragraphs>4</Paragraphs>
  <ScaleCrop>false</ScaleCrop>
  <Company>Microsoft</Company>
  <LinksUpToDate>false</LinksUpToDate>
  <CharactersWithSpaces>9443</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郑立熔</dc:creator>
  <cp:keywords/>
  <dc:description/>
  <cp:lastModifiedBy>Administrator</cp:lastModifiedBy>
  <cp:revision>5</cp:revision>
  <dcterms:created xsi:type="dcterms:W3CDTF">2022-06-08T00:53:00Z</dcterms:created>
  <dcterms:modified xsi:type="dcterms:W3CDTF">2025-05-26T01:35:49Z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ICV">
    <vt:lpwstr>8FBA7DE5A9EC4D229288543DD74AB62F_13</vt:lpwstr>
  </property>
  <property fmtid="{D5CDD505-2E9C-101B-9397-08002B2CF9AE}" pid="4" name="KSOTemplateDocerSaveRecord">
    <vt:lpwstr>eyJoZGlkIjoiYWYwMGMzNmVlOWQ3MTZhN2MyMDQ2N2FlM2JiN2NiZDYiLCJ1c2VySWQiOiI5NzgwODM4NjcifQ==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81664"/>
    <w:p w14:paraId="793B0EAE">
      <w:pPr>
        <w:spacing w:line="560" w:lineRule="exact"/>
        <w:jc w:val="center"/>
        <w:rPr>
          <w:rFonts w:ascii="华文中宋" w:hAnsi="华文中宋" w:eastAsia="华文中宋"/>
          <w:b/>
          <w:sz w:val="52"/>
          <w:szCs w:val="52"/>
        </w:rPr>
      </w:pPr>
    </w:p>
    <w:p w14:paraId="6DF99684">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自治区交通运输综合行政执法局执法装备（</w:t>
      </w:r>
      <w:r>
        <w:rPr>
          <w:rFonts w:hint="eastAsia" w:ascii="华文中宋" w:hAnsi="华文中宋" w:eastAsia="华文中宋"/>
          <w:b/>
          <w:sz w:val="44"/>
          <w:szCs w:val="44"/>
          <w:lang w:val="en-US" w:eastAsia="zh-CN"/>
        </w:rPr>
        <w:t>防护防爆装备</w:t>
      </w:r>
      <w:r>
        <w:rPr>
          <w:rFonts w:hint="eastAsia" w:ascii="华文中宋" w:hAnsi="华文中宋" w:eastAsia="华文中宋"/>
          <w:b/>
          <w:sz w:val="44"/>
          <w:szCs w:val="44"/>
        </w:rPr>
        <w:t>类）购置项目询价采购文件</w:t>
      </w:r>
    </w:p>
    <w:p w14:paraId="457178F1">
      <w:pPr>
        <w:rPr>
          <w:sz w:val="44"/>
          <w:szCs w:val="44"/>
        </w:rPr>
      </w:pPr>
    </w:p>
    <w:p w14:paraId="34E098E5"/>
    <w:p w14:paraId="4B824C88"/>
    <w:p w14:paraId="50279288"/>
    <w:p w14:paraId="7F976F5C"/>
    <w:p w14:paraId="13606973">
      <w:pPr>
        <w:jc w:val="center"/>
        <w:rPr>
          <w:b/>
          <w:sz w:val="84"/>
          <w:szCs w:val="84"/>
        </w:rPr>
      </w:pPr>
    </w:p>
    <w:p w14:paraId="3903C14B"/>
    <w:p w14:paraId="7692E179"/>
    <w:p w14:paraId="3E18FB14"/>
    <w:p w14:paraId="5DD9579E"/>
    <w:p w14:paraId="524094A1"/>
    <w:p w14:paraId="6391C47B">
      <w:pPr>
        <w:rPr>
          <w:b/>
          <w:sz w:val="36"/>
          <w:szCs w:val="36"/>
        </w:rPr>
      </w:pPr>
    </w:p>
    <w:p w14:paraId="4F9FC8F4">
      <w:pPr>
        <w:rPr>
          <w:b/>
          <w:sz w:val="36"/>
          <w:szCs w:val="36"/>
        </w:rPr>
      </w:pPr>
    </w:p>
    <w:p w14:paraId="1FB3641B">
      <w:pPr>
        <w:rPr>
          <w:b/>
          <w:sz w:val="36"/>
          <w:szCs w:val="36"/>
        </w:rPr>
      </w:pPr>
    </w:p>
    <w:p w14:paraId="271486D8">
      <w:pPr>
        <w:rPr>
          <w:b/>
          <w:sz w:val="36"/>
          <w:szCs w:val="36"/>
        </w:rPr>
      </w:pPr>
    </w:p>
    <w:p w14:paraId="0F85CE38">
      <w:pPr>
        <w:jc w:val="center"/>
        <w:rPr>
          <w:rFonts w:ascii="黑体" w:hAnsi="黑体" w:eastAsia="黑体" w:cs="黑体"/>
          <w:b/>
          <w:sz w:val="36"/>
          <w:szCs w:val="36"/>
        </w:rPr>
      </w:pPr>
    </w:p>
    <w:p w14:paraId="0A339194">
      <w:pPr>
        <w:jc w:val="center"/>
        <w:rPr>
          <w:rFonts w:ascii="黑体" w:hAnsi="黑体" w:eastAsia="黑体" w:cs="黑体"/>
          <w:b/>
          <w:sz w:val="36"/>
          <w:szCs w:val="36"/>
        </w:rPr>
      </w:pPr>
    </w:p>
    <w:p w14:paraId="1AA4C644">
      <w:pPr>
        <w:jc w:val="center"/>
        <w:rPr>
          <w:rFonts w:ascii="黑体" w:hAnsi="黑体" w:eastAsia="黑体" w:cs="黑体"/>
          <w:b/>
          <w:sz w:val="36"/>
          <w:szCs w:val="36"/>
        </w:rPr>
      </w:pPr>
    </w:p>
    <w:p w14:paraId="02D57703">
      <w:pPr>
        <w:rPr>
          <w:rFonts w:ascii="黑体" w:hAnsi="黑体" w:eastAsia="黑体" w:cs="黑体"/>
          <w:b/>
          <w:sz w:val="36"/>
          <w:szCs w:val="36"/>
        </w:rPr>
      </w:pPr>
    </w:p>
    <w:p w14:paraId="09CAFD6B">
      <w:pPr>
        <w:jc w:val="center"/>
        <w:rPr>
          <w:rFonts w:ascii="黑体" w:hAnsi="黑体" w:eastAsia="黑体" w:cs="黑体"/>
          <w:b/>
          <w:sz w:val="36"/>
          <w:szCs w:val="36"/>
        </w:rPr>
      </w:pPr>
    </w:p>
    <w:p w14:paraId="00C9E176">
      <w:pPr>
        <w:jc w:val="center"/>
        <w:rPr>
          <w:rFonts w:ascii="黑体" w:hAnsi="黑体" w:eastAsia="黑体" w:cs="黑体"/>
          <w:b/>
          <w:sz w:val="36"/>
          <w:szCs w:val="36"/>
        </w:rPr>
      </w:pPr>
      <w:bookmarkStart w:id="0" w:name="OLE_LINK1"/>
      <w:r>
        <w:rPr>
          <w:rFonts w:hint="eastAsia" w:ascii="黑体" w:hAnsi="黑体" w:eastAsia="黑体" w:cs="黑体"/>
          <w:b/>
          <w:sz w:val="36"/>
          <w:szCs w:val="36"/>
        </w:rPr>
        <w:t>采购单位：自治区交通运输综合行政执法局</w:t>
      </w:r>
      <w:bookmarkEnd w:id="0"/>
    </w:p>
    <w:p w14:paraId="75E30081">
      <w:pPr>
        <w:jc w:val="center"/>
        <w:rPr>
          <w:rFonts w:hint="eastAsia" w:ascii="黑体" w:hAnsi="黑体" w:eastAsia="黑体" w:cs="黑体"/>
          <w:b/>
          <w:sz w:val="36"/>
          <w:szCs w:val="36"/>
        </w:rPr>
      </w:pPr>
      <w:r>
        <w:rPr>
          <w:rFonts w:hint="eastAsia" w:ascii="黑体" w:hAnsi="黑体" w:eastAsia="黑体" w:cs="黑体"/>
          <w:b/>
          <w:sz w:val="36"/>
          <w:szCs w:val="36"/>
        </w:rPr>
        <w:t>日期：2025年</w:t>
      </w:r>
      <w:r>
        <w:rPr>
          <w:rFonts w:hint="eastAsia" w:ascii="黑体" w:hAnsi="黑体" w:eastAsia="黑体" w:cs="黑体"/>
          <w:b/>
          <w:sz w:val="36"/>
          <w:szCs w:val="36"/>
          <w:lang w:val="en-US" w:eastAsia="zh-CN"/>
        </w:rPr>
        <w:t>5</w:t>
      </w:r>
      <w:r>
        <w:rPr>
          <w:rFonts w:hint="eastAsia" w:ascii="黑体" w:hAnsi="黑体" w:eastAsia="黑体" w:cs="黑体"/>
          <w:b/>
          <w:sz w:val="36"/>
          <w:szCs w:val="36"/>
        </w:rPr>
        <w:t>月</w:t>
      </w:r>
      <w:r>
        <w:rPr>
          <w:rFonts w:hint="eastAsia" w:ascii="黑体" w:hAnsi="黑体" w:eastAsia="黑体" w:cs="黑体"/>
          <w:b/>
          <w:sz w:val="36"/>
          <w:szCs w:val="36"/>
          <w:lang w:val="en-US" w:eastAsia="zh-CN"/>
        </w:rPr>
        <w:t>26</w:t>
      </w:r>
      <w:r>
        <w:rPr>
          <w:rFonts w:hint="eastAsia" w:ascii="黑体" w:hAnsi="黑体" w:eastAsia="黑体" w:cs="黑体"/>
          <w:b/>
          <w:sz w:val="36"/>
          <w:szCs w:val="36"/>
        </w:rPr>
        <w:t>日</w:t>
      </w:r>
    </w:p>
    <w:p w14:paraId="3BF047A2">
      <w:pPr>
        <w:spacing w:line="500" w:lineRule="exact"/>
        <w:jc w:val="center"/>
        <w:rPr>
          <w:rFonts w:hint="eastAsia" w:ascii="华文中宋" w:hAnsi="华文中宋" w:eastAsia="华文中宋"/>
          <w:b/>
          <w:sz w:val="44"/>
          <w:szCs w:val="44"/>
        </w:rPr>
      </w:pPr>
    </w:p>
    <w:p w14:paraId="1B778109">
      <w:pPr>
        <w:spacing w:line="50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40533B28">
      <w:pPr>
        <w:spacing w:line="500" w:lineRule="exact"/>
        <w:jc w:val="center"/>
        <w:rPr>
          <w:rFonts w:ascii="华文中宋" w:hAnsi="华文中宋" w:eastAsia="华文中宋"/>
          <w:b/>
          <w:sz w:val="44"/>
          <w:szCs w:val="44"/>
        </w:rPr>
      </w:pPr>
      <w:r>
        <w:rPr>
          <w:rFonts w:hint="eastAsia" w:ascii="华文中宋" w:hAnsi="华文中宋" w:eastAsia="华文中宋"/>
          <w:b/>
          <w:sz w:val="44"/>
          <w:szCs w:val="44"/>
        </w:rPr>
        <w:t>采购报价供应商需知</w:t>
      </w:r>
    </w:p>
    <w:p w14:paraId="31DFC4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我局根据工作开展需要，拟采购</w:t>
      </w:r>
      <w:r>
        <w:rPr>
          <w:rFonts w:hint="eastAsia" w:ascii="仿宋_GB2312" w:hAnsi="Calibri" w:eastAsia="仿宋_GB2312" w:cs="Times New Roman"/>
          <w:sz w:val="32"/>
          <w:szCs w:val="32"/>
          <w:lang w:val="en-US" w:eastAsia="zh-CN"/>
        </w:rPr>
        <w:t>防护防爆装备</w:t>
      </w:r>
      <w:r>
        <w:rPr>
          <w:rFonts w:hint="eastAsia" w:ascii="仿宋_GB2312" w:hAnsi="Calibri" w:eastAsia="仿宋_GB2312" w:cs="Times New Roman"/>
          <w:sz w:val="32"/>
          <w:szCs w:val="32"/>
        </w:rPr>
        <w:t>一批，现邀请</w:t>
      </w:r>
      <w:r>
        <w:rPr>
          <w:rFonts w:hint="eastAsia" w:ascii="仿宋_GB2312" w:hAnsi="仿宋_GB2312" w:eastAsia="仿宋_GB2312" w:cs="仿宋_GB2312"/>
          <w:color w:val="auto"/>
          <w:sz w:val="32"/>
          <w:szCs w:val="32"/>
          <w:lang w:eastAsia="zh-CN"/>
        </w:rPr>
        <w:t>符合条件的机构</w:t>
      </w:r>
      <w:r>
        <w:rPr>
          <w:rFonts w:hint="eastAsia" w:ascii="仿宋_GB2312" w:hAnsi="Calibri" w:eastAsia="仿宋_GB2312" w:cs="Times New Roman"/>
          <w:sz w:val="32"/>
          <w:szCs w:val="32"/>
        </w:rPr>
        <w:t>参与报价。</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将根据各公司所报文件中的</w:t>
      </w:r>
      <w:r>
        <w:rPr>
          <w:rFonts w:hint="eastAsia" w:ascii="仿宋_GB2312" w:hAnsi="仿宋_GB2312" w:eastAsia="仿宋_GB2312" w:cs="仿宋_GB2312"/>
          <w:color w:val="auto"/>
          <w:sz w:val="32"/>
          <w:szCs w:val="32"/>
          <w:lang w:val="en-US" w:eastAsia="zh-CN"/>
        </w:rPr>
        <w:t>企业管理能力、履约经验、</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lang w:val="en-US" w:eastAsia="zh-CN"/>
        </w:rPr>
        <w:t>产品质量保障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实物样品、售后服务及保障方案等</w:t>
      </w:r>
      <w:r>
        <w:rPr>
          <w:rFonts w:hint="eastAsia" w:ascii="仿宋_GB2312" w:hAnsi="仿宋_GB2312" w:eastAsia="仿宋_GB2312" w:cs="仿宋_GB2312"/>
          <w:color w:val="auto"/>
          <w:sz w:val="32"/>
          <w:szCs w:val="32"/>
          <w:lang w:eastAsia="zh-CN"/>
        </w:rPr>
        <w:t>方面通过综合评分方式确定成交供应商。</w:t>
      </w:r>
    </w:p>
    <w:p w14:paraId="534D0184">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一、项目概况</w:t>
      </w:r>
    </w:p>
    <w:p w14:paraId="3D252816">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（一）项目名称：自治区交通运输综合行政执法局执法装备（</w:t>
      </w:r>
      <w:r>
        <w:rPr>
          <w:rFonts w:hint="eastAsia" w:ascii="仿宋_GB2312" w:hAnsi="Calibri" w:eastAsia="仿宋_GB2312" w:cs="Times New Roman"/>
          <w:sz w:val="32"/>
          <w:szCs w:val="32"/>
          <w:lang w:val="en-US" w:eastAsia="zh-CN"/>
        </w:rPr>
        <w:t>防护防爆装备</w:t>
      </w:r>
      <w:r>
        <w:rPr>
          <w:rFonts w:hint="eastAsia" w:ascii="仿宋_GB2312" w:hAnsi="Calibri" w:eastAsia="仿宋_GB2312" w:cs="Times New Roman"/>
          <w:sz w:val="32"/>
          <w:szCs w:val="32"/>
        </w:rPr>
        <w:t>类）购置项目</w:t>
      </w:r>
    </w:p>
    <w:p w14:paraId="317AAA3F">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（二）采购方式：询价采购</w:t>
      </w:r>
    </w:p>
    <w:p w14:paraId="2A53FBD3">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（三）最高限价为：45.97万</w:t>
      </w:r>
    </w:p>
    <w:p w14:paraId="18D23BFB">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（四）供应商须就清单中的内容作完整报价。总报价包含货物、运费、装卸费、安装人工费、调试费、培训费、税金、售后服务费及其他所有可能发生的一切费用。</w:t>
      </w:r>
      <w:r>
        <w:rPr>
          <w:rFonts w:hint="eastAsia" w:ascii="仿宋_GB2312" w:hAnsi="仿宋_GB2312" w:eastAsia="仿宋_GB2312" w:cs="仿宋_GB2312"/>
          <w:color w:val="auto"/>
          <w:sz w:val="32"/>
          <w:szCs w:val="32"/>
          <w:lang w:eastAsia="zh-CN"/>
        </w:rPr>
        <w:t>本次项目成交供应商中标后，需签署合同并按合同要求完成</w:t>
      </w:r>
      <w:r>
        <w:rPr>
          <w:rFonts w:hint="eastAsia" w:ascii="仿宋_GB2312" w:hAnsi="仿宋_GB2312" w:eastAsia="仿宋_GB2312" w:cs="仿宋_GB2312"/>
          <w:color w:val="auto"/>
          <w:sz w:val="32"/>
          <w:szCs w:val="32"/>
          <w:lang w:val="en-US" w:eastAsia="zh-CN"/>
        </w:rPr>
        <w:t>各项</w:t>
      </w:r>
      <w:r>
        <w:rPr>
          <w:rFonts w:hint="eastAsia" w:ascii="仿宋_GB2312" w:hAnsi="仿宋_GB2312" w:eastAsia="仿宋_GB2312" w:cs="仿宋_GB2312"/>
          <w:color w:val="auto"/>
          <w:sz w:val="32"/>
          <w:szCs w:val="32"/>
          <w:lang w:eastAsia="zh-CN"/>
        </w:rPr>
        <w:t>工作。</w:t>
      </w:r>
    </w:p>
    <w:p w14:paraId="354F9F57">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二、资质要求</w:t>
      </w:r>
    </w:p>
    <w:p w14:paraId="34413060">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（一）满足《中华人民共和国政府采购法》第二十二条规定：</w:t>
      </w:r>
    </w:p>
    <w:p w14:paraId="186EFC2E">
      <w:pPr>
        <w:pStyle w:val="10"/>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1.具有独立承担民事责任的能力；</w:t>
      </w:r>
    </w:p>
    <w:p w14:paraId="7067E8DD">
      <w:pPr>
        <w:pStyle w:val="10"/>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2.具有良好的商业信誉和健全的财务会计制度；</w:t>
      </w:r>
    </w:p>
    <w:p w14:paraId="53369129">
      <w:pPr>
        <w:pStyle w:val="10"/>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3.具有履行合同所必需的</w:t>
      </w:r>
      <w:r>
        <w:rPr>
          <w:rFonts w:hint="eastAsia" w:ascii="仿宋_GB2312" w:hAnsi="Calibri" w:eastAsia="仿宋_GB2312" w:cs="Times New Roman"/>
          <w:sz w:val="32"/>
          <w:szCs w:val="32"/>
          <w:lang w:eastAsia="zh-CN"/>
        </w:rPr>
        <w:t>装备</w:t>
      </w:r>
      <w:r>
        <w:rPr>
          <w:rFonts w:hint="eastAsia" w:ascii="仿宋_GB2312" w:hAnsi="Calibri" w:eastAsia="仿宋_GB2312" w:cs="Times New Roman"/>
          <w:sz w:val="32"/>
          <w:szCs w:val="32"/>
        </w:rPr>
        <w:t>和专业技术能力；</w:t>
      </w:r>
    </w:p>
    <w:p w14:paraId="5A2FEF17">
      <w:pPr>
        <w:pStyle w:val="10"/>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4.有依法缴纳税收和社会保障资金的良好记录；</w:t>
      </w:r>
    </w:p>
    <w:p w14:paraId="0C63B971">
      <w:pPr>
        <w:pStyle w:val="10"/>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5.参加政府采购活动前三年内，在经营活动中没有重大违法记录；</w:t>
      </w:r>
    </w:p>
    <w:p w14:paraId="02B42924">
      <w:pPr>
        <w:pStyle w:val="10"/>
        <w:spacing w:line="560" w:lineRule="exact"/>
        <w:ind w:firstLine="640"/>
      </w:pPr>
      <w:r>
        <w:rPr>
          <w:rFonts w:hint="eastAsia" w:ascii="仿宋_GB2312" w:hAnsi="Calibri" w:eastAsia="仿宋_GB2312" w:cs="Times New Roman"/>
          <w:sz w:val="32"/>
          <w:szCs w:val="32"/>
        </w:rPr>
        <w:t>6.法律、行政法规规定的其他条件。</w:t>
      </w:r>
    </w:p>
    <w:p w14:paraId="1B2B89E0">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14:paraId="6CFB83DD">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（三）供应商负责人为同一人或者存在控股、管理关系的不同单位不得同时投标；</w:t>
      </w:r>
    </w:p>
    <w:p w14:paraId="1B90508F">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（四）本项目不接受联合体竞标。</w:t>
      </w:r>
    </w:p>
    <w:p w14:paraId="249998E2">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三、商务条款</w:t>
      </w:r>
    </w:p>
    <w:p w14:paraId="6EA560F0">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（一）自签订合同之日起</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0日内全部交货完成并验收合格，所提供的货物必须是未使用过的全新产品，按照采购人指定地点免费送货上门。若质量存在缺陷，3日内免费更换新产品。</w:t>
      </w:r>
    </w:p>
    <w:p w14:paraId="3A019CE1">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按产品国家有关“三包”规定，执行“三包”；质保期自货物验收合格之日起计算，不少于1年。（若产品生产厂家免费质保期超过此年限的，合同履行过程中按厂家规定执行；若成交人质保期承诺优于产品生产厂家质保年限的，以成交人承诺执行。）</w:t>
      </w:r>
    </w:p>
    <w:p w14:paraId="3397CF1C">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（三）售后服务要求：</w:t>
      </w:r>
    </w:p>
    <w:p w14:paraId="25AC93A9">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1.免费培训：对采购人进行免费培训，使其全部掌握</w:t>
      </w:r>
      <w:r>
        <w:rPr>
          <w:rFonts w:hint="eastAsia" w:ascii="仿宋_GB2312" w:hAnsi="Calibri" w:eastAsia="仿宋_GB2312" w:cs="Times New Roman"/>
          <w:sz w:val="32"/>
          <w:szCs w:val="32"/>
          <w:lang w:eastAsia="zh-CN"/>
        </w:rPr>
        <w:t>装备</w:t>
      </w:r>
      <w:r>
        <w:rPr>
          <w:rFonts w:hint="eastAsia" w:ascii="仿宋_GB2312" w:hAnsi="Calibri" w:eastAsia="仿宋_GB2312" w:cs="Times New Roman"/>
          <w:sz w:val="32"/>
          <w:szCs w:val="32"/>
        </w:rPr>
        <w:t>的使用和日常维护。</w:t>
      </w:r>
    </w:p>
    <w:p w14:paraId="0228322A">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2.接</w:t>
      </w:r>
      <w:r>
        <w:rPr>
          <w:rFonts w:hint="eastAsia" w:ascii="仿宋_GB2312" w:hAnsi="Calibri" w:eastAsia="仿宋_GB2312" w:cs="Times New Roman"/>
          <w:sz w:val="32"/>
          <w:szCs w:val="32"/>
          <w:lang w:eastAsia="zh-CN"/>
        </w:rPr>
        <w:t>装备</w:t>
      </w:r>
      <w:r>
        <w:rPr>
          <w:rFonts w:hint="eastAsia" w:ascii="仿宋_GB2312" w:hAnsi="Calibri" w:eastAsia="仿宋_GB2312" w:cs="Times New Roman"/>
          <w:sz w:val="32"/>
          <w:szCs w:val="32"/>
        </w:rPr>
        <w:t>故障通知在1小时内需要作出响应，48小时内解决</w:t>
      </w:r>
      <w:r>
        <w:rPr>
          <w:rFonts w:hint="eastAsia" w:ascii="仿宋_GB2312" w:hAnsi="Calibri" w:eastAsia="仿宋_GB2312" w:cs="Times New Roman"/>
          <w:sz w:val="32"/>
          <w:szCs w:val="32"/>
          <w:lang w:eastAsia="zh-CN"/>
        </w:rPr>
        <w:t>装备</w:t>
      </w:r>
      <w:r>
        <w:rPr>
          <w:rFonts w:hint="eastAsia" w:ascii="仿宋_GB2312" w:hAnsi="Calibri" w:eastAsia="仿宋_GB2312" w:cs="Times New Roman"/>
          <w:sz w:val="32"/>
          <w:szCs w:val="32"/>
        </w:rPr>
        <w:t>故障问题。</w:t>
      </w:r>
    </w:p>
    <w:p w14:paraId="2A74A794">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3.在质量保证期内</w:t>
      </w:r>
      <w:r>
        <w:rPr>
          <w:rFonts w:hint="eastAsia" w:ascii="仿宋_GB2312" w:hAnsi="Calibri" w:eastAsia="仿宋_GB2312" w:cs="Times New Roman"/>
          <w:sz w:val="32"/>
          <w:szCs w:val="32"/>
          <w:lang w:eastAsia="zh-CN"/>
        </w:rPr>
        <w:t>装备</w:t>
      </w:r>
      <w:r>
        <w:rPr>
          <w:rFonts w:hint="eastAsia" w:ascii="仿宋_GB2312" w:hAnsi="Calibri" w:eastAsia="仿宋_GB2312" w:cs="Times New Roman"/>
          <w:sz w:val="32"/>
          <w:szCs w:val="32"/>
        </w:rPr>
        <w:t>非因人为及不可抗拒因素的原因而引起损坏或质量问题，成交人应免费予以技术服务、维修或更换，并承担相应费用和零部件的费用。因人为因素出现的故障不在免费保修范围内，成交供应商需积极帮助采购人修理，并提供优惠价格的配件和服务。</w:t>
      </w:r>
    </w:p>
    <w:p w14:paraId="47CFA5FD">
      <w:pPr>
        <w:spacing w:line="560" w:lineRule="exact"/>
        <w:ind w:firstLine="640" w:firstLineChars="200"/>
        <w:rPr>
          <w:rFonts w:ascii="仿宋" w:hAnsi="仿宋" w:eastAsia="仿宋" w:cs="仿宋"/>
          <w:sz w:val="32"/>
          <w:szCs w:val="32"/>
        </w:rPr>
      </w:pP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w:t>
      </w:r>
      <w:r>
        <w:rPr>
          <w:rFonts w:hint="eastAsia" w:ascii="仿宋" w:hAnsi="仿宋" w:eastAsia="仿宋" w:cs="仿宋"/>
          <w:sz w:val="32"/>
          <w:szCs w:val="32"/>
        </w:rPr>
        <w:t>因</w:t>
      </w:r>
      <w:r>
        <w:rPr>
          <w:rFonts w:hint="eastAsia" w:ascii="仿宋" w:hAnsi="仿宋" w:eastAsia="仿宋" w:cs="仿宋"/>
          <w:sz w:val="32"/>
          <w:szCs w:val="32"/>
          <w:lang w:eastAsia="zh-CN"/>
        </w:rPr>
        <w:t>装备</w:t>
      </w:r>
      <w:r>
        <w:rPr>
          <w:rFonts w:hint="eastAsia" w:ascii="仿宋" w:hAnsi="仿宋" w:eastAsia="仿宋" w:cs="仿宋"/>
          <w:sz w:val="32"/>
          <w:szCs w:val="32"/>
        </w:rPr>
        <w:t>涉及保修，报价人所供产品应为正规渠道所获产品，不接受已拆封、或导致所供产品得不到厂家保修的其他行为。</w:t>
      </w:r>
    </w:p>
    <w:p w14:paraId="4FAA620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_GB2312" w:hAnsi="Calibri" w:eastAsia="仿宋_GB2312" w:cs="Times New Roman"/>
          <w:sz w:val="32"/>
          <w:szCs w:val="32"/>
        </w:rPr>
        <w:t>如中标供应商因不可抗力因素影响，无法提供采购方需求</w:t>
      </w:r>
      <w:r>
        <w:rPr>
          <w:rFonts w:hint="eastAsia" w:ascii="仿宋" w:hAnsi="仿宋" w:eastAsia="仿宋" w:cs="仿宋"/>
          <w:sz w:val="32"/>
          <w:szCs w:val="32"/>
        </w:rPr>
        <w:t>货物时，经与采购方协商并同意后，在不低于该货物中标价的情况下，可用同品牌的同档次、同规格的货物替代，并签订补充协议说明。</w:t>
      </w:r>
    </w:p>
    <w:p w14:paraId="2389E858">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四、付款方式</w:t>
      </w:r>
    </w:p>
    <w:p w14:paraId="3C2FA7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签订本项目合同，且货物全部配送完毕并验收合格后，采购人在收到发票后三十日内一次性付清供应商的货款。</w:t>
      </w:r>
    </w:p>
    <w:p w14:paraId="3A7BEE8D">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五、验收标准</w:t>
      </w:r>
    </w:p>
    <w:p w14:paraId="45CC230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产品在验收时应当符合国家法律法规，执行国家相关标准、行业标准，并符合采购文件中要求的技术标准。产品到达现场后，成交供应商应在采购人单位人员在场情况下当面开箱，共同清点、检查外观。成交供应商应保证货物到达采购人所在地完好无损，如有缺漏、损坏或者存在手工和制作质量问题，成交供应商必须无条件负责调换、补齐。成交供应商应提供完备的装箱单和合格证等，并派遣专业人员进行现场验收。验收合格条件如下：</w:t>
      </w:r>
    </w:p>
    <w:p w14:paraId="303C92F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（一）货物技术参数与采购合同一致，性能或指标达到规定的标准。</w:t>
      </w:r>
    </w:p>
    <w:p w14:paraId="0D4544E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（二）技术或资料、装箱单、合格证等资料齐全。</w:t>
      </w:r>
    </w:p>
    <w:p w14:paraId="7A6453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（三）在规定时间内完成交货，并经采购人确认。</w:t>
      </w:r>
    </w:p>
    <w:p w14:paraId="2A4BAEBF">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 xml:space="preserve">六、报价文件组成内容 </w:t>
      </w:r>
    </w:p>
    <w:p w14:paraId="7E15C9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（一）《营业执照》复印件、法定代表人委托授权书、法定代表人身份证复印件均加盖公章。</w:t>
      </w:r>
    </w:p>
    <w:p w14:paraId="5CC7E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（二）报价表（按照采购报价表填报并加盖公章）。</w:t>
      </w:r>
    </w:p>
    <w:p w14:paraId="2F034B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）技术响应、偏离情况说明表。</w:t>
      </w:r>
    </w:p>
    <w:p w14:paraId="14180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四</w:t>
      </w:r>
      <w:r>
        <w:rPr>
          <w:rFonts w:hint="eastAsia" w:ascii="仿宋_GB2312" w:hAnsi="Calibri" w:eastAsia="仿宋_GB2312" w:cs="Times New Roman"/>
          <w:sz w:val="32"/>
          <w:szCs w:val="32"/>
        </w:rPr>
        <w:t>）售后服务及售后承诺。</w:t>
      </w:r>
    </w:p>
    <w:p w14:paraId="5002FA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）产品</w:t>
      </w:r>
      <w:r>
        <w:rPr>
          <w:rFonts w:hint="eastAsia" w:ascii="仿宋_GB2312" w:hAnsi="仿宋_GB2312" w:eastAsia="仿宋_GB2312" w:cs="仿宋_GB2312"/>
          <w:color w:val="auto"/>
          <w:sz w:val="32"/>
          <w:szCs w:val="32"/>
          <w:lang w:val="en-US" w:eastAsia="zh-CN"/>
        </w:rPr>
        <w:t>实物样品</w:t>
      </w:r>
      <w:r>
        <w:rPr>
          <w:rFonts w:hint="eastAsia" w:ascii="仿宋_GB2312" w:hAnsi="仿宋_GB2312" w:eastAsia="仿宋_GB2312" w:cs="仿宋_GB2312"/>
          <w:color w:val="auto"/>
          <w:sz w:val="32"/>
          <w:szCs w:val="32"/>
          <w:lang w:eastAsia="zh-CN"/>
        </w:rPr>
        <w:t>。</w:t>
      </w:r>
    </w:p>
    <w:p w14:paraId="1A07FB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业绩证明材料（2022年以来同类项目产品或公检法司等执法单位的成功案例，以合同</w:t>
      </w:r>
      <w:r>
        <w:rPr>
          <w:rFonts w:hint="eastAsia" w:ascii="仿宋_GB2312" w:hAnsi="仿宋_GB2312" w:eastAsia="仿宋_GB2312" w:cs="仿宋_GB2312"/>
          <w:color w:val="auto"/>
          <w:sz w:val="32"/>
          <w:szCs w:val="32"/>
          <w:lang w:val="en-US" w:eastAsia="zh-CN"/>
        </w:rPr>
        <w:t>及验收报告</w:t>
      </w:r>
      <w:r>
        <w:rPr>
          <w:rFonts w:hint="eastAsia" w:ascii="仿宋_GB2312" w:hAnsi="仿宋_GB2312" w:eastAsia="仿宋_GB2312" w:cs="仿宋_GB2312"/>
          <w:color w:val="auto"/>
          <w:sz w:val="32"/>
          <w:szCs w:val="32"/>
          <w:lang w:eastAsia="zh-CN"/>
        </w:rPr>
        <w:t>复印件加盖</w:t>
      </w:r>
      <w:r>
        <w:rPr>
          <w:rFonts w:hint="eastAsia"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lang w:eastAsia="zh-CN"/>
        </w:rPr>
        <w:t>印章为准）。</w:t>
      </w:r>
    </w:p>
    <w:p w14:paraId="3AC615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七</w:t>
      </w:r>
      <w:r>
        <w:rPr>
          <w:rFonts w:hint="eastAsia" w:ascii="仿宋_GB2312" w:hAnsi="Calibri" w:eastAsia="仿宋_GB2312" w:cs="Times New Roman"/>
          <w:sz w:val="32"/>
          <w:szCs w:val="32"/>
        </w:rPr>
        <w:t>）报名时提供其在“信用中国”网站(www.creditchina.gov.cn)和中国政府采购网(www.ccgp.gov.cn)查询到的主体信用记录结果。</w:t>
      </w:r>
    </w:p>
    <w:p w14:paraId="58AE5E21">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八</w:t>
      </w:r>
      <w:r>
        <w:rPr>
          <w:rFonts w:hint="eastAsia" w:ascii="仿宋_GB2312" w:hAnsi="Calibri" w:eastAsia="仿宋_GB2312" w:cs="Times New Roman"/>
          <w:sz w:val="32"/>
          <w:szCs w:val="32"/>
        </w:rPr>
        <w:t>）除采购文件规定必须提供以外，供应商认为需要提供的其他证明材料。（供应商根据附件“项目</w:t>
      </w:r>
      <w:r>
        <w:rPr>
          <w:rFonts w:hint="eastAsia" w:ascii="仿宋_GB2312" w:hAnsi="Calibri" w:eastAsia="仿宋_GB2312" w:cs="Times New Roman"/>
          <w:w w:val="95"/>
          <w:sz w:val="32"/>
          <w:szCs w:val="32"/>
        </w:rPr>
        <w:t>采购清单</w:t>
      </w:r>
      <w:r>
        <w:rPr>
          <w:rFonts w:hint="eastAsia" w:ascii="仿宋_GB2312" w:hAnsi="Calibri" w:eastAsia="仿宋_GB2312" w:cs="Times New Roman"/>
          <w:sz w:val="32"/>
          <w:szCs w:val="32"/>
        </w:rPr>
        <w:t>”要求提供有关证明材料）。</w:t>
      </w:r>
    </w:p>
    <w:p w14:paraId="770BD78E">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七、报价文件递交</w:t>
      </w:r>
    </w:p>
    <w:p w14:paraId="2A43CD6E">
      <w:pPr>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请于2025年</w:t>
      </w: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日1</w:t>
      </w:r>
      <w:r>
        <w:rPr>
          <w:rFonts w:hint="eastAsia" w:ascii="仿宋_GB2312" w:hAnsi="Calibri" w:eastAsia="仿宋_GB2312" w:cs="Times New Roman"/>
          <w:sz w:val="32"/>
          <w:szCs w:val="32"/>
          <w:lang w:val="en-US" w:eastAsia="zh-CN"/>
        </w:rPr>
        <w:t>8</w:t>
      </w:r>
      <w:r>
        <w:rPr>
          <w:rFonts w:hint="eastAsia" w:ascii="仿宋_GB2312" w:hAnsi="Calibri" w:eastAsia="仿宋_GB2312" w:cs="Times New Roman"/>
          <w:sz w:val="32"/>
          <w:szCs w:val="32"/>
        </w:rPr>
        <w:t>点前将装订成册的报价文件（一式三份）用信封密封好，送至我局（南宁市滨湖路66号公路大厦808室）。如需邮寄送达，请用信封密封好并在邮寄封面注明投标资料和投标单位。联系人：张微，联系电话：0771-2115929；项目联系人：梁毅，联系电话：0771-2115456。</w:t>
      </w:r>
    </w:p>
    <w:p w14:paraId="447243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textAlignment w:val="auto"/>
        <w:rPr>
          <w:rFonts w:hint="eastAsia" w:ascii="仿宋_GB2312" w:hAnsi="Calibri" w:eastAsia="仿宋_GB2312" w:cs="Times New Roman"/>
          <w:w w:val="95"/>
          <w:sz w:val="32"/>
          <w:szCs w:val="32"/>
          <w:lang w:val="en-US" w:eastAsia="zh-CN"/>
        </w:rPr>
      </w:pPr>
      <w:r>
        <w:rPr>
          <w:rFonts w:hint="eastAsia" w:ascii="仿宋_GB2312" w:hAnsi="Calibri" w:eastAsia="仿宋_GB2312" w:cs="Times New Roman"/>
          <w:w w:val="95"/>
          <w:sz w:val="32"/>
          <w:szCs w:val="32"/>
        </w:rPr>
        <w:t>附件</w:t>
      </w:r>
      <w:r>
        <w:rPr>
          <w:rFonts w:hint="eastAsia" w:ascii="仿宋_GB2312" w:hAnsi="仿宋_GB2312" w:eastAsia="仿宋_GB2312" w:cs="仿宋_GB2312"/>
          <w:sz w:val="32"/>
          <w:szCs w:val="32"/>
        </w:rPr>
        <w:t>1.评审办法及评分标准</w:t>
      </w:r>
    </w:p>
    <w:p w14:paraId="43822A2E">
      <w:pPr>
        <w:spacing w:line="560" w:lineRule="exact"/>
        <w:ind w:firstLine="1216" w:firstLineChars="400"/>
        <w:rPr>
          <w:rFonts w:hint="eastAsia" w:ascii="仿宋_GB2312" w:hAnsi="Calibri" w:eastAsia="仿宋_GB2312" w:cs="Times New Roman"/>
          <w:w w:val="95"/>
          <w:sz w:val="32"/>
          <w:szCs w:val="32"/>
        </w:rPr>
      </w:pPr>
      <w:r>
        <w:rPr>
          <w:rFonts w:hint="eastAsia" w:ascii="仿宋_GB2312" w:hAnsi="Calibri" w:eastAsia="仿宋_GB2312" w:cs="Times New Roman"/>
          <w:w w:val="95"/>
          <w:sz w:val="32"/>
          <w:szCs w:val="32"/>
          <w:lang w:val="en-US" w:eastAsia="zh-CN"/>
        </w:rPr>
        <w:t>2</w:t>
      </w:r>
      <w:r>
        <w:rPr>
          <w:rFonts w:hint="eastAsia" w:ascii="仿宋_GB2312" w:hAnsi="Calibri" w:eastAsia="仿宋_GB2312" w:cs="Times New Roman"/>
          <w:w w:val="95"/>
          <w:sz w:val="32"/>
          <w:szCs w:val="32"/>
        </w:rPr>
        <w:t>：</w:t>
      </w:r>
      <w:r>
        <w:rPr>
          <w:rFonts w:hint="eastAsia" w:ascii="仿宋_GB2312" w:hAnsi="Calibri" w:eastAsia="仿宋_GB2312" w:cs="Times New Roman"/>
          <w:sz w:val="32"/>
          <w:szCs w:val="32"/>
        </w:rPr>
        <w:t>自治区交通运输综合行政执法局执法装备（</w:t>
      </w:r>
      <w:r>
        <w:rPr>
          <w:rFonts w:hint="eastAsia" w:ascii="仿宋_GB2312" w:hAnsi="Calibri" w:eastAsia="仿宋_GB2312" w:cs="Times New Roman"/>
          <w:sz w:val="32"/>
          <w:szCs w:val="32"/>
          <w:lang w:val="en-US" w:eastAsia="zh-CN"/>
        </w:rPr>
        <w:t>防护防爆</w:t>
      </w:r>
      <w:r>
        <w:rPr>
          <w:rFonts w:hint="eastAsia" w:ascii="仿宋_GB2312" w:hAnsi="Calibri" w:eastAsia="仿宋_GB2312" w:cs="Times New Roman"/>
          <w:sz w:val="32"/>
          <w:szCs w:val="32"/>
          <w:lang w:eastAsia="zh-CN"/>
        </w:rPr>
        <w:t>装备</w:t>
      </w:r>
      <w:r>
        <w:rPr>
          <w:rFonts w:hint="eastAsia" w:ascii="仿宋_GB2312" w:hAnsi="Calibri" w:eastAsia="仿宋_GB2312" w:cs="Times New Roman"/>
          <w:sz w:val="32"/>
          <w:szCs w:val="32"/>
        </w:rPr>
        <w:t>类）购置项目</w:t>
      </w:r>
      <w:r>
        <w:rPr>
          <w:rFonts w:hint="eastAsia" w:ascii="仿宋_GB2312" w:hAnsi="Calibri" w:eastAsia="仿宋_GB2312" w:cs="Times New Roman"/>
          <w:w w:val="95"/>
          <w:sz w:val="32"/>
          <w:szCs w:val="32"/>
        </w:rPr>
        <w:t>采购清单。</w:t>
      </w:r>
    </w:p>
    <w:p w14:paraId="25C16CE4">
      <w:pPr>
        <w:spacing w:line="560" w:lineRule="exact"/>
        <w:ind w:firstLine="1216" w:firstLineChars="400"/>
        <w:rPr>
          <w:rFonts w:hint="eastAsia" w:ascii="仿宋_GB2312" w:hAnsi="Calibri" w:eastAsia="仿宋_GB2312" w:cs="Times New Roman"/>
          <w:w w:val="95"/>
          <w:sz w:val="32"/>
          <w:szCs w:val="32"/>
          <w:lang w:val="en-US" w:eastAsia="zh-CN"/>
        </w:rPr>
      </w:pPr>
    </w:p>
    <w:p w14:paraId="0EC2BED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2"/>
          <w:szCs w:val="32"/>
        </w:rPr>
      </w:pPr>
      <w:r>
        <w:rPr>
          <w:rFonts w:hint="eastAsia" w:ascii="仿宋_GB2312" w:hAnsi="仿宋_GB2312" w:eastAsia="仿宋_GB2312" w:cs="仿宋_GB2312"/>
          <w:b w:val="0"/>
          <w:bCs/>
          <w:sz w:val="32"/>
          <w:szCs w:val="32"/>
          <w:lang w:val="en-US" w:eastAsia="zh-CN"/>
        </w:rPr>
        <w:t xml:space="preserve">                            </w:t>
      </w:r>
    </w:p>
    <w:p w14:paraId="2A7D3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附件1</w:t>
      </w:r>
    </w:p>
    <w:p w14:paraId="6B7D86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评审办法及评分标准</w:t>
      </w:r>
    </w:p>
    <w:p w14:paraId="04107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一、评审原则</w:t>
      </w:r>
    </w:p>
    <w:p w14:paraId="623F22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（一）评委组成：本次询价采购项目的评审委员会由采购人代表组成，成员人数应当为5人以上单数。</w:t>
      </w:r>
    </w:p>
    <w:p w14:paraId="71B46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（二）评审依据：评委将以询价文件为评审依据，对报价人的</w:t>
      </w:r>
      <w:r>
        <w:rPr>
          <w:rFonts w:hint="eastAsia" w:ascii="仿宋_GB2312" w:hAnsi="仿宋_GB2312" w:eastAsia="仿宋_GB2312" w:cs="仿宋_GB2312"/>
          <w:color w:val="auto"/>
          <w:sz w:val="32"/>
          <w:szCs w:val="32"/>
          <w:lang w:val="en-US" w:eastAsia="zh-CN"/>
        </w:rPr>
        <w:t>企业管理能力、履约经验、</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lang w:val="en-US" w:eastAsia="zh-CN"/>
        </w:rPr>
        <w:t>产品技术参数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实物样品符合度、售后服务及保障方案</w:t>
      </w:r>
      <w:r>
        <w:rPr>
          <w:rFonts w:hint="eastAsia" w:ascii="仿宋_GB2312" w:hAnsi="仿宋_GB2312" w:eastAsia="仿宋_GB2312" w:cs="仿宋_GB2312"/>
          <w:b w:val="0"/>
          <w:bCs w:val="0"/>
          <w:sz w:val="32"/>
          <w:szCs w:val="32"/>
        </w:rPr>
        <w:t>等内容按综合评分法进行打分。</w:t>
      </w:r>
    </w:p>
    <w:p w14:paraId="673946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二、评审方法</w:t>
      </w:r>
    </w:p>
    <w:p w14:paraId="7158A2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（一）对进入详评的，采用百分制综合评分法。</w:t>
      </w:r>
    </w:p>
    <w:p w14:paraId="710648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（二）计分办法（按四舍五入取至百分位）</w:t>
      </w:r>
      <w:r>
        <w:rPr>
          <w:rFonts w:hint="eastAsia" w:ascii="仿宋_GB2312" w:hAnsi="仿宋_GB2312" w:eastAsia="仿宋_GB2312" w:cs="仿宋_GB2312"/>
          <w:b w:val="0"/>
          <w:bCs w:val="0"/>
          <w:sz w:val="32"/>
          <w:szCs w:val="32"/>
          <w:lang w:eastAsia="zh-CN"/>
        </w:rPr>
        <w:t>。</w:t>
      </w:r>
    </w:p>
    <w:p w14:paraId="75296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三、评分标准</w:t>
      </w:r>
    </w:p>
    <w:p w14:paraId="4B3989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（一）价格部分（满分</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p>
    <w:p w14:paraId="39E61F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（1）满足招标文件要求且投标报价最低的投标报价为评标基准价。</w:t>
      </w:r>
    </w:p>
    <w:p w14:paraId="0CB776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（2）价格分计算公式：</w:t>
      </w:r>
    </w:p>
    <w:p w14:paraId="35F05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价格分=（评标基准价／投标报价）×30分</w:t>
      </w:r>
    </w:p>
    <w:p w14:paraId="7A0B56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（二）商务部分（满分</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分）</w:t>
      </w:r>
    </w:p>
    <w:p w14:paraId="7018E3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按“评分表”要求进行打分。</w:t>
      </w:r>
    </w:p>
    <w:p w14:paraId="21F82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sz w:val="32"/>
          <w:szCs w:val="32"/>
          <w:lang w:val="en-US" w:eastAsia="zh-CN"/>
        </w:rPr>
        <w:t>质量</w:t>
      </w:r>
      <w:r>
        <w:rPr>
          <w:rFonts w:hint="eastAsia" w:ascii="仿宋_GB2312" w:hAnsi="仿宋_GB2312" w:eastAsia="仿宋_GB2312" w:cs="仿宋_GB2312"/>
          <w:b w:val="0"/>
          <w:bCs w:val="0"/>
          <w:sz w:val="32"/>
          <w:szCs w:val="32"/>
        </w:rPr>
        <w:t>部分（满分</w:t>
      </w:r>
      <w:r>
        <w:rPr>
          <w:rFonts w:hint="eastAsia" w:ascii="仿宋_GB2312" w:hAnsi="仿宋_GB2312" w:eastAsia="仿宋_GB2312" w:cs="仿宋_GB2312"/>
          <w:b w:val="0"/>
          <w:bCs w:val="0"/>
          <w:sz w:val="32"/>
          <w:szCs w:val="32"/>
          <w:lang w:val="en-US" w:eastAsia="zh-CN"/>
        </w:rPr>
        <w:t>50</w:t>
      </w:r>
      <w:r>
        <w:rPr>
          <w:rFonts w:hint="eastAsia" w:ascii="仿宋_GB2312" w:hAnsi="仿宋_GB2312" w:eastAsia="仿宋_GB2312" w:cs="仿宋_GB2312"/>
          <w:b w:val="0"/>
          <w:bCs w:val="0"/>
          <w:sz w:val="32"/>
          <w:szCs w:val="32"/>
        </w:rPr>
        <w:t>分）</w:t>
      </w:r>
    </w:p>
    <w:p w14:paraId="59E4D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按“评分表”要求进行打分。</w:t>
      </w:r>
    </w:p>
    <w:p w14:paraId="72903E4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售后服务及服务保障方案（</w:t>
      </w:r>
      <w:r>
        <w:rPr>
          <w:rFonts w:hint="eastAsia" w:ascii="仿宋_GB2312" w:hAnsi="仿宋_GB2312" w:eastAsia="仿宋_GB2312" w:cs="仿宋_GB2312"/>
          <w:b w:val="0"/>
          <w:bCs w:val="0"/>
          <w:sz w:val="32"/>
          <w:szCs w:val="32"/>
          <w:lang w:val="en-US" w:eastAsia="zh-CN"/>
        </w:rPr>
        <w:t>满分10分</w:t>
      </w:r>
      <w:r>
        <w:rPr>
          <w:rFonts w:hint="eastAsia" w:ascii="仿宋_GB2312" w:hAnsi="仿宋_GB2312" w:eastAsia="仿宋_GB2312" w:cs="仿宋_GB2312"/>
          <w:b w:val="0"/>
          <w:bCs w:val="0"/>
          <w:sz w:val="32"/>
          <w:szCs w:val="32"/>
          <w:lang w:eastAsia="zh-CN"/>
        </w:rPr>
        <w:t>）</w:t>
      </w:r>
    </w:p>
    <w:p w14:paraId="1072AE5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按“评分表”要求进行打分。</w:t>
      </w:r>
    </w:p>
    <w:p w14:paraId="0C845743">
      <w:pPr>
        <w:jc w:val="center"/>
        <w:rPr>
          <w:rFonts w:hint="eastAsia" w:ascii="方正仿宋_GB2312" w:eastAsia="方正仿宋_GB2312"/>
          <w:b/>
          <w:bCs/>
          <w:kern w:val="0"/>
          <w:sz w:val="36"/>
          <w:szCs w:val="36"/>
        </w:rPr>
      </w:pPr>
    </w:p>
    <w:p w14:paraId="53EA8B5E">
      <w:pPr>
        <w:jc w:val="center"/>
        <w:rPr>
          <w:rFonts w:hint="eastAsia" w:ascii="方正仿宋_GB2312" w:eastAsia="方正仿宋_GB2312"/>
          <w:b/>
          <w:bCs/>
          <w:kern w:val="0"/>
          <w:sz w:val="36"/>
          <w:szCs w:val="36"/>
        </w:rPr>
      </w:pPr>
    </w:p>
    <w:p w14:paraId="7C25C8ED">
      <w:pPr>
        <w:jc w:val="center"/>
        <w:rPr>
          <w:rFonts w:hint="eastAsia" w:ascii="方正仿宋_GB2312" w:eastAsia="方正仿宋_GB2312"/>
          <w:b/>
          <w:bCs/>
          <w:kern w:val="0"/>
          <w:sz w:val="36"/>
          <w:szCs w:val="36"/>
        </w:rPr>
      </w:pPr>
      <w:r>
        <w:rPr>
          <w:rFonts w:hint="eastAsia" w:ascii="方正仿宋_GB2312" w:eastAsia="方正仿宋_GB2312"/>
          <w:b/>
          <w:bCs/>
          <w:kern w:val="0"/>
          <w:sz w:val="36"/>
          <w:szCs w:val="36"/>
        </w:rPr>
        <w:t>评分表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00"/>
        <w:gridCol w:w="1430"/>
        <w:gridCol w:w="5065"/>
      </w:tblGrid>
      <w:tr w14:paraId="45AA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27610407">
            <w:pPr>
              <w:pStyle w:val="15"/>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1200" w:type="dxa"/>
            <w:tcBorders>
              <w:top w:val="single" w:color="auto" w:sz="4" w:space="0"/>
              <w:left w:val="nil"/>
              <w:bottom w:val="single" w:color="auto" w:sz="4" w:space="0"/>
              <w:right w:val="single" w:color="auto" w:sz="4" w:space="0"/>
            </w:tcBorders>
            <w:noWrap w:val="0"/>
            <w:vAlign w:val="top"/>
          </w:tcPr>
          <w:p w14:paraId="138B25D4">
            <w:pPr>
              <w:pStyle w:val="15"/>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评审项目</w:t>
            </w:r>
          </w:p>
        </w:tc>
        <w:tc>
          <w:tcPr>
            <w:tcW w:w="1430" w:type="dxa"/>
            <w:tcBorders>
              <w:top w:val="single" w:color="auto" w:sz="4" w:space="0"/>
              <w:left w:val="nil"/>
              <w:bottom w:val="single" w:color="auto" w:sz="4" w:space="0"/>
              <w:right w:val="single" w:color="auto" w:sz="4" w:space="0"/>
            </w:tcBorders>
            <w:noWrap w:val="0"/>
            <w:vAlign w:val="top"/>
          </w:tcPr>
          <w:p w14:paraId="2EA18755">
            <w:pPr>
              <w:pStyle w:val="15"/>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rPr>
              <w:t>分值</w:t>
            </w:r>
            <w:r>
              <w:rPr>
                <w:rFonts w:hint="eastAsia" w:ascii="方正仿宋_GB2312" w:hAnsi="方正仿宋_GB2312" w:eastAsia="方正仿宋_GB2312" w:cs="方正仿宋_GB2312"/>
                <w:b/>
                <w:bCs/>
                <w:sz w:val="24"/>
                <w:szCs w:val="24"/>
                <w:lang w:val="en-US" w:eastAsia="zh-CN"/>
              </w:rPr>
              <w:t>100分</w:t>
            </w:r>
          </w:p>
        </w:tc>
        <w:tc>
          <w:tcPr>
            <w:tcW w:w="5065" w:type="dxa"/>
            <w:tcBorders>
              <w:top w:val="single" w:color="auto" w:sz="4" w:space="0"/>
              <w:left w:val="nil"/>
              <w:bottom w:val="single" w:color="auto" w:sz="4" w:space="0"/>
              <w:right w:val="single" w:color="auto" w:sz="4" w:space="0"/>
            </w:tcBorders>
            <w:noWrap w:val="0"/>
            <w:vAlign w:val="top"/>
          </w:tcPr>
          <w:p w14:paraId="184041D1">
            <w:pPr>
              <w:pStyle w:val="15"/>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评审细则</w:t>
            </w:r>
          </w:p>
        </w:tc>
      </w:tr>
      <w:tr w14:paraId="62AD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14:paraId="0DF29E2D">
            <w:pPr>
              <w:pStyle w:val="15"/>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8"/>
                <w:szCs w:val="28"/>
              </w:rPr>
              <w:t>商务评审（</w:t>
            </w:r>
            <w:r>
              <w:rPr>
                <w:rFonts w:hint="eastAsia" w:ascii="方正仿宋_GB2312" w:hAnsi="方正仿宋_GB2312" w:eastAsia="方正仿宋_GB2312" w:cs="方正仿宋_GB2312"/>
                <w:b/>
                <w:bCs/>
                <w:sz w:val="28"/>
                <w:szCs w:val="28"/>
                <w:lang w:val="en-US" w:eastAsia="zh-CN"/>
              </w:rPr>
              <w:t>10</w:t>
            </w:r>
            <w:r>
              <w:rPr>
                <w:rFonts w:hint="eastAsia" w:ascii="方正仿宋_GB2312" w:hAnsi="方正仿宋_GB2312" w:eastAsia="方正仿宋_GB2312" w:cs="方正仿宋_GB2312"/>
                <w:b/>
                <w:bCs/>
                <w:sz w:val="28"/>
                <w:szCs w:val="28"/>
              </w:rPr>
              <w:t>分）</w:t>
            </w:r>
          </w:p>
        </w:tc>
      </w:tr>
      <w:tr w14:paraId="124D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left w:val="single" w:color="auto" w:sz="4" w:space="0"/>
              <w:bottom w:val="single" w:color="auto" w:sz="4" w:space="0"/>
              <w:right w:val="single" w:color="auto" w:sz="4" w:space="0"/>
            </w:tcBorders>
            <w:noWrap w:val="0"/>
            <w:vAlign w:val="center"/>
          </w:tcPr>
          <w:p w14:paraId="2F4699AD">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hAnsi="仿宋_GB2312" w:cs="仿宋_GB2312"/>
                <w:b w:val="0"/>
                <w:bCs/>
                <w:color w:val="auto"/>
                <w:sz w:val="24"/>
                <w:szCs w:val="24"/>
                <w:highlight w:val="none"/>
                <w:lang w:val="en-US" w:eastAsia="zh-CN"/>
              </w:rPr>
              <w:t>1</w:t>
            </w:r>
          </w:p>
        </w:tc>
        <w:tc>
          <w:tcPr>
            <w:tcW w:w="1200" w:type="dxa"/>
            <w:tcBorders>
              <w:top w:val="single" w:color="auto" w:sz="4" w:space="0"/>
              <w:left w:val="nil"/>
              <w:bottom w:val="single" w:color="auto" w:sz="4" w:space="0"/>
              <w:right w:val="single" w:color="auto" w:sz="4" w:space="0"/>
            </w:tcBorders>
            <w:noWrap w:val="0"/>
            <w:vAlign w:val="center"/>
          </w:tcPr>
          <w:p w14:paraId="6ADA0B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rPr>
              <w:t>履约经验</w:t>
            </w:r>
          </w:p>
        </w:tc>
        <w:tc>
          <w:tcPr>
            <w:tcW w:w="1430" w:type="dxa"/>
            <w:tcBorders>
              <w:top w:val="single" w:color="auto" w:sz="4" w:space="0"/>
              <w:left w:val="nil"/>
              <w:bottom w:val="single" w:color="auto" w:sz="4" w:space="0"/>
              <w:right w:val="single" w:color="auto" w:sz="4" w:space="0"/>
            </w:tcBorders>
            <w:noWrap w:val="0"/>
            <w:vAlign w:val="center"/>
          </w:tcPr>
          <w:p w14:paraId="7E78DD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5065" w:type="dxa"/>
            <w:tcBorders>
              <w:top w:val="single" w:color="auto" w:sz="4" w:space="0"/>
              <w:left w:val="nil"/>
              <w:bottom w:val="single" w:color="auto" w:sz="4" w:space="0"/>
              <w:right w:val="single" w:color="auto" w:sz="4" w:space="0"/>
            </w:tcBorders>
            <w:noWrap w:val="0"/>
            <w:vAlign w:val="top"/>
          </w:tcPr>
          <w:p w14:paraId="2243CDE5">
            <w:pPr>
              <w:pStyle w:val="1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供应商提供已完成的2022年以来同类项目产品或公检法司等执法单位的类似项目业绩,每提供一个合同业绩得</w:t>
            </w:r>
            <w:r>
              <w:rPr>
                <w:rFonts w:hint="eastAsia" w:hAnsi="仿宋_GB2312" w:cs="仿宋_GB2312"/>
                <w:color w:val="auto"/>
                <w:sz w:val="24"/>
                <w:szCs w:val="24"/>
                <w:highlight w:val="none"/>
                <w:lang w:val="en-US" w:eastAsia="zh-CN"/>
              </w:rPr>
              <w:t>0.5</w:t>
            </w:r>
            <w:r>
              <w:rPr>
                <w:rFonts w:hint="eastAsia" w:ascii="仿宋_GB2312" w:hAnsi="仿宋_GB2312" w:eastAsia="仿宋_GB2312" w:cs="仿宋_GB2312"/>
                <w:color w:val="auto"/>
                <w:sz w:val="24"/>
                <w:szCs w:val="24"/>
                <w:highlight w:val="none"/>
                <w:lang w:val="en-US" w:eastAsia="zh-CN"/>
              </w:rPr>
              <w:t>分,本项最高得</w:t>
            </w:r>
            <w:r>
              <w:rPr>
                <w:rFonts w:hint="eastAsia" w:hAnsi="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en-US" w:eastAsia="zh-CN"/>
              </w:rPr>
              <w:t>0分。</w:t>
            </w:r>
            <w:r>
              <w:rPr>
                <w:rFonts w:hint="eastAsia" w:ascii="仿宋_GB2312" w:hAnsi="仿宋_GB2312" w:eastAsia="仿宋_GB2312" w:cs="仿宋_GB2312"/>
                <w:color w:val="auto"/>
                <w:sz w:val="24"/>
                <w:szCs w:val="24"/>
                <w:highlight w:val="none"/>
              </w:rPr>
              <w:t>注：以上合同不得重复，合同复印件并同时加盖供应商公章，</w:t>
            </w:r>
            <w:r>
              <w:rPr>
                <w:rFonts w:hint="eastAsia" w:hAnsi="仿宋_GB2312" w:cs="仿宋_GB2312"/>
                <w:color w:val="auto"/>
                <w:sz w:val="24"/>
                <w:szCs w:val="24"/>
                <w:highlight w:val="none"/>
                <w:lang w:val="en-US" w:eastAsia="zh-CN"/>
              </w:rPr>
              <w:t>并</w:t>
            </w:r>
            <w:r>
              <w:rPr>
                <w:rFonts w:hint="eastAsia" w:ascii="仿宋_GB2312" w:hAnsi="仿宋_GB2312" w:eastAsia="仿宋_GB2312" w:cs="仿宋_GB2312"/>
                <w:color w:val="auto"/>
                <w:sz w:val="24"/>
                <w:szCs w:val="24"/>
                <w:highlight w:val="none"/>
              </w:rPr>
              <w:t>同时提供</w:t>
            </w:r>
            <w:r>
              <w:rPr>
                <w:rFonts w:hint="eastAsia" w:hAnsi="仿宋_GB2312" w:cs="仿宋_GB2312"/>
                <w:color w:val="auto"/>
                <w:sz w:val="24"/>
                <w:szCs w:val="24"/>
                <w:highlight w:val="none"/>
                <w:lang w:val="en-US" w:eastAsia="zh-CN"/>
              </w:rPr>
              <w:t>原件核对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不符合以上要求</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不得分。</w:t>
            </w:r>
          </w:p>
        </w:tc>
      </w:tr>
      <w:tr w14:paraId="0881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14:paraId="1EB3ADCB">
            <w:pPr>
              <w:pStyle w:val="15"/>
              <w:keepNext w:val="0"/>
              <w:keepLines w:val="0"/>
              <w:pageBreakBefore w:val="0"/>
              <w:widowControl w:val="0"/>
              <w:kinsoku/>
              <w:wordWrap/>
              <w:overflowPunct/>
              <w:topLinePunct w:val="0"/>
              <w:autoSpaceDE/>
              <w:autoSpaceDN/>
              <w:bidi w:val="0"/>
              <w:adjustRightInd/>
              <w:snapToGrid/>
              <w:spacing w:line="440" w:lineRule="exact"/>
              <w:ind w:firstLine="3092" w:firstLineChars="1100"/>
              <w:jc w:val="both"/>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bCs/>
                <w:sz w:val="28"/>
                <w:szCs w:val="28"/>
                <w:lang w:val="en-US" w:eastAsia="zh-CN"/>
              </w:rPr>
              <w:t>价格分</w:t>
            </w:r>
            <w:r>
              <w:rPr>
                <w:rFonts w:hint="eastAsia" w:ascii="方正仿宋_GB2312" w:hAnsi="方正仿宋_GB2312" w:eastAsia="方正仿宋_GB2312" w:cs="方正仿宋_GB2312"/>
                <w:b/>
                <w:bCs/>
                <w:color w:val="auto"/>
                <w:sz w:val="28"/>
                <w:szCs w:val="28"/>
                <w:lang w:val="en-US" w:eastAsia="zh-CN"/>
              </w:rPr>
              <w:t>（30分）</w:t>
            </w:r>
          </w:p>
        </w:tc>
      </w:tr>
      <w:tr w14:paraId="2C67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1278DE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00" w:type="dxa"/>
            <w:tcBorders>
              <w:top w:val="single" w:color="auto" w:sz="4" w:space="0"/>
              <w:left w:val="nil"/>
              <w:bottom w:val="single" w:color="auto" w:sz="4" w:space="0"/>
              <w:right w:val="single" w:color="auto" w:sz="4" w:space="0"/>
            </w:tcBorders>
            <w:noWrap w:val="0"/>
            <w:vAlign w:val="center"/>
          </w:tcPr>
          <w:p w14:paraId="397D06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价格分</w:t>
            </w:r>
          </w:p>
        </w:tc>
        <w:tc>
          <w:tcPr>
            <w:tcW w:w="1430" w:type="dxa"/>
            <w:tcBorders>
              <w:top w:val="single" w:color="auto" w:sz="4" w:space="0"/>
              <w:left w:val="nil"/>
              <w:bottom w:val="single" w:color="auto" w:sz="4" w:space="0"/>
              <w:right w:val="single" w:color="auto" w:sz="4" w:space="0"/>
            </w:tcBorders>
            <w:noWrap w:val="0"/>
            <w:vAlign w:val="center"/>
          </w:tcPr>
          <w:p w14:paraId="3E060A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30分</w:t>
            </w:r>
          </w:p>
        </w:tc>
        <w:tc>
          <w:tcPr>
            <w:tcW w:w="5065" w:type="dxa"/>
            <w:tcBorders>
              <w:top w:val="single" w:color="auto" w:sz="4" w:space="0"/>
              <w:left w:val="nil"/>
              <w:bottom w:val="single" w:color="auto" w:sz="4" w:space="0"/>
              <w:right w:val="single" w:color="auto" w:sz="4" w:space="0"/>
            </w:tcBorders>
            <w:noWrap w:val="0"/>
            <w:vAlign w:val="top"/>
          </w:tcPr>
          <w:p w14:paraId="29478026">
            <w:pPr>
              <w:pStyle w:val="1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满足询价文件要求且报价最低的供应商为基准价，得</w:t>
            </w:r>
            <w:r>
              <w:rPr>
                <w:rFonts w:hint="eastAsia" w:hAnsi="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0分。其他供应商的价格按照公式计算：报价得分=（基准价÷报价）×</w:t>
            </w:r>
            <w:r>
              <w:rPr>
                <w:rFonts w:hint="eastAsia" w:hAnsi="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0。根据《政府采购货物和服务招标投标管理办法》（财政部令第87号）第六十条</w:t>
            </w:r>
            <w:r>
              <w:rPr>
                <w:rFonts w:hint="eastAsia" w:hAnsi="仿宋_GB2312" w:cs="仿宋_GB2312"/>
                <w:color w:val="auto"/>
                <w:sz w:val="24"/>
                <w:szCs w:val="24"/>
                <w:lang w:val="en-US" w:eastAsia="zh-CN"/>
              </w:rPr>
              <w:t>的</w:t>
            </w:r>
            <w:r>
              <w:rPr>
                <w:rFonts w:hint="eastAsia" w:ascii="仿宋_GB2312" w:hAnsi="仿宋_GB2312" w:eastAsia="仿宋_GB2312" w:cs="仿宋_GB2312"/>
                <w:color w:val="auto"/>
                <w:sz w:val="24"/>
                <w:szCs w:val="24"/>
                <w:lang w:val="en-US" w:eastAsia="zh-CN"/>
              </w:rPr>
              <w:t>规定，投标人的报价明显低于其他通过符合性审查投标人</w:t>
            </w:r>
            <w:r>
              <w:rPr>
                <w:rFonts w:hint="eastAsia" w:hAnsi="仿宋_GB2312" w:cs="仿宋_GB2312"/>
                <w:color w:val="auto"/>
                <w:sz w:val="24"/>
                <w:szCs w:val="24"/>
                <w:lang w:val="en-US" w:eastAsia="zh-CN"/>
              </w:rPr>
              <w:t>的</w:t>
            </w:r>
            <w:r>
              <w:rPr>
                <w:rFonts w:hint="eastAsia" w:ascii="仿宋_GB2312" w:hAnsi="仿宋_GB2312" w:eastAsia="仿宋_GB2312" w:cs="仿宋_GB2312"/>
                <w:color w:val="auto"/>
                <w:sz w:val="24"/>
                <w:szCs w:val="24"/>
                <w:lang w:val="en-US" w:eastAsia="zh-CN"/>
              </w:rPr>
              <w:t>报价，且可能影响产品质量或者不能诚信履约的，被认为属于异常低价，投标人对此种情况下报价的合理性负有证明义务。</w:t>
            </w:r>
          </w:p>
        </w:tc>
      </w:tr>
      <w:tr w14:paraId="5A21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14:paraId="02332168">
            <w:pPr>
              <w:pStyle w:val="1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bCs/>
                <w:sz w:val="28"/>
                <w:szCs w:val="28"/>
                <w:lang w:val="en-US" w:eastAsia="zh-CN"/>
              </w:rPr>
              <w:t>质量评审</w:t>
            </w:r>
            <w:r>
              <w:rPr>
                <w:rFonts w:hint="eastAsia" w:ascii="方正仿宋_GB2312" w:hAnsi="方正仿宋_GB2312" w:eastAsia="方正仿宋_GB2312" w:cs="方正仿宋_GB2312"/>
                <w:b/>
                <w:bCs/>
                <w:color w:val="auto"/>
                <w:sz w:val="28"/>
                <w:szCs w:val="28"/>
                <w:lang w:val="en-US" w:eastAsia="zh-CN"/>
              </w:rPr>
              <w:t>（50分）</w:t>
            </w:r>
          </w:p>
        </w:tc>
      </w:tr>
      <w:tr w14:paraId="7A35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27" w:type="dxa"/>
            <w:tcBorders>
              <w:top w:val="single" w:color="auto" w:sz="4" w:space="0"/>
              <w:left w:val="single" w:color="auto" w:sz="4" w:space="0"/>
              <w:right w:val="single" w:color="auto" w:sz="4" w:space="0"/>
            </w:tcBorders>
            <w:noWrap w:val="0"/>
            <w:vAlign w:val="center"/>
          </w:tcPr>
          <w:p w14:paraId="48D02B42">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3</w:t>
            </w:r>
          </w:p>
        </w:tc>
        <w:tc>
          <w:tcPr>
            <w:tcW w:w="1200" w:type="dxa"/>
            <w:tcBorders>
              <w:top w:val="single" w:color="auto" w:sz="4" w:space="0"/>
              <w:left w:val="nil"/>
              <w:bottom w:val="single" w:color="auto" w:sz="4" w:space="0"/>
              <w:right w:val="single" w:color="auto" w:sz="4" w:space="0"/>
            </w:tcBorders>
            <w:noWrap w:val="0"/>
            <w:vAlign w:val="center"/>
          </w:tcPr>
          <w:p w14:paraId="28288D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产品</w:t>
            </w:r>
            <w:r>
              <w:rPr>
                <w:rFonts w:hint="eastAsia" w:ascii="仿宋_GB2312" w:hAnsi="仿宋_GB2312" w:eastAsia="仿宋_GB2312" w:cs="仿宋_GB2312"/>
                <w:sz w:val="24"/>
                <w:szCs w:val="24"/>
                <w:lang w:val="en-US" w:eastAsia="zh-CN"/>
              </w:rPr>
              <w:t>质量保障</w:t>
            </w:r>
          </w:p>
        </w:tc>
        <w:tc>
          <w:tcPr>
            <w:tcW w:w="1430" w:type="dxa"/>
            <w:tcBorders>
              <w:top w:val="single" w:color="auto" w:sz="4" w:space="0"/>
              <w:left w:val="nil"/>
              <w:bottom w:val="single" w:color="auto" w:sz="4" w:space="0"/>
              <w:right w:val="single" w:color="auto" w:sz="4" w:space="0"/>
            </w:tcBorders>
            <w:noWrap w:val="0"/>
            <w:vAlign w:val="center"/>
          </w:tcPr>
          <w:p w14:paraId="0FC289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分</w:t>
            </w:r>
          </w:p>
        </w:tc>
        <w:tc>
          <w:tcPr>
            <w:tcW w:w="5065" w:type="dxa"/>
            <w:tcBorders>
              <w:top w:val="single" w:color="auto" w:sz="4" w:space="0"/>
              <w:left w:val="nil"/>
              <w:bottom w:val="single" w:color="auto" w:sz="4" w:space="0"/>
              <w:right w:val="single" w:color="auto" w:sz="4" w:space="0"/>
            </w:tcBorders>
            <w:noWrap w:val="0"/>
            <w:vAlign w:val="center"/>
          </w:tcPr>
          <w:p w14:paraId="39299C5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对供应商所提交的“项目采购清单”中产品的实质性核心技术参数要求（即附件2中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）进行逐项比对，投标文件中提供产品有GA/CMA/CNAS/CAL之一标志的</w:t>
            </w:r>
            <w:r>
              <w:rPr>
                <w:rFonts w:hint="eastAsia" w:ascii="仿宋_GB2312" w:hAnsi="仿宋_GB2312" w:eastAsia="仿宋_GB2312" w:cs="仿宋_GB2312"/>
                <w:color w:val="auto"/>
                <w:sz w:val="24"/>
                <w:szCs w:val="24"/>
              </w:rPr>
              <w:t>公安部安全防范报警系统产品质量检验检测中心</w:t>
            </w:r>
            <w:r>
              <w:rPr>
                <w:rFonts w:hint="eastAsia" w:ascii="仿宋_GB2312" w:hAnsi="仿宋_GB2312" w:eastAsia="仿宋_GB2312" w:cs="仿宋_GB2312"/>
                <w:color w:val="auto"/>
                <w:sz w:val="24"/>
                <w:szCs w:val="24"/>
                <w:lang w:val="en-US" w:eastAsia="zh-CN"/>
              </w:rPr>
              <w:t>及国家认可的第三方产品质量监督检测（验）机构出具的符合技术参数要求的产品检测（验）报告原件扫描件并加盖生产厂家及响应人单位公章，同时提供原件核查，不提供不得分，并按如下计分方式打分：</w:t>
            </w:r>
          </w:p>
          <w:p w14:paraId="7F7A1386">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检测（验）报告内容与“项目采购清单”中产品的实质性核心技术参数要求（即附件2中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）进行比对，符合参数要求</w:t>
            </w:r>
            <w:r>
              <w:rPr>
                <w:rFonts w:hint="eastAsia" w:ascii="仿宋_GB2312" w:hAnsi="仿宋_GB2312" w:eastAsia="仿宋_GB2312" w:cs="仿宋_GB2312"/>
                <w:color w:val="auto"/>
                <w:sz w:val="24"/>
                <w:szCs w:val="24"/>
                <w:highlight w:val="none"/>
                <w:lang w:val="en-US" w:eastAsia="zh-CN"/>
              </w:rPr>
              <w:t>10项以下的，即被认定为不符合实质性核心技术参数要求，不得分；</w:t>
            </w:r>
          </w:p>
          <w:p w14:paraId="72CAD39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lang w:val="en-US" w:eastAsia="zh-CN"/>
              </w:rPr>
              <w:t>2.检测（验）报告内容与“采购需求”中产品的实质性核心技术参数要求（即附件2中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）进行比对，符合参数要求达到</w:t>
            </w:r>
            <w:r>
              <w:rPr>
                <w:rFonts w:hint="eastAsia" w:ascii="仿宋_GB2312" w:hAnsi="仿宋_GB2312" w:eastAsia="仿宋_GB2312" w:cs="仿宋_GB2312"/>
                <w:color w:val="auto"/>
                <w:sz w:val="24"/>
                <w:szCs w:val="24"/>
                <w:highlight w:val="none"/>
                <w:lang w:val="en-US" w:eastAsia="zh-CN"/>
              </w:rPr>
              <w:t>10项以上20项以下的，得10分；</w:t>
            </w:r>
          </w:p>
          <w:p w14:paraId="2A2814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3.检测（验）报告内容与“采购需求”中产品的实质性核心技术参数要求（即附件2中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）进行比对，符合参数要求达到</w:t>
            </w:r>
            <w:r>
              <w:rPr>
                <w:rFonts w:hint="eastAsia" w:ascii="仿宋_GB2312" w:hAnsi="仿宋_GB2312" w:eastAsia="仿宋_GB2312" w:cs="仿宋_GB2312"/>
                <w:color w:val="auto"/>
                <w:sz w:val="24"/>
                <w:szCs w:val="24"/>
                <w:highlight w:val="none"/>
                <w:lang w:val="en-US" w:eastAsia="zh-CN"/>
              </w:rPr>
              <w:t>20项以上30项以下的，得20分；</w:t>
            </w:r>
          </w:p>
          <w:p w14:paraId="207E2A6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4.检测（验）报告内容与“采购需求”中产品的实质性核心技术参数要求（即附件2中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）进行比对，符合参数要求达到</w:t>
            </w:r>
            <w:r>
              <w:rPr>
                <w:rFonts w:hint="eastAsia" w:ascii="仿宋_GB2312" w:hAnsi="仿宋_GB2312" w:eastAsia="仿宋_GB2312" w:cs="仿宋_GB2312"/>
                <w:color w:val="auto"/>
                <w:sz w:val="24"/>
                <w:szCs w:val="24"/>
                <w:highlight w:val="none"/>
                <w:lang w:val="en-US" w:eastAsia="zh-CN"/>
              </w:rPr>
              <w:t>30项以上但未能完全满足所有技术参数要求的，得30分；</w:t>
            </w:r>
          </w:p>
          <w:p w14:paraId="6D0321C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4"/>
                <w:szCs w:val="24"/>
                <w:lang w:val="en-US" w:eastAsia="zh-CN"/>
              </w:rPr>
              <w:t>5.检测（验）报告内容与“项目采购清单”中产品的实质性核心技术参数要求（即附件2中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）进行比对，完全满足所有技术参数要求的，得40分。</w:t>
            </w:r>
          </w:p>
        </w:tc>
      </w:tr>
      <w:tr w14:paraId="57D0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left w:val="single" w:color="auto" w:sz="4" w:space="0"/>
              <w:bottom w:val="single" w:color="auto" w:sz="4" w:space="0"/>
              <w:right w:val="single" w:color="auto" w:sz="4" w:space="0"/>
            </w:tcBorders>
            <w:noWrap w:val="0"/>
            <w:vAlign w:val="center"/>
          </w:tcPr>
          <w:p w14:paraId="7F97C076">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4</w:t>
            </w:r>
          </w:p>
        </w:tc>
        <w:tc>
          <w:tcPr>
            <w:tcW w:w="1200" w:type="dxa"/>
            <w:tcBorders>
              <w:top w:val="single" w:color="auto" w:sz="4" w:space="0"/>
              <w:left w:val="nil"/>
              <w:bottom w:val="single" w:color="auto" w:sz="4" w:space="0"/>
              <w:right w:val="single" w:color="auto" w:sz="4" w:space="0"/>
            </w:tcBorders>
            <w:noWrap w:val="0"/>
            <w:vAlign w:val="center"/>
          </w:tcPr>
          <w:p w14:paraId="64D0C948">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实物样品</w:t>
            </w:r>
          </w:p>
        </w:tc>
        <w:tc>
          <w:tcPr>
            <w:tcW w:w="1430" w:type="dxa"/>
            <w:tcBorders>
              <w:top w:val="single" w:color="auto" w:sz="4" w:space="0"/>
              <w:left w:val="nil"/>
              <w:bottom w:val="single" w:color="auto" w:sz="4" w:space="0"/>
              <w:right w:val="single" w:color="auto" w:sz="4" w:space="0"/>
            </w:tcBorders>
            <w:noWrap w:val="0"/>
            <w:vAlign w:val="center"/>
          </w:tcPr>
          <w:p w14:paraId="34960355">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rPr>
            </w:pPr>
            <w:r>
              <w:rPr>
                <w:rFonts w:hint="eastAsia" w:hAnsi="仿宋_GB2312" w:cs="仿宋_GB2312"/>
                <w:sz w:val="24"/>
                <w:szCs w:val="24"/>
                <w:lang w:val="en-US" w:eastAsia="zh-CN"/>
              </w:rPr>
              <w:t>10</w:t>
            </w:r>
            <w:r>
              <w:rPr>
                <w:rFonts w:hint="eastAsia" w:ascii="仿宋_GB2312" w:hAnsi="仿宋_GB2312" w:eastAsia="仿宋_GB2312" w:cs="仿宋_GB2312"/>
                <w:sz w:val="24"/>
                <w:szCs w:val="24"/>
              </w:rPr>
              <w:t>分</w:t>
            </w:r>
          </w:p>
        </w:tc>
        <w:tc>
          <w:tcPr>
            <w:tcW w:w="5065" w:type="dxa"/>
            <w:tcBorders>
              <w:top w:val="single" w:color="auto" w:sz="4" w:space="0"/>
              <w:left w:val="nil"/>
              <w:bottom w:val="single" w:color="auto" w:sz="4" w:space="0"/>
              <w:right w:val="single" w:color="auto" w:sz="4" w:space="0"/>
            </w:tcBorders>
            <w:noWrap w:val="0"/>
            <w:vAlign w:val="center"/>
          </w:tcPr>
          <w:p w14:paraId="13EC48F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实物样品由现场评标人员评定：实物样品由评委评价定档，评委对比实物样品和采购需求的一致性，通过使用和触摸等方式，对样品的适用性、便捷性和质感等方面进行综合评分（0-10分），每位评委单独评分，最终根据评分结果，按平均分计分。</w:t>
            </w:r>
          </w:p>
        </w:tc>
      </w:tr>
      <w:tr w14:paraId="5069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tcBorders>
              <w:left w:val="single" w:color="auto" w:sz="4" w:space="0"/>
              <w:bottom w:val="single" w:color="auto" w:sz="4" w:space="0"/>
              <w:right w:val="single" w:color="auto" w:sz="4" w:space="0"/>
            </w:tcBorders>
            <w:noWrap w:val="0"/>
            <w:vAlign w:val="center"/>
          </w:tcPr>
          <w:p w14:paraId="1C0AF6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8"/>
                <w:szCs w:val="28"/>
              </w:rPr>
              <w:t>售后服务及服务保障方案（1</w:t>
            </w:r>
            <w:r>
              <w:rPr>
                <w:rFonts w:hint="eastAsia" w:ascii="仿宋_GB2312" w:hAnsi="仿宋_GB2312" w:eastAsia="仿宋_GB2312" w:cs="仿宋_GB2312"/>
                <w:b/>
                <w:bCs/>
                <w:color w:val="auto"/>
                <w:sz w:val="28"/>
                <w:szCs w:val="28"/>
                <w:lang w:val="en-US" w:eastAsia="zh-CN"/>
              </w:rPr>
              <w:t>0</w:t>
            </w:r>
            <w:r>
              <w:rPr>
                <w:rFonts w:hint="eastAsia" w:ascii="仿宋_GB2312" w:hAnsi="仿宋_GB2312" w:eastAsia="仿宋_GB2312" w:cs="仿宋_GB2312"/>
                <w:b/>
                <w:bCs/>
                <w:color w:val="auto"/>
                <w:sz w:val="28"/>
                <w:szCs w:val="28"/>
              </w:rPr>
              <w:t>分）</w:t>
            </w:r>
          </w:p>
        </w:tc>
      </w:tr>
      <w:tr w14:paraId="7632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left w:val="single" w:color="auto" w:sz="4" w:space="0"/>
              <w:bottom w:val="single" w:color="auto" w:sz="4" w:space="0"/>
              <w:right w:val="single" w:color="auto" w:sz="4" w:space="0"/>
            </w:tcBorders>
            <w:noWrap w:val="0"/>
            <w:vAlign w:val="center"/>
          </w:tcPr>
          <w:p w14:paraId="728EF7D7">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hAnsi="仿宋_GB2312" w:cs="仿宋_GB2312"/>
                <w:sz w:val="24"/>
                <w:szCs w:val="24"/>
                <w:lang w:val="en-US" w:eastAsia="zh-CN"/>
              </w:rPr>
            </w:pPr>
            <w:r>
              <w:rPr>
                <w:rFonts w:hint="eastAsia" w:hAnsi="仿宋_GB2312" w:cs="仿宋_GB2312"/>
                <w:sz w:val="24"/>
                <w:szCs w:val="24"/>
                <w:lang w:val="en-US" w:eastAsia="zh-CN"/>
              </w:rPr>
              <w:t>5</w:t>
            </w:r>
          </w:p>
        </w:tc>
        <w:tc>
          <w:tcPr>
            <w:tcW w:w="1200" w:type="dxa"/>
            <w:tcBorders>
              <w:top w:val="single" w:color="auto" w:sz="4" w:space="0"/>
              <w:left w:val="nil"/>
              <w:bottom w:val="single" w:color="auto" w:sz="4" w:space="0"/>
              <w:right w:val="single" w:color="auto" w:sz="4" w:space="0"/>
            </w:tcBorders>
            <w:noWrap w:val="0"/>
            <w:vAlign w:val="center"/>
          </w:tcPr>
          <w:p w14:paraId="48555E52">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rPr>
            </w:pPr>
            <w:r>
              <w:rPr>
                <w:rFonts w:hint="eastAsia" w:hAnsi="仿宋_GB2312" w:cs="仿宋_GB2312"/>
                <w:sz w:val="24"/>
                <w:szCs w:val="24"/>
                <w:lang w:val="en-US" w:eastAsia="zh-CN"/>
              </w:rPr>
              <w:t>售后服务承诺</w:t>
            </w:r>
          </w:p>
        </w:tc>
        <w:tc>
          <w:tcPr>
            <w:tcW w:w="1430" w:type="dxa"/>
            <w:tcBorders>
              <w:top w:val="single" w:color="auto" w:sz="4" w:space="0"/>
              <w:left w:val="nil"/>
              <w:bottom w:val="single" w:color="auto" w:sz="4" w:space="0"/>
              <w:right w:val="single" w:color="auto" w:sz="4" w:space="0"/>
            </w:tcBorders>
            <w:noWrap w:val="0"/>
            <w:vAlign w:val="center"/>
          </w:tcPr>
          <w:p w14:paraId="6738B4C6">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hAnsi="仿宋_GB2312" w:cs="仿宋_GB2312"/>
                <w:sz w:val="24"/>
                <w:szCs w:val="24"/>
                <w:lang w:val="en-US" w:eastAsia="zh-CN"/>
              </w:rPr>
            </w:pPr>
            <w:r>
              <w:rPr>
                <w:rFonts w:hint="eastAsia" w:hAnsi="仿宋_GB2312" w:cs="仿宋_GB2312"/>
                <w:sz w:val="24"/>
                <w:szCs w:val="24"/>
                <w:lang w:val="en-US" w:eastAsia="zh-CN"/>
              </w:rPr>
              <w:t>5分</w:t>
            </w:r>
          </w:p>
        </w:tc>
        <w:tc>
          <w:tcPr>
            <w:tcW w:w="5065" w:type="dxa"/>
            <w:tcBorders>
              <w:top w:val="single" w:color="auto" w:sz="4" w:space="0"/>
              <w:left w:val="nil"/>
              <w:bottom w:val="single" w:color="auto" w:sz="4" w:space="0"/>
              <w:right w:val="single" w:color="auto" w:sz="4" w:space="0"/>
            </w:tcBorders>
            <w:noWrap w:val="0"/>
            <w:vAlign w:val="center"/>
          </w:tcPr>
          <w:p w14:paraId="1C5D1F7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售后服务承诺须包括但不限于以下内容：</w:t>
            </w:r>
          </w:p>
          <w:p w14:paraId="3AD7C0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质保期限1年，得3分；少于1年</w:t>
            </w:r>
            <w:r>
              <w:rPr>
                <w:rFonts w:hint="eastAsia" w:ascii="仿宋_GB2312" w:hAnsi="仿宋_GB2312" w:eastAsia="仿宋_GB2312" w:cs="仿宋_GB2312"/>
                <w:color w:val="auto"/>
                <w:sz w:val="24"/>
                <w:szCs w:val="24"/>
                <w:lang w:val="en-US" w:eastAsia="zh-CN"/>
              </w:rPr>
              <w:t>不得</w:t>
            </w:r>
            <w:r>
              <w:rPr>
                <w:rFonts w:hint="eastAsia" w:ascii="仿宋_GB2312" w:hAnsi="仿宋_GB2312" w:eastAsia="仿宋_GB2312" w:cs="仿宋_GB2312"/>
                <w:color w:val="auto"/>
                <w:sz w:val="24"/>
                <w:szCs w:val="24"/>
              </w:rPr>
              <w:t>分。</w:t>
            </w:r>
          </w:p>
          <w:p w14:paraId="3523562D">
            <w:pPr>
              <w:keepNext w:val="0"/>
              <w:keepLines w:val="0"/>
              <w:pageBreakBefore w:val="0"/>
              <w:widowControl w:val="0"/>
              <w:tabs>
                <w:tab w:val="left" w:pos="1101"/>
              </w:tabs>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质保期限2年，得5分；</w:t>
            </w:r>
          </w:p>
          <w:p w14:paraId="0191501E">
            <w:pPr>
              <w:keepNext w:val="0"/>
              <w:keepLines w:val="0"/>
              <w:pageBreakBefore w:val="0"/>
              <w:widowControl w:val="0"/>
              <w:tabs>
                <w:tab w:val="left" w:pos="1101"/>
              </w:tabs>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lang w:eastAsia="zh-CN"/>
              </w:rPr>
            </w:pPr>
          </w:p>
        </w:tc>
      </w:tr>
      <w:tr w14:paraId="4CE6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left w:val="single" w:color="auto" w:sz="4" w:space="0"/>
              <w:bottom w:val="single" w:color="auto" w:sz="4" w:space="0"/>
              <w:right w:val="single" w:color="auto" w:sz="4" w:space="0"/>
            </w:tcBorders>
            <w:noWrap w:val="0"/>
            <w:vAlign w:val="center"/>
          </w:tcPr>
          <w:p w14:paraId="73AB047F">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hAnsi="仿宋_GB2312" w:cs="仿宋_GB2312"/>
                <w:sz w:val="24"/>
                <w:szCs w:val="24"/>
                <w:lang w:val="en-US" w:eastAsia="zh-CN"/>
              </w:rPr>
            </w:pPr>
            <w:r>
              <w:rPr>
                <w:rFonts w:hint="eastAsia" w:hAnsi="仿宋_GB2312" w:cs="仿宋_GB2312"/>
                <w:sz w:val="24"/>
                <w:szCs w:val="24"/>
                <w:lang w:val="en-US" w:eastAsia="zh-CN"/>
              </w:rPr>
              <w:t>6</w:t>
            </w:r>
          </w:p>
        </w:tc>
        <w:tc>
          <w:tcPr>
            <w:tcW w:w="1200" w:type="dxa"/>
            <w:tcBorders>
              <w:top w:val="single" w:color="auto" w:sz="4" w:space="0"/>
              <w:left w:val="nil"/>
              <w:bottom w:val="single" w:color="auto" w:sz="4" w:space="0"/>
              <w:right w:val="single" w:color="auto" w:sz="4" w:space="0"/>
            </w:tcBorders>
            <w:noWrap w:val="0"/>
            <w:vAlign w:val="center"/>
          </w:tcPr>
          <w:p w14:paraId="08E7B5B4">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服务保障</w:t>
            </w:r>
            <w:r>
              <w:rPr>
                <w:rFonts w:hint="eastAsia" w:hAnsi="仿宋_GB2312" w:cs="仿宋_GB2312"/>
                <w:sz w:val="24"/>
                <w:szCs w:val="24"/>
                <w:lang w:val="en-US" w:eastAsia="zh-CN"/>
              </w:rPr>
              <w:t>方案</w:t>
            </w:r>
          </w:p>
        </w:tc>
        <w:tc>
          <w:tcPr>
            <w:tcW w:w="1430" w:type="dxa"/>
            <w:tcBorders>
              <w:top w:val="single" w:color="auto" w:sz="4" w:space="0"/>
              <w:left w:val="nil"/>
              <w:bottom w:val="single" w:color="auto" w:sz="4" w:space="0"/>
              <w:right w:val="single" w:color="auto" w:sz="4" w:space="0"/>
            </w:tcBorders>
            <w:noWrap w:val="0"/>
            <w:vAlign w:val="center"/>
          </w:tcPr>
          <w:p w14:paraId="4CF86E54">
            <w:pPr>
              <w:pStyle w:val="15"/>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hAnsi="仿宋_GB2312" w:cs="仿宋_GB2312"/>
                <w:sz w:val="24"/>
                <w:szCs w:val="24"/>
                <w:lang w:val="en-US" w:eastAsia="zh-CN"/>
              </w:rPr>
            </w:pPr>
            <w:r>
              <w:rPr>
                <w:rFonts w:hint="eastAsia" w:hAnsi="仿宋_GB2312" w:cs="仿宋_GB2312"/>
                <w:sz w:val="24"/>
                <w:szCs w:val="24"/>
                <w:lang w:val="en-US" w:eastAsia="zh-CN"/>
              </w:rPr>
              <w:t>5分</w:t>
            </w:r>
          </w:p>
        </w:tc>
        <w:tc>
          <w:tcPr>
            <w:tcW w:w="5065" w:type="dxa"/>
            <w:tcBorders>
              <w:top w:val="single" w:color="auto" w:sz="4" w:space="0"/>
              <w:left w:val="nil"/>
              <w:bottom w:val="single" w:color="auto" w:sz="4" w:space="0"/>
              <w:right w:val="single" w:color="auto" w:sz="4" w:space="0"/>
            </w:tcBorders>
            <w:noWrap w:val="0"/>
            <w:vAlign w:val="center"/>
          </w:tcPr>
          <w:p w14:paraId="1A82EA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评委根据各供应商提供的服务保障方案内容进行独立评审，并按如下计分方式独立打分：</w:t>
            </w:r>
          </w:p>
          <w:p w14:paraId="55B035A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未提供服务保障方案的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不得分</w:t>
            </w:r>
            <w:r>
              <w:rPr>
                <w:rFonts w:hint="eastAsia" w:ascii="仿宋_GB2312" w:hAnsi="仿宋_GB2312" w:eastAsia="仿宋_GB2312" w:cs="仿宋_GB2312"/>
                <w:color w:val="auto"/>
                <w:sz w:val="24"/>
                <w:szCs w:val="24"/>
              </w:rPr>
              <w:t>；</w:t>
            </w:r>
          </w:p>
          <w:p w14:paraId="0D87F1A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提供售后服务保障方案简单，方案仅满足本项目需求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得3分</w:t>
            </w:r>
            <w:r>
              <w:rPr>
                <w:rFonts w:hint="eastAsia" w:ascii="仿宋_GB2312" w:hAnsi="仿宋_GB2312" w:eastAsia="仿宋_GB2312" w:cs="仿宋_GB2312"/>
                <w:color w:val="auto"/>
                <w:sz w:val="24"/>
                <w:szCs w:val="24"/>
              </w:rPr>
              <w:t>；</w:t>
            </w:r>
          </w:p>
          <w:p w14:paraId="42D5EC6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提供售后服务保障方案</w:t>
            </w:r>
            <w:r>
              <w:rPr>
                <w:rFonts w:hint="eastAsia" w:ascii="仿宋_GB2312" w:hAnsi="仿宋_GB2312" w:eastAsia="仿宋_GB2312" w:cs="仿宋_GB2312"/>
                <w:color w:val="auto"/>
                <w:sz w:val="24"/>
                <w:szCs w:val="24"/>
                <w:lang w:val="en-US" w:eastAsia="zh-CN"/>
              </w:rPr>
              <w:t>详尽</w:t>
            </w:r>
            <w:r>
              <w:rPr>
                <w:rFonts w:hint="eastAsia" w:ascii="仿宋_GB2312" w:hAnsi="仿宋_GB2312" w:eastAsia="仿宋_GB2312" w:cs="仿宋_GB2312"/>
                <w:color w:val="auto"/>
                <w:sz w:val="24"/>
                <w:szCs w:val="24"/>
              </w:rPr>
              <w:t>，针对售后服务保障提出有利的方案；交货期、质保期、到达故障点及解决故障的时间优于采购人需求，备品备件、售后服务的内容和措施等阐述清晰、明确；各项售后保障措施安排有相应负责机构及人员；售后保障体系完善、售后服务承诺切实可行；售后服务人员配备齐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得5分。</w:t>
            </w:r>
          </w:p>
        </w:tc>
      </w:tr>
      <w:tr w14:paraId="10FA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14:paraId="3D39D70A">
            <w:pPr>
              <w:keepNext w:val="0"/>
              <w:keepLines w:val="0"/>
              <w:pageBreakBefore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注：（1）无特殊说明外，以上评审项，同一证明文件不重复计分。</w:t>
            </w:r>
          </w:p>
          <w:p w14:paraId="046683E5">
            <w:pPr>
              <w:pStyle w:val="15"/>
              <w:keepNext w:val="0"/>
              <w:keepLines w:val="0"/>
              <w:pageBreakBefore w:val="0"/>
              <w:kinsoku/>
              <w:wordWrap/>
              <w:overflowPunct/>
              <w:topLinePunct w:val="0"/>
              <w:autoSpaceDE/>
              <w:autoSpaceDN/>
              <w:bidi w:val="0"/>
              <w:snapToGrid/>
              <w:spacing w:line="560" w:lineRule="exact"/>
              <w:ind w:left="0" w:leftChars="0" w:firstLine="0" w:firstLineChars="0"/>
              <w:jc w:val="left"/>
              <w:textAlignment w:val="auto"/>
              <w:rPr>
                <w:rFonts w:hint="eastAsia" w:ascii="方正仿宋_GB2312" w:hAnsi="方正仿宋_GB2312" w:eastAsia="方正仿宋_GB2312" w:cs="方正仿宋_GB2312"/>
                <w:sz w:val="21"/>
                <w:szCs w:val="21"/>
              </w:rPr>
            </w:pPr>
            <w:r>
              <w:rPr>
                <w:rFonts w:hint="eastAsia" w:ascii="仿宋_GB2312" w:hAnsi="仿宋_GB2312" w:eastAsia="仿宋_GB2312" w:cs="仿宋_GB2312"/>
                <w:b/>
                <w:sz w:val="24"/>
                <w:szCs w:val="24"/>
              </w:rPr>
              <w:t>（2）供应商根据以上评分要求提供的投标材料因模糊不清导致评审委员会无法清晰辨认进行评审的，视为无效材料。</w:t>
            </w:r>
          </w:p>
        </w:tc>
      </w:tr>
    </w:tbl>
    <w:p w14:paraId="1E35F43A">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总得分</w:t>
      </w:r>
    </w:p>
    <w:p w14:paraId="472C7CAB">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总得分=1+2+3+4</w:t>
      </w:r>
      <w:r>
        <w:rPr>
          <w:rFonts w:hint="eastAsia" w:ascii="仿宋_GB2312" w:hAnsi="仿宋_GB2312" w:eastAsia="仿宋_GB2312" w:cs="仿宋_GB2312"/>
          <w:b w:val="0"/>
          <w:bCs w:val="0"/>
          <w:sz w:val="32"/>
          <w:szCs w:val="32"/>
          <w:lang w:val="en-US" w:eastAsia="zh-CN"/>
        </w:rPr>
        <w:t>+5+6</w:t>
      </w:r>
    </w:p>
    <w:p w14:paraId="2653FD4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五、中标候选人推荐原则</w:t>
      </w:r>
    </w:p>
    <w:p w14:paraId="52A9AF6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（一）评审委员会将根据得分由高到低排列次序（得分相同时，以报价由低到高顺序排列；得分相同且报价相同的，按技术指标优劣顺序排列）并推荐中标候选供应商。</w:t>
      </w:r>
    </w:p>
    <w:p w14:paraId="78BCB4D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二）评审委员会认为报价人的报价明显低于其他通过符合性审查报价人的报价，有可能影响产品质量或者不能诚信履约的，应当要求其在合理的时间内提供书面说明，必要时提交相关证明材料；报价人不能证明其报价合理性的，评审委员会应当将其作为无效报价处理。</w:t>
      </w:r>
    </w:p>
    <w:p w14:paraId="4732AE1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b w:val="0"/>
          <w:bCs/>
          <w:sz w:val="32"/>
          <w:szCs w:val="32"/>
          <w:lang w:eastAsia="zh-CN"/>
        </w:rPr>
        <w:sectPr>
          <w:footerReference r:id="rId3" w:type="default"/>
          <w:pgSz w:w="11906" w:h="16838"/>
          <w:pgMar w:top="1304" w:right="1474" w:bottom="1304" w:left="1587" w:header="851" w:footer="992" w:gutter="0"/>
          <w:pgNumType w:fmt="decimal" w:start="1"/>
          <w:cols w:space="720" w:num="1"/>
          <w:docGrid w:type="lines" w:linePitch="312" w:charSpace="0"/>
        </w:sectPr>
      </w:pPr>
      <w:r>
        <w:rPr>
          <w:rFonts w:hint="eastAsia" w:ascii="仿宋_GB2312" w:hAnsi="仿宋_GB2312" w:eastAsia="仿宋_GB2312" w:cs="仿宋_GB2312"/>
          <w:b w:val="0"/>
          <w:bCs w:val="0"/>
          <w:sz w:val="32"/>
          <w:szCs w:val="32"/>
        </w:rPr>
        <w:t>有效报价为：供应商的报价未超过最高控制价，且供应商符合参与条件</w:t>
      </w:r>
      <w:r>
        <w:rPr>
          <w:rFonts w:hint="eastAsia" w:ascii="仿宋_GB2312" w:hAnsi="仿宋_GB2312" w:eastAsia="仿宋_GB2312" w:cs="仿宋_GB2312"/>
          <w:b w:val="0"/>
          <w:bCs w:val="0"/>
          <w:sz w:val="32"/>
          <w:szCs w:val="32"/>
          <w:lang w:eastAsia="zh-CN"/>
        </w:rPr>
        <w:t>。</w:t>
      </w:r>
    </w:p>
    <w:p w14:paraId="5E36D56E">
      <w:pPr>
        <w:pStyle w:val="10"/>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105450AB">
      <w:pPr>
        <w:jc w:val="center"/>
        <w:rPr>
          <w:rFonts w:ascii="宋体" w:hAnsi="宋体"/>
          <w:b/>
          <w:bCs/>
          <w:sz w:val="36"/>
          <w:szCs w:val="36"/>
        </w:rPr>
      </w:pPr>
      <w:r>
        <w:rPr>
          <w:rFonts w:hint="eastAsia" w:ascii="宋体" w:hAnsi="宋体"/>
          <w:b/>
          <w:bCs/>
          <w:sz w:val="32"/>
          <w:szCs w:val="32"/>
        </w:rPr>
        <w:t>自治区交通运输综合行政执法局执法装备（防护防爆装备类）购置项目</w:t>
      </w:r>
      <w:r>
        <w:rPr>
          <w:rFonts w:hint="eastAsia" w:ascii="宋体" w:hAnsi="宋体"/>
          <w:b/>
          <w:bCs/>
          <w:w w:val="95"/>
          <w:sz w:val="32"/>
          <w:szCs w:val="32"/>
        </w:rPr>
        <w:t>采购清单</w:t>
      </w:r>
    </w:p>
    <w:tbl>
      <w:tblPr>
        <w:tblStyle w:val="8"/>
        <w:tblW w:w="10730" w:type="dxa"/>
        <w:jc w:val="center"/>
        <w:tblLayout w:type="fixed"/>
        <w:tblCellMar>
          <w:top w:w="0" w:type="dxa"/>
          <w:left w:w="108" w:type="dxa"/>
          <w:bottom w:w="0" w:type="dxa"/>
          <w:right w:w="108" w:type="dxa"/>
        </w:tblCellMar>
      </w:tblPr>
      <w:tblGrid>
        <w:gridCol w:w="814"/>
        <w:gridCol w:w="951"/>
        <w:gridCol w:w="4550"/>
        <w:gridCol w:w="709"/>
        <w:gridCol w:w="851"/>
        <w:gridCol w:w="992"/>
        <w:gridCol w:w="1863"/>
      </w:tblGrid>
      <w:tr w14:paraId="5821918C">
        <w:tblPrEx>
          <w:tblCellMar>
            <w:top w:w="0" w:type="dxa"/>
            <w:left w:w="108" w:type="dxa"/>
            <w:bottom w:w="0" w:type="dxa"/>
            <w:right w:w="108" w:type="dxa"/>
          </w:tblCellMar>
        </w:tblPrEx>
        <w:trPr>
          <w:trHeight w:val="1228" w:hRule="atLeast"/>
          <w:jc w:val="center"/>
        </w:trPr>
        <w:tc>
          <w:tcPr>
            <w:tcW w:w="107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57E5A5D">
            <w:pPr>
              <w:pageBreakBefore w:val="0"/>
              <w:widowControl/>
              <w:kinsoku/>
              <w:wordWrap/>
              <w:topLinePunct w:val="0"/>
              <w:bidi w:val="0"/>
              <w:snapToGrid/>
              <w:spacing w:line="340" w:lineRule="exact"/>
              <w:jc w:val="left"/>
              <w:textAlignment w:val="auto"/>
              <w:rPr>
                <w:rFonts w:hint="eastAsia" w:ascii="宋体" w:hAnsi="宋体" w:eastAsia="仿宋_GB2312" w:cs="宋体"/>
                <w:b/>
                <w:bCs/>
                <w:kern w:val="0"/>
                <w:sz w:val="28"/>
                <w:szCs w:val="28"/>
                <w:lang w:eastAsia="zh-CN"/>
              </w:rPr>
            </w:pPr>
            <w:r>
              <w:rPr>
                <w:rFonts w:hint="eastAsia" w:ascii="仿宋_GB2312" w:hAnsi="仿宋_GB2312" w:eastAsia="仿宋_GB2312" w:cs="仿宋_GB2312"/>
                <w:b w:val="0"/>
                <w:bCs w:val="0"/>
                <w:kern w:val="0"/>
                <w:sz w:val="24"/>
                <w:szCs w:val="24"/>
              </w:rPr>
              <w:t>本表标注▲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b w:val="0"/>
                <w:bCs w:val="0"/>
                <w:kern w:val="0"/>
                <w:sz w:val="24"/>
                <w:szCs w:val="24"/>
              </w:rPr>
              <w:t>为</w:t>
            </w:r>
            <w:r>
              <w:rPr>
                <w:rFonts w:hint="eastAsia" w:ascii="仿宋_GB2312" w:hAnsi="仿宋_GB2312" w:eastAsia="仿宋_GB2312" w:cs="仿宋_GB2312"/>
                <w:color w:val="auto"/>
                <w:sz w:val="24"/>
                <w:szCs w:val="24"/>
                <w:lang w:val="en-US" w:eastAsia="zh-CN"/>
              </w:rPr>
              <w:t>实质性核心技术参数</w:t>
            </w:r>
            <w:r>
              <w:rPr>
                <w:rFonts w:hint="eastAsia" w:ascii="仿宋_GB2312" w:hAnsi="仿宋_GB2312" w:eastAsia="仿宋_GB2312" w:cs="仿宋_GB2312"/>
                <w:b w:val="0"/>
                <w:bCs w:val="0"/>
                <w:kern w:val="0"/>
                <w:sz w:val="24"/>
                <w:szCs w:val="24"/>
                <w:lang w:val="en-US" w:eastAsia="zh-CN"/>
              </w:rPr>
              <w:t>需求</w:t>
            </w:r>
            <w:r>
              <w:rPr>
                <w:rFonts w:hint="eastAsia" w:ascii="仿宋_GB2312" w:hAnsi="仿宋_GB2312" w:eastAsia="仿宋_GB2312" w:cs="仿宋_GB2312"/>
                <w:b w:val="0"/>
                <w:bCs w:val="0"/>
                <w:kern w:val="0"/>
                <w:sz w:val="24"/>
                <w:szCs w:val="24"/>
              </w:rPr>
              <w:t>，供应商</w:t>
            </w:r>
            <w:r>
              <w:rPr>
                <w:rFonts w:hint="eastAsia" w:ascii="仿宋_GB2312" w:hAnsi="仿宋_GB2312" w:eastAsia="仿宋_GB2312" w:cs="仿宋_GB2312"/>
                <w:b w:val="0"/>
                <w:bCs w:val="0"/>
                <w:kern w:val="0"/>
                <w:sz w:val="24"/>
                <w:szCs w:val="24"/>
                <w:lang w:val="en-US" w:eastAsia="zh-CN"/>
              </w:rPr>
              <w:t>需提供有</w:t>
            </w:r>
            <w:r>
              <w:rPr>
                <w:rFonts w:hint="eastAsia" w:ascii="仿宋_GB2312" w:hAnsi="仿宋_GB2312" w:eastAsia="仿宋_GB2312" w:cs="仿宋_GB2312"/>
                <w:color w:val="auto"/>
                <w:sz w:val="24"/>
                <w:szCs w:val="24"/>
                <w:lang w:eastAsia="zh-CN"/>
              </w:rPr>
              <w:t>CMA/CNAS/CAL之一标志的</w:t>
            </w:r>
            <w:r>
              <w:rPr>
                <w:rFonts w:hint="eastAsia" w:ascii="仿宋_GB2312" w:hAnsi="仿宋_GB2312" w:eastAsia="仿宋_GB2312" w:cs="仿宋_GB2312"/>
                <w:color w:val="auto"/>
                <w:sz w:val="24"/>
                <w:szCs w:val="24"/>
              </w:rPr>
              <w:t>公安部安全防范报警系统产品质量检验检测中心</w:t>
            </w:r>
            <w:r>
              <w:rPr>
                <w:rFonts w:hint="eastAsia" w:ascii="仿宋_GB2312" w:hAnsi="仿宋_GB2312" w:eastAsia="仿宋_GB2312" w:cs="仿宋_GB2312"/>
                <w:color w:val="auto"/>
                <w:sz w:val="24"/>
                <w:szCs w:val="24"/>
                <w:lang w:val="en-US" w:eastAsia="zh-CN"/>
              </w:rPr>
              <w:t>及</w:t>
            </w:r>
            <w:r>
              <w:rPr>
                <w:rFonts w:hint="eastAsia" w:ascii="仿宋_GB2312" w:hAnsi="仿宋_GB2312" w:eastAsia="仿宋_GB2312" w:cs="仿宋_GB2312"/>
                <w:color w:val="auto"/>
                <w:sz w:val="24"/>
                <w:szCs w:val="24"/>
                <w:lang w:eastAsia="zh-CN"/>
              </w:rPr>
              <w:t>国家认可的第三方产品质量监督检验中心的货物质量检验报告</w:t>
            </w:r>
            <w:r>
              <w:rPr>
                <w:rFonts w:hint="eastAsia" w:ascii="仿宋_GB2312" w:hAnsi="仿宋_GB2312" w:eastAsia="仿宋_GB2312" w:cs="仿宋_GB2312"/>
                <w:color w:val="auto"/>
                <w:sz w:val="24"/>
                <w:szCs w:val="24"/>
                <w:lang w:val="en-US" w:eastAsia="zh-CN"/>
              </w:rPr>
              <w:t>予以证明，</w:t>
            </w:r>
            <w:r>
              <w:rPr>
                <w:rFonts w:hint="eastAsia" w:ascii="仿宋_GB2312" w:hAnsi="仿宋_GB2312" w:eastAsia="仿宋_GB2312" w:cs="仿宋_GB2312"/>
                <w:color w:val="auto"/>
                <w:sz w:val="24"/>
              </w:rPr>
              <w:t>确保所有技术参数、功能均可满足采购文件要求</w:t>
            </w:r>
            <w:r>
              <w:rPr>
                <w:rFonts w:hint="eastAsia" w:ascii="仿宋_GB2312" w:hAnsi="仿宋_GB2312" w:eastAsia="仿宋_GB2312" w:cs="仿宋_GB2312"/>
                <w:color w:val="auto"/>
                <w:sz w:val="24"/>
                <w:lang w:eastAsia="zh-CN"/>
              </w:rPr>
              <w:t>。</w:t>
            </w:r>
          </w:p>
        </w:tc>
      </w:tr>
      <w:tr w14:paraId="3A43C618">
        <w:tblPrEx>
          <w:tblCellMar>
            <w:top w:w="0" w:type="dxa"/>
            <w:left w:w="108" w:type="dxa"/>
            <w:bottom w:w="0" w:type="dxa"/>
            <w:right w:w="108" w:type="dxa"/>
          </w:tblCellMar>
        </w:tblPrEx>
        <w:trPr>
          <w:trHeight w:val="624"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14550941">
            <w:pPr>
              <w:pageBreakBefore w:val="0"/>
              <w:widowControl/>
              <w:kinsoku/>
              <w:wordWrap/>
              <w:overflowPunct/>
              <w:topLinePunct w:val="0"/>
              <w:autoSpaceDE/>
              <w:autoSpaceDN/>
              <w:bidi w:val="0"/>
              <w:adjustRightInd/>
              <w:snapToGrid/>
              <w:spacing w:line="340" w:lineRule="exact"/>
              <w:jc w:val="left"/>
              <w:textAlignment w:val="auto"/>
              <w:rPr>
                <w:rFonts w:ascii="宋体" w:hAnsi="宋体" w:cs="宋体"/>
                <w:b/>
                <w:bCs/>
                <w:kern w:val="0"/>
                <w:sz w:val="28"/>
                <w:szCs w:val="28"/>
              </w:rPr>
            </w:pPr>
            <w:r>
              <w:rPr>
                <w:rFonts w:hint="eastAsia" w:ascii="宋体" w:hAnsi="宋体" w:cs="宋体"/>
                <w:b/>
                <w:bCs/>
                <w:kern w:val="0"/>
                <w:sz w:val="28"/>
                <w:szCs w:val="28"/>
              </w:rPr>
              <w:t>序号</w:t>
            </w:r>
          </w:p>
        </w:tc>
        <w:tc>
          <w:tcPr>
            <w:tcW w:w="951" w:type="dxa"/>
            <w:tcBorders>
              <w:top w:val="single" w:color="auto" w:sz="4" w:space="0"/>
              <w:left w:val="single" w:color="auto" w:sz="4" w:space="0"/>
              <w:bottom w:val="single" w:color="auto" w:sz="4" w:space="0"/>
              <w:right w:val="single" w:color="auto" w:sz="4" w:space="0"/>
            </w:tcBorders>
            <w:vAlign w:val="center"/>
          </w:tcPr>
          <w:p w14:paraId="0793DD26">
            <w:pPr>
              <w:pageBreakBefore w:val="0"/>
              <w:widowControl/>
              <w:kinsoku/>
              <w:wordWrap/>
              <w:overflowPunct/>
              <w:topLinePunct w:val="0"/>
              <w:autoSpaceDE/>
              <w:autoSpaceDN/>
              <w:bidi w:val="0"/>
              <w:adjustRightInd/>
              <w:snapToGrid/>
              <w:spacing w:line="340" w:lineRule="exact"/>
              <w:jc w:val="left"/>
              <w:textAlignment w:val="auto"/>
              <w:rPr>
                <w:rFonts w:ascii="宋体" w:hAnsi="宋体" w:cs="宋体"/>
                <w:b/>
                <w:bCs/>
                <w:kern w:val="0"/>
                <w:sz w:val="28"/>
                <w:szCs w:val="28"/>
              </w:rPr>
            </w:pPr>
            <w:r>
              <w:rPr>
                <w:rFonts w:hint="eastAsia" w:ascii="宋体" w:hAnsi="宋体" w:cs="宋体"/>
                <w:b/>
                <w:bCs/>
                <w:kern w:val="0"/>
                <w:sz w:val="28"/>
                <w:szCs w:val="28"/>
              </w:rPr>
              <w:t>名称</w:t>
            </w:r>
          </w:p>
        </w:tc>
        <w:tc>
          <w:tcPr>
            <w:tcW w:w="4550" w:type="dxa"/>
            <w:tcBorders>
              <w:top w:val="single" w:color="auto" w:sz="4" w:space="0"/>
              <w:left w:val="single" w:color="auto" w:sz="4" w:space="0"/>
              <w:bottom w:val="single" w:color="auto" w:sz="4" w:space="0"/>
              <w:right w:val="single" w:color="auto" w:sz="4" w:space="0"/>
            </w:tcBorders>
            <w:vAlign w:val="center"/>
          </w:tcPr>
          <w:p w14:paraId="14ADE481">
            <w:pPr>
              <w:pageBreakBefore w:val="0"/>
              <w:widowControl/>
              <w:kinsoku/>
              <w:wordWrap/>
              <w:overflowPunct/>
              <w:topLinePunct w:val="0"/>
              <w:autoSpaceDE/>
              <w:autoSpaceDN/>
              <w:bidi w:val="0"/>
              <w:adjustRightInd/>
              <w:snapToGrid/>
              <w:spacing w:line="340" w:lineRule="exact"/>
              <w:ind w:firstLine="1968" w:firstLineChars="700"/>
              <w:jc w:val="left"/>
              <w:textAlignment w:val="auto"/>
              <w:rPr>
                <w:rFonts w:ascii="宋体" w:hAnsi="宋体" w:cs="宋体"/>
                <w:b/>
                <w:bCs/>
                <w:kern w:val="0"/>
                <w:sz w:val="28"/>
                <w:szCs w:val="28"/>
              </w:rPr>
            </w:pPr>
            <w:r>
              <w:rPr>
                <w:rFonts w:hint="eastAsia" w:ascii="宋体" w:hAnsi="宋体" w:cs="宋体"/>
                <w:b/>
                <w:bCs/>
                <w:kern w:val="0"/>
                <w:sz w:val="28"/>
                <w:szCs w:val="28"/>
              </w:rPr>
              <w:t>核心需求</w:t>
            </w:r>
          </w:p>
        </w:tc>
        <w:tc>
          <w:tcPr>
            <w:tcW w:w="709" w:type="dxa"/>
            <w:tcBorders>
              <w:top w:val="single" w:color="auto" w:sz="4" w:space="0"/>
              <w:left w:val="single" w:color="auto" w:sz="4" w:space="0"/>
              <w:bottom w:val="single" w:color="auto" w:sz="4" w:space="0"/>
              <w:right w:val="single" w:color="auto" w:sz="4" w:space="0"/>
            </w:tcBorders>
            <w:vAlign w:val="center"/>
          </w:tcPr>
          <w:p w14:paraId="73C16EB7">
            <w:pPr>
              <w:pageBreakBefore w:val="0"/>
              <w:widowControl/>
              <w:kinsoku/>
              <w:wordWrap/>
              <w:overflowPunct/>
              <w:topLinePunct w:val="0"/>
              <w:autoSpaceDE/>
              <w:autoSpaceDN/>
              <w:bidi w:val="0"/>
              <w:adjustRightInd/>
              <w:snapToGrid/>
              <w:spacing w:line="340" w:lineRule="exact"/>
              <w:jc w:val="left"/>
              <w:textAlignment w:val="auto"/>
              <w:rPr>
                <w:rFonts w:ascii="宋体" w:hAnsi="宋体" w:cs="宋体"/>
                <w:b/>
                <w:bCs/>
                <w:kern w:val="0"/>
                <w:sz w:val="28"/>
                <w:szCs w:val="28"/>
              </w:rPr>
            </w:pPr>
            <w:r>
              <w:rPr>
                <w:rFonts w:hint="eastAsia" w:ascii="宋体" w:hAnsi="宋体" w:cs="宋体"/>
                <w:b/>
                <w:bCs/>
                <w:kern w:val="0"/>
                <w:sz w:val="28"/>
                <w:szCs w:val="28"/>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464BA026">
            <w:pPr>
              <w:pageBreakBefore w:val="0"/>
              <w:widowControl/>
              <w:kinsoku/>
              <w:wordWrap/>
              <w:overflowPunct/>
              <w:topLinePunct w:val="0"/>
              <w:autoSpaceDE/>
              <w:autoSpaceDN/>
              <w:bidi w:val="0"/>
              <w:adjustRightInd/>
              <w:snapToGrid/>
              <w:spacing w:line="340" w:lineRule="exact"/>
              <w:jc w:val="left"/>
              <w:textAlignment w:val="auto"/>
              <w:rPr>
                <w:rFonts w:ascii="宋体" w:hAnsi="宋体" w:cs="宋体"/>
                <w:b/>
                <w:bCs/>
                <w:kern w:val="0"/>
                <w:sz w:val="28"/>
                <w:szCs w:val="28"/>
              </w:rPr>
            </w:pPr>
            <w:r>
              <w:rPr>
                <w:rFonts w:hint="eastAsia" w:ascii="宋体" w:hAnsi="宋体" w:cs="宋体"/>
                <w:b/>
                <w:bCs/>
                <w:kern w:val="0"/>
                <w:sz w:val="28"/>
                <w:szCs w:val="28"/>
              </w:rPr>
              <w:t>单价(元)</w:t>
            </w:r>
          </w:p>
        </w:tc>
        <w:tc>
          <w:tcPr>
            <w:tcW w:w="992" w:type="dxa"/>
            <w:tcBorders>
              <w:top w:val="single" w:color="auto" w:sz="4" w:space="0"/>
              <w:left w:val="single" w:color="auto" w:sz="4" w:space="0"/>
              <w:bottom w:val="single" w:color="auto" w:sz="4" w:space="0"/>
              <w:right w:val="single" w:color="auto" w:sz="4" w:space="0"/>
            </w:tcBorders>
            <w:vAlign w:val="center"/>
          </w:tcPr>
          <w:p w14:paraId="150921C2">
            <w:pPr>
              <w:pageBreakBefore w:val="0"/>
              <w:widowControl/>
              <w:kinsoku/>
              <w:wordWrap/>
              <w:overflowPunct/>
              <w:topLinePunct w:val="0"/>
              <w:autoSpaceDE/>
              <w:autoSpaceDN/>
              <w:bidi w:val="0"/>
              <w:adjustRightInd/>
              <w:snapToGrid/>
              <w:spacing w:line="340" w:lineRule="exact"/>
              <w:jc w:val="left"/>
              <w:textAlignment w:val="auto"/>
              <w:rPr>
                <w:rFonts w:ascii="宋体" w:hAnsi="宋体" w:cs="宋体"/>
                <w:b/>
                <w:bCs/>
                <w:kern w:val="0"/>
                <w:sz w:val="28"/>
                <w:szCs w:val="28"/>
              </w:rPr>
            </w:pPr>
            <w:r>
              <w:rPr>
                <w:rFonts w:hint="eastAsia" w:ascii="宋体" w:hAnsi="宋体" w:cs="宋体"/>
                <w:b/>
                <w:bCs/>
                <w:kern w:val="0"/>
                <w:sz w:val="28"/>
                <w:szCs w:val="28"/>
              </w:rPr>
              <w:t>金额小计(元)</w:t>
            </w:r>
          </w:p>
        </w:tc>
        <w:tc>
          <w:tcPr>
            <w:tcW w:w="1863" w:type="dxa"/>
            <w:tcBorders>
              <w:top w:val="single" w:color="auto" w:sz="4" w:space="0"/>
              <w:left w:val="single" w:color="auto" w:sz="4" w:space="0"/>
              <w:bottom w:val="single" w:color="auto" w:sz="4" w:space="0"/>
              <w:right w:val="single" w:color="auto" w:sz="4" w:space="0"/>
            </w:tcBorders>
            <w:vAlign w:val="center"/>
          </w:tcPr>
          <w:p w14:paraId="37E04F93">
            <w:pPr>
              <w:pageBreakBefore w:val="0"/>
              <w:widowControl/>
              <w:kinsoku/>
              <w:wordWrap/>
              <w:overflowPunct/>
              <w:topLinePunct w:val="0"/>
              <w:autoSpaceDE/>
              <w:autoSpaceDN/>
              <w:bidi w:val="0"/>
              <w:adjustRightInd/>
              <w:snapToGrid/>
              <w:spacing w:line="340" w:lineRule="exact"/>
              <w:ind w:firstLine="413" w:firstLineChars="147"/>
              <w:jc w:val="left"/>
              <w:textAlignment w:val="auto"/>
              <w:rPr>
                <w:rFonts w:ascii="宋体" w:hAnsi="宋体" w:cs="宋体"/>
                <w:b/>
                <w:bCs/>
                <w:kern w:val="0"/>
                <w:sz w:val="28"/>
                <w:szCs w:val="28"/>
              </w:rPr>
            </w:pPr>
            <w:r>
              <w:rPr>
                <w:rFonts w:hint="eastAsia" w:ascii="宋体" w:hAnsi="宋体" w:cs="宋体"/>
                <w:b/>
                <w:bCs/>
                <w:kern w:val="0"/>
                <w:sz w:val="28"/>
                <w:szCs w:val="28"/>
              </w:rPr>
              <w:t>图片</w:t>
            </w:r>
          </w:p>
        </w:tc>
      </w:tr>
      <w:tr w14:paraId="7146827B">
        <w:tblPrEx>
          <w:tblCellMar>
            <w:top w:w="0" w:type="dxa"/>
            <w:left w:w="108" w:type="dxa"/>
            <w:bottom w:w="0" w:type="dxa"/>
            <w:right w:w="108" w:type="dxa"/>
          </w:tblCellMar>
        </w:tblPrEx>
        <w:trPr>
          <w:trHeight w:val="1558"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0F9E6">
            <w:pPr>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951" w:type="dxa"/>
            <w:tcBorders>
              <w:top w:val="single" w:color="auto" w:sz="4" w:space="0"/>
              <w:left w:val="nil"/>
              <w:bottom w:val="single" w:color="auto" w:sz="4" w:space="0"/>
              <w:right w:val="single" w:color="auto" w:sz="4" w:space="0"/>
            </w:tcBorders>
            <w:shd w:val="clear" w:color="auto" w:fill="auto"/>
            <w:vAlign w:val="center"/>
          </w:tcPr>
          <w:p w14:paraId="3B4EF70E">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高可视警示服</w:t>
            </w:r>
          </w:p>
          <w:p w14:paraId="0DD9F66B">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（拉链式反光背心轻薄透气款）</w:t>
            </w:r>
          </w:p>
        </w:tc>
        <w:tc>
          <w:tcPr>
            <w:tcW w:w="4550" w:type="dxa"/>
            <w:tcBorders>
              <w:top w:val="single" w:color="auto" w:sz="4" w:space="0"/>
              <w:left w:val="nil"/>
              <w:bottom w:val="single" w:color="auto" w:sz="4" w:space="0"/>
              <w:right w:val="single" w:color="auto" w:sz="4" w:space="0"/>
            </w:tcBorders>
            <w:shd w:val="clear" w:color="auto" w:fill="auto"/>
            <w:vAlign w:val="center"/>
          </w:tcPr>
          <w:p w14:paraId="2094F048">
            <w:pPr>
              <w:pageBreakBefore w:val="0"/>
              <w:numPr>
                <w:ilvl w:val="0"/>
                <w:numId w:val="4"/>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基本要求</w:t>
            </w:r>
            <w:r>
              <w:rPr>
                <w:rFonts w:hint="eastAsia" w:ascii="仿宋_GB2312" w:hAnsi="仿宋_GB2312" w:eastAsia="仿宋_GB2312" w:cs="仿宋_GB2312"/>
                <w:color w:val="auto"/>
                <w:sz w:val="24"/>
                <w:lang w:val="en-US" w:eastAsia="zh-CN"/>
              </w:rPr>
              <w:t>:符合</w:t>
            </w:r>
            <w:r>
              <w:rPr>
                <w:rFonts w:hint="eastAsia" w:ascii="仿宋_GB2312" w:hAnsi="仿宋_GB2312" w:eastAsia="仿宋_GB2312" w:cs="仿宋_GB2312"/>
                <w:color w:val="auto"/>
                <w:sz w:val="24"/>
              </w:rPr>
              <w:t>《GA 446-2003警服反光背心》技术标准要求</w:t>
            </w:r>
            <w:r>
              <w:rPr>
                <w:rFonts w:hint="eastAsia" w:ascii="仿宋_GB2312" w:hAnsi="仿宋_GB2312" w:eastAsia="仿宋_GB2312" w:cs="仿宋_GB2312"/>
                <w:color w:val="auto"/>
                <w:sz w:val="24"/>
                <w:lang w:eastAsia="zh-CN"/>
              </w:rPr>
              <w:t>。</w:t>
            </w:r>
          </w:p>
          <w:p w14:paraId="6107A390">
            <w:pPr>
              <w:pageBreakBefore w:val="0"/>
              <w:numPr>
                <w:ilvl w:val="0"/>
                <w:numId w:val="4"/>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外观要求：</w:t>
            </w:r>
          </w:p>
          <w:p w14:paraId="0379BD98">
            <w:pPr>
              <w:pageBreakBefore w:val="0"/>
              <w:numPr>
                <w:ilvl w:val="0"/>
                <w:numId w:val="5"/>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前后身需定制“交通运输执法”字样，反光背心外观颜色和字样符合JT410—2022第8章的规定；</w:t>
            </w:r>
          </w:p>
          <w:p w14:paraId="2CF8016E">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lang w:eastAsia="zh-CN"/>
              </w:rPr>
              <w:t>拉链：采用优质树脂拉链，铝质拉头，美观耐用；</w:t>
            </w:r>
          </w:p>
          <w:p w14:paraId="3F36C75F">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lang w:eastAsia="zh-CN"/>
              </w:rPr>
              <w:t>肩章：肩部魔术贴粘合设计，可穿肩章肩绊（需与我单位现用肩章尺寸匹配）。</w:t>
            </w:r>
          </w:p>
          <w:p w14:paraId="651127E5">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粘扣：前胸左右两侧设计有粘扣，可以粘贴胸徽胸号；粘扣左右居中，与反光条带平行绱胸徽、胸号搭扣（需与我单位现用胸徽胸号尺寸匹配）；</w:t>
            </w:r>
          </w:p>
          <w:p w14:paraId="1CC161C1">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lang w:eastAsia="zh-CN"/>
              </w:rPr>
              <w:t>对讲机、</w:t>
            </w:r>
            <w:r>
              <w:rPr>
                <w:rFonts w:hint="eastAsia" w:ascii="仿宋_GB2312" w:hAnsi="仿宋_GB2312" w:eastAsia="仿宋_GB2312" w:cs="仿宋_GB2312"/>
                <w:color w:val="auto"/>
                <w:sz w:val="24"/>
                <w:lang w:val="en-US" w:eastAsia="zh-CN"/>
              </w:rPr>
              <w:t>执法记录仪</w:t>
            </w:r>
            <w:r>
              <w:rPr>
                <w:rFonts w:hint="eastAsia" w:ascii="仿宋_GB2312" w:hAnsi="仿宋_GB2312" w:eastAsia="仿宋_GB2312" w:cs="仿宋_GB2312"/>
                <w:color w:val="auto"/>
                <w:sz w:val="24"/>
                <w:lang w:eastAsia="zh-CN"/>
              </w:rPr>
              <w:t>：胸部左侧设计有对讲机包</w:t>
            </w:r>
            <w:r>
              <w:rPr>
                <w:rFonts w:hint="eastAsia" w:ascii="仿宋_GB2312" w:hAnsi="仿宋_GB2312" w:eastAsia="仿宋_GB2312" w:cs="仿宋_GB2312"/>
                <w:color w:val="auto"/>
                <w:sz w:val="24"/>
                <w:lang w:val="en-US" w:eastAsia="zh-CN"/>
              </w:rPr>
              <w:t>和执法记录仪挂扣</w:t>
            </w:r>
            <w:r>
              <w:rPr>
                <w:rFonts w:hint="eastAsia" w:ascii="仿宋_GB2312" w:hAnsi="仿宋_GB2312" w:eastAsia="仿宋_GB2312" w:cs="仿宋_GB2312"/>
                <w:color w:val="auto"/>
                <w:sz w:val="24"/>
                <w:lang w:eastAsia="zh-CN"/>
              </w:rPr>
              <w:t>，可以搭载对讲机等通讯设备；</w:t>
            </w:r>
          </w:p>
          <w:p w14:paraId="570A45B1">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lang w:eastAsia="zh-CN"/>
              </w:rPr>
              <w:t>口袋：胸部右侧及腰部两侧各有一个口袋，右胸有带盖口袋，采用魔术贴闭合，方便放置工作证等；腰部左右大口袋采用拉链贴闭合，可放置多种物品；</w:t>
            </w:r>
          </w:p>
          <w:p w14:paraId="7BD8A949">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lang w:eastAsia="zh-CN"/>
              </w:rPr>
              <w:t>.文字标志：腹部及背部热熔反光字，美观醒目。</w:t>
            </w:r>
          </w:p>
          <w:p w14:paraId="2F9F6465">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三、材质要求：</w:t>
            </w:r>
          </w:p>
          <w:p w14:paraId="20EB5ED7">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lang w:eastAsia="zh-CN"/>
              </w:rPr>
              <w:t>反光</w:t>
            </w:r>
            <w:r>
              <w:rPr>
                <w:rFonts w:hint="eastAsia" w:ascii="仿宋_GB2312" w:hAnsi="仿宋_GB2312" w:eastAsia="仿宋_GB2312" w:cs="仿宋_GB2312"/>
                <w:color w:val="auto"/>
                <w:sz w:val="24"/>
                <w:lang w:val="en-US" w:eastAsia="zh-CN"/>
              </w:rPr>
              <w:t>材料</w:t>
            </w:r>
            <w:r>
              <w:rPr>
                <w:rFonts w:hint="eastAsia" w:ascii="仿宋_GB2312" w:hAnsi="仿宋_GB2312" w:eastAsia="仿宋_GB2312" w:cs="仿宋_GB2312"/>
                <w:color w:val="auto"/>
                <w:sz w:val="24"/>
                <w:lang w:eastAsia="zh-CN"/>
              </w:rPr>
              <w:t>：PVC高亮反光条，反光条热压上去，色泽鲜艳、耐腐蚀、牢固耐用等特点，反光性能好；</w:t>
            </w:r>
          </w:p>
          <w:p w14:paraId="098C0855">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背心</w:t>
            </w:r>
            <w:r>
              <w:rPr>
                <w:rFonts w:hint="eastAsia" w:ascii="仿宋_GB2312" w:hAnsi="仿宋_GB2312" w:eastAsia="仿宋_GB2312" w:cs="仿宋_GB2312"/>
                <w:color w:val="auto"/>
                <w:sz w:val="24"/>
              </w:rPr>
              <w:t>材质：反光背心网面为荧光绿涤纶，质量为(130+10)g/㎡</w:t>
            </w:r>
            <w:r>
              <w:rPr>
                <w:rFonts w:hint="eastAsia" w:ascii="仿宋_GB2312" w:hAnsi="仿宋_GB2312" w:eastAsia="仿宋_GB2312" w:cs="仿宋_GB2312"/>
                <w:color w:val="auto"/>
                <w:sz w:val="24"/>
                <w:lang w:eastAsia="zh-CN"/>
              </w:rPr>
              <w:t>；</w:t>
            </w:r>
          </w:p>
          <w:p w14:paraId="614A4F1D">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、网眼密度：直向：（20±2）眼/5cm ，横向：（15±2）眼/5cm</w:t>
            </w:r>
            <w:r>
              <w:rPr>
                <w:rFonts w:hint="eastAsia" w:ascii="仿宋_GB2312" w:hAnsi="仿宋_GB2312" w:eastAsia="仿宋_GB2312" w:cs="仿宋_GB2312"/>
                <w:color w:val="auto"/>
                <w:sz w:val="24"/>
                <w:lang w:eastAsia="zh-CN"/>
              </w:rPr>
              <w:t>；</w:t>
            </w:r>
          </w:p>
          <w:p w14:paraId="1BAA64AD">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四、</w:t>
            </w:r>
            <w:r>
              <w:rPr>
                <w:rFonts w:hint="eastAsia" w:ascii="仿宋_GB2312" w:hAnsi="仿宋_GB2312" w:eastAsia="仿宋_GB2312" w:cs="仿宋_GB2312"/>
                <w:color w:val="auto"/>
                <w:sz w:val="24"/>
                <w:lang w:eastAsia="zh-CN"/>
              </w:rPr>
              <w:t>款式</w:t>
            </w:r>
            <w:r>
              <w:rPr>
                <w:rFonts w:hint="eastAsia" w:ascii="仿宋_GB2312" w:hAnsi="仿宋_GB2312" w:eastAsia="仿宋_GB2312" w:cs="仿宋_GB2312"/>
                <w:color w:val="auto"/>
                <w:sz w:val="24"/>
                <w:lang w:val="en-US" w:eastAsia="zh-CN"/>
              </w:rPr>
              <w:t>要求</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前开襟马甲式样，用拉链拉合，前后身分别具有横向反光条带；肩部及腰部为可调节设计，可自由调节大小，穿着更贴身</w:t>
            </w:r>
            <w:r>
              <w:rPr>
                <w:rFonts w:hint="eastAsia" w:ascii="仿宋_GB2312" w:hAnsi="仿宋_GB2312" w:eastAsia="仿宋_GB2312" w:cs="仿宋_GB2312"/>
                <w:color w:val="auto"/>
                <w:sz w:val="24"/>
                <w:lang w:eastAsia="zh-CN"/>
              </w:rPr>
              <w:t>。</w:t>
            </w:r>
          </w:p>
          <w:p w14:paraId="1B0364CC">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五、性能要求：</w:t>
            </w:r>
          </w:p>
          <w:p w14:paraId="0C5B2FE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、顶破强力：≥200N</w:t>
            </w:r>
            <w:r>
              <w:rPr>
                <w:rFonts w:hint="eastAsia" w:ascii="仿宋_GB2312" w:hAnsi="仿宋_GB2312" w:eastAsia="仿宋_GB2312" w:cs="仿宋_GB2312"/>
                <w:color w:val="auto"/>
                <w:sz w:val="24"/>
                <w:lang w:eastAsia="zh-CN"/>
              </w:rPr>
              <w:t>；</w:t>
            </w:r>
          </w:p>
          <w:p w14:paraId="14AA973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、耐水洗色牢度：≥4级</w:t>
            </w:r>
            <w:r>
              <w:rPr>
                <w:rFonts w:hint="eastAsia" w:ascii="仿宋_GB2312" w:hAnsi="仿宋_GB2312" w:eastAsia="仿宋_GB2312" w:cs="仿宋_GB2312"/>
                <w:color w:val="auto"/>
                <w:sz w:val="24"/>
                <w:lang w:eastAsia="zh-CN"/>
              </w:rPr>
              <w:t>；</w:t>
            </w:r>
          </w:p>
          <w:p w14:paraId="37AC2CAA">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、耐摩擦色牢度：干摩≥4级；湿摩≥4级</w:t>
            </w:r>
            <w:r>
              <w:rPr>
                <w:rFonts w:hint="eastAsia" w:ascii="仿宋_GB2312" w:hAnsi="仿宋_GB2312" w:eastAsia="仿宋_GB2312" w:cs="仿宋_GB2312"/>
                <w:color w:val="auto"/>
                <w:sz w:val="24"/>
                <w:lang w:eastAsia="zh-CN"/>
              </w:rPr>
              <w:t>；</w:t>
            </w:r>
          </w:p>
          <w:p w14:paraId="6416FF46">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、耐汗渍色牢度：耐酸≥4级；耐碱≥4级</w:t>
            </w:r>
            <w:r>
              <w:rPr>
                <w:rFonts w:hint="eastAsia" w:ascii="仿宋_GB2312" w:hAnsi="仿宋_GB2312" w:eastAsia="仿宋_GB2312" w:cs="仿宋_GB2312"/>
                <w:color w:val="auto"/>
                <w:sz w:val="24"/>
                <w:lang w:eastAsia="zh-CN"/>
              </w:rPr>
              <w:t>；</w:t>
            </w:r>
          </w:p>
          <w:p w14:paraId="2693921E">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、反光性能：观察角12′，入射角5°条件下，反光带的逆反射系数≥500cd/lx.㎡</w:t>
            </w:r>
            <w:r>
              <w:rPr>
                <w:rFonts w:hint="eastAsia" w:ascii="仿宋_GB2312" w:hAnsi="仿宋_GB2312" w:eastAsia="仿宋_GB2312" w:cs="仿宋_GB2312"/>
                <w:color w:val="auto"/>
                <w:sz w:val="24"/>
                <w:lang w:eastAsia="zh-CN"/>
              </w:rPr>
              <w:t>；</w:t>
            </w:r>
          </w:p>
          <w:p w14:paraId="14E5DBCE">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、耐水洗性能：反光背心水洗 20次后应满足反光性能要求</w:t>
            </w:r>
            <w:r>
              <w:rPr>
                <w:rFonts w:hint="eastAsia" w:ascii="仿宋_GB2312" w:hAnsi="仿宋_GB2312" w:eastAsia="仿宋_GB2312" w:cs="仿宋_GB2312"/>
                <w:color w:val="auto"/>
                <w:sz w:val="24"/>
                <w:lang w:eastAsia="zh-CN"/>
              </w:rPr>
              <w:t>。</w:t>
            </w:r>
          </w:p>
          <w:p w14:paraId="5014C2FD">
            <w:pPr>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六、</w:t>
            </w:r>
            <w:r>
              <w:rPr>
                <w:rFonts w:hint="eastAsia" w:ascii="仿宋_GB2312" w:hAnsi="仿宋_GB2312" w:eastAsia="仿宋_GB2312" w:cs="仿宋_GB2312"/>
                <w:color w:val="auto"/>
                <w:sz w:val="24"/>
              </w:rPr>
              <w:t>尺码</w:t>
            </w:r>
            <w:r>
              <w:rPr>
                <w:rFonts w:hint="eastAsia" w:ascii="仿宋_GB2312" w:hAnsi="仿宋_GB2312" w:eastAsia="仿宋_GB2312" w:cs="仿宋_GB2312"/>
                <w:color w:val="auto"/>
                <w:sz w:val="24"/>
                <w:lang w:val="en-US" w:eastAsia="zh-CN"/>
              </w:rPr>
              <w:t>要求：</w:t>
            </w:r>
            <w:r>
              <w:rPr>
                <w:rFonts w:hint="eastAsia" w:ascii="仿宋_GB2312" w:hAnsi="仿宋_GB2312" w:eastAsia="仿宋_GB2312" w:cs="仿宋_GB2312"/>
                <w:color w:val="auto"/>
                <w:sz w:val="24"/>
              </w:rPr>
              <w:t>165cm/170cm/175cm/180cm/185cm</w:t>
            </w:r>
            <w:r>
              <w:rPr>
                <w:rFonts w:hint="eastAsia" w:ascii="仿宋_GB2312" w:hAnsi="仿宋_GB2312" w:eastAsia="仿宋_GB2312" w:cs="仿宋_GB2312"/>
                <w:color w:val="auto"/>
                <w:sz w:val="24"/>
                <w:lang w:eastAsia="zh-CN"/>
              </w:rPr>
              <w:t>。</w:t>
            </w:r>
          </w:p>
          <w:p w14:paraId="69D3BB8F">
            <w:pPr>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七、</w:t>
            </w:r>
            <w:r>
              <w:rPr>
                <w:rFonts w:hint="eastAsia" w:ascii="仿宋_GB2312" w:hAnsi="仿宋_GB2312" w:eastAsia="仿宋_GB2312" w:cs="仿宋_GB2312"/>
                <w:color w:val="auto"/>
                <w:sz w:val="24"/>
              </w:rPr>
              <w:t>货物免费保修期内，设备制造商要免费为设备及设备中包含的软硬件提供免费维护及升级的服务，需提供设备制造商书面承诺函(格式自定)并加盖设备制造商的公章</w:t>
            </w:r>
            <w:r>
              <w:rPr>
                <w:rFonts w:hint="eastAsia" w:ascii="仿宋_GB2312" w:hAnsi="仿宋_GB2312" w:eastAsia="仿宋_GB2312" w:cs="仿宋_GB2312"/>
                <w:color w:val="auto"/>
                <w:sz w:val="24"/>
                <w:lang w:eastAsia="zh-CN"/>
              </w:rPr>
              <w:t>。</w:t>
            </w:r>
          </w:p>
          <w:p w14:paraId="45F9F507">
            <w:pPr>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八</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highlight w:val="none"/>
                <w:lang w:val="en-US" w:eastAsia="zh-CN"/>
              </w:rPr>
              <w:t>上述“</w:t>
            </w:r>
            <w:r>
              <w:rPr>
                <w:rFonts w:hint="eastAsia" w:ascii="仿宋_GB2312" w:hAnsi="仿宋_GB2312" w:eastAsia="仿宋_GB2312" w:cs="仿宋_GB2312"/>
                <w:i w:val="0"/>
                <w:iCs w:val="0"/>
                <w:color w:val="auto"/>
                <w:kern w:val="0"/>
                <w:sz w:val="24"/>
                <w:szCs w:val="24"/>
                <w:highlight w:val="none"/>
                <w:u w:val="none"/>
                <w:lang w:val="en-US" w:eastAsia="zh-CN" w:bidi="ar"/>
              </w:rPr>
              <w:t>▲</w:t>
            </w:r>
            <w:r>
              <w:rPr>
                <w:rFonts w:hint="eastAsia" w:ascii="仿宋_GB2312" w:hAnsi="仿宋_GB2312" w:eastAsia="仿宋_GB2312" w:cs="仿宋_GB2312"/>
                <w:color w:val="auto"/>
                <w:sz w:val="24"/>
                <w:szCs w:val="24"/>
                <w:highlight w:val="none"/>
                <w:lang w:val="en-US" w:eastAsia="zh-CN"/>
              </w:rPr>
              <w:t>”指标，竞标时需</w:t>
            </w:r>
            <w:r>
              <w:rPr>
                <w:rFonts w:hint="eastAsia" w:ascii="仿宋_GB2312" w:hAnsi="仿宋_GB2312" w:eastAsia="仿宋_GB2312" w:cs="仿宋_GB2312"/>
                <w:color w:val="auto"/>
                <w:sz w:val="24"/>
                <w:szCs w:val="24"/>
              </w:rPr>
              <w:t>提供公安部产品质量监督检验中心出具的产品检验报告</w:t>
            </w:r>
            <w:r>
              <w:rPr>
                <w:rFonts w:hint="eastAsia" w:ascii="仿宋_GB2312" w:hAnsi="仿宋_GB2312" w:eastAsia="仿宋_GB2312" w:cs="仿宋_GB2312"/>
                <w:color w:val="auto"/>
                <w:sz w:val="24"/>
                <w:szCs w:val="24"/>
                <w:lang w:val="en-US" w:eastAsia="zh-CN"/>
              </w:rPr>
              <w:t>原件扫描件</w:t>
            </w:r>
            <w:r>
              <w:rPr>
                <w:rFonts w:hint="eastAsia" w:ascii="仿宋_GB2312" w:hAnsi="仿宋_GB2312" w:eastAsia="仿宋_GB2312" w:cs="仿宋_GB2312"/>
                <w:color w:val="auto"/>
                <w:sz w:val="24"/>
                <w:szCs w:val="24"/>
              </w:rPr>
              <w:t>并加盖</w:t>
            </w:r>
            <w:r>
              <w:rPr>
                <w:rFonts w:hint="eastAsia" w:ascii="仿宋_GB2312" w:hAnsi="仿宋_GB2312" w:eastAsia="仿宋_GB2312" w:cs="仿宋_GB2312"/>
                <w:color w:val="auto"/>
                <w:sz w:val="24"/>
                <w:szCs w:val="24"/>
                <w:lang w:val="en-US" w:eastAsia="zh-CN"/>
              </w:rPr>
              <w:t>生产厂家及供应商</w:t>
            </w:r>
            <w:r>
              <w:rPr>
                <w:rFonts w:hint="eastAsia" w:ascii="仿宋_GB2312" w:hAnsi="仿宋_GB2312" w:eastAsia="仿宋_GB2312" w:cs="仿宋_GB2312"/>
                <w:color w:val="auto"/>
                <w:sz w:val="24"/>
                <w:szCs w:val="24"/>
              </w:rPr>
              <w:t>单位公章</w:t>
            </w:r>
            <w:r>
              <w:rPr>
                <w:rFonts w:hint="eastAsia" w:ascii="仿宋_GB2312" w:hAnsi="仿宋_GB2312" w:eastAsia="仿宋_GB2312" w:cs="仿宋_GB2312"/>
                <w:color w:val="auto"/>
                <w:sz w:val="24"/>
                <w:szCs w:val="24"/>
                <w:lang w:val="en-US" w:eastAsia="zh-CN"/>
              </w:rPr>
              <w:t>，同时提供原件核查，</w:t>
            </w:r>
            <w:r>
              <w:rPr>
                <w:rFonts w:hint="eastAsia" w:ascii="仿宋_GB2312" w:hAnsi="仿宋_GB2312" w:eastAsia="仿宋_GB2312" w:cs="仿宋_GB2312"/>
                <w:color w:val="auto"/>
                <w:sz w:val="24"/>
              </w:rPr>
              <w:t>确保所有技术参数、功能均可满足采购文件要求</w:t>
            </w:r>
            <w:r>
              <w:rPr>
                <w:rFonts w:hint="eastAsia" w:ascii="仿宋_GB2312" w:hAnsi="仿宋_GB2312" w:eastAsia="仿宋_GB2312" w:cs="仿宋_GB2312"/>
                <w:color w:val="auto"/>
                <w:sz w:val="24"/>
                <w:lang w:eastAsia="zh-CN"/>
              </w:rPr>
              <w:t>。</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126ECCC">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790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62D3809D">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160</w:t>
            </w:r>
          </w:p>
        </w:tc>
        <w:tc>
          <w:tcPr>
            <w:tcW w:w="992" w:type="dxa"/>
            <w:tcBorders>
              <w:top w:val="single" w:color="auto" w:sz="4" w:space="0"/>
              <w:left w:val="nil"/>
              <w:bottom w:val="single" w:color="auto" w:sz="4" w:space="0"/>
              <w:right w:val="nil"/>
            </w:tcBorders>
            <w:shd w:val="clear" w:color="auto" w:fill="auto"/>
            <w:noWrap/>
            <w:vAlign w:val="center"/>
          </w:tcPr>
          <w:p w14:paraId="3DF8479C">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126400</w:t>
            </w:r>
          </w:p>
        </w:tc>
        <w:tc>
          <w:tcPr>
            <w:tcW w:w="1863" w:type="dxa"/>
            <w:tcBorders>
              <w:top w:val="single" w:color="auto" w:sz="4" w:space="0"/>
              <w:left w:val="single" w:color="auto" w:sz="4" w:space="0"/>
              <w:bottom w:val="single" w:color="auto" w:sz="4" w:space="0"/>
              <w:right w:val="single" w:color="auto" w:sz="4" w:space="0"/>
            </w:tcBorders>
            <w:vAlign w:val="center"/>
          </w:tcPr>
          <w:p w14:paraId="160752B0">
            <w:pPr>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0"/>
                <w:szCs w:val="21"/>
              </w:rPr>
            </w:pPr>
            <w:bookmarkStart w:id="1" w:name="_GoBack"/>
            <w:bookmarkEnd w:id="1"/>
          </w:p>
          <w:p w14:paraId="5C363CF6">
            <w:pPr>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提供样品，实物必须与采购参数要求相符</w:t>
            </w:r>
          </w:p>
        </w:tc>
      </w:tr>
      <w:tr w14:paraId="0173F8FC">
        <w:tblPrEx>
          <w:tblCellMar>
            <w:top w:w="0" w:type="dxa"/>
            <w:left w:w="108" w:type="dxa"/>
            <w:bottom w:w="0" w:type="dxa"/>
            <w:right w:w="108" w:type="dxa"/>
          </w:tblCellMar>
        </w:tblPrEx>
        <w:trPr>
          <w:trHeight w:val="1082"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0177D">
            <w:pPr>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951" w:type="dxa"/>
            <w:tcBorders>
              <w:top w:val="single" w:color="auto" w:sz="4" w:space="0"/>
              <w:left w:val="nil"/>
              <w:bottom w:val="single" w:color="auto" w:sz="4" w:space="0"/>
              <w:right w:val="single" w:color="auto" w:sz="4" w:space="0"/>
            </w:tcBorders>
            <w:shd w:val="clear" w:color="auto" w:fill="auto"/>
            <w:vAlign w:val="center"/>
          </w:tcPr>
          <w:p w14:paraId="2994D2B8">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安全鞋</w:t>
            </w:r>
          </w:p>
        </w:tc>
        <w:tc>
          <w:tcPr>
            <w:tcW w:w="4550" w:type="dxa"/>
            <w:tcBorders>
              <w:top w:val="single" w:color="auto" w:sz="4" w:space="0"/>
              <w:left w:val="nil"/>
              <w:bottom w:val="single" w:color="auto" w:sz="4" w:space="0"/>
              <w:right w:val="single" w:color="auto" w:sz="4" w:space="0"/>
            </w:tcBorders>
            <w:shd w:val="clear" w:color="auto" w:fill="auto"/>
            <w:vAlign w:val="center"/>
          </w:tcPr>
          <w:p w14:paraId="34A9D824">
            <w:pPr>
              <w:pageBreakBefore w:val="0"/>
              <w:numPr>
                <w:ilvl w:val="0"/>
                <w:numId w:val="6"/>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基本要求：</w:t>
            </w:r>
            <w:r>
              <w:rPr>
                <w:rFonts w:hint="eastAsia" w:ascii="仿宋_GB2312" w:hAnsi="仿宋_GB2312" w:eastAsia="仿宋_GB2312" w:cs="仿宋_GB2312"/>
                <w:color w:val="auto"/>
                <w:sz w:val="24"/>
              </w:rPr>
              <w:t>符合GB 21148-2020《足部防护 安全鞋》</w:t>
            </w:r>
            <w:r>
              <w:rPr>
                <w:rFonts w:hint="eastAsia" w:ascii="仿宋_GB2312" w:hAnsi="仿宋_GB2312" w:eastAsia="仿宋_GB2312" w:cs="仿宋_GB2312"/>
                <w:color w:val="auto"/>
                <w:sz w:val="24"/>
                <w:lang w:val="en-US" w:eastAsia="zh-CN"/>
              </w:rPr>
              <w:t>技术</w:t>
            </w:r>
            <w:r>
              <w:rPr>
                <w:rFonts w:hint="eastAsia" w:ascii="仿宋_GB2312" w:hAnsi="仿宋_GB2312" w:eastAsia="仿宋_GB2312" w:cs="仿宋_GB2312"/>
                <w:color w:val="auto"/>
                <w:sz w:val="24"/>
              </w:rPr>
              <w:t>标准要求</w:t>
            </w:r>
            <w:r>
              <w:rPr>
                <w:rFonts w:hint="eastAsia" w:ascii="仿宋_GB2312" w:hAnsi="仿宋_GB2312" w:eastAsia="仿宋_GB2312" w:cs="仿宋_GB2312"/>
                <w:color w:val="auto"/>
                <w:sz w:val="24"/>
                <w:lang w:eastAsia="zh-CN"/>
              </w:rPr>
              <w:t>。</w:t>
            </w:r>
          </w:p>
          <w:p w14:paraId="248EE053">
            <w:pPr>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二、</w:t>
            </w:r>
            <w:r>
              <w:rPr>
                <w:rFonts w:hint="eastAsia" w:ascii="仿宋_GB2312" w:hAnsi="仿宋_GB2312" w:eastAsia="仿宋_GB2312" w:cs="仿宋_GB2312"/>
                <w:color w:val="auto"/>
                <w:sz w:val="24"/>
              </w:rPr>
              <w:t>款式面料：防穿刺作训鞋，低帮自动扣系带，KPU鞋面，新式爆米花发泡耐磨大底，凯夫拉防穿刺内底，防水布</w:t>
            </w:r>
            <w:r>
              <w:rPr>
                <w:rFonts w:hint="eastAsia" w:ascii="仿宋_GB2312" w:hAnsi="仿宋_GB2312" w:eastAsia="仿宋_GB2312" w:cs="仿宋_GB2312"/>
                <w:color w:val="auto"/>
                <w:sz w:val="24"/>
                <w:lang w:eastAsia="zh-CN"/>
              </w:rPr>
              <w:t>。</w:t>
            </w:r>
          </w:p>
          <w:p w14:paraId="3553AE2B">
            <w:pPr>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三、结构和性能要求：</w:t>
            </w:r>
          </w:p>
          <w:p w14:paraId="1AD462B7">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1.成鞋鞋帮/底结合强度：除缝合底外，结合强度≥4.0N/mm, 鞋底无撕裂现象；</w:t>
            </w:r>
          </w:p>
          <w:p w14:paraId="02DD4DFD">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、成鞋防滑性：</w:t>
            </w:r>
          </w:p>
          <w:p w14:paraId="5B6C3921">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①在带有洗涤剂溶液的陶瓷砖面，后跟向前滑动摩擦系数≥0.28</w:t>
            </w:r>
            <w:r>
              <w:rPr>
                <w:rFonts w:hint="eastAsia" w:ascii="仿宋_GB2312" w:hAnsi="仿宋_GB2312" w:eastAsia="仿宋_GB2312" w:cs="仿宋_GB2312"/>
                <w:color w:val="auto"/>
                <w:sz w:val="24"/>
                <w:lang w:eastAsia="zh-CN"/>
              </w:rPr>
              <w:t>。</w:t>
            </w:r>
          </w:p>
          <w:p w14:paraId="7D95F4D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②在带有洗涤剂溶液的陶瓷砖面，水平向前滑动摩擦系数≥0.32</w:t>
            </w:r>
            <w:r>
              <w:rPr>
                <w:rFonts w:hint="eastAsia" w:ascii="仿宋_GB2312" w:hAnsi="仿宋_GB2312" w:eastAsia="仿宋_GB2312" w:cs="仿宋_GB2312"/>
                <w:color w:val="auto"/>
                <w:sz w:val="24"/>
                <w:lang w:eastAsia="zh-CN"/>
              </w:rPr>
              <w:t>；</w:t>
            </w:r>
          </w:p>
          <w:p w14:paraId="0587DE3A">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3.鞋帮撕裂性能：撕裂强度≥120N；</w:t>
            </w:r>
          </w:p>
          <w:p w14:paraId="1365DD5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4.鞋帮拉伸性能：抗张强度≥15N/mm²；</w:t>
            </w:r>
          </w:p>
          <w:p w14:paraId="0FC88B23">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5.鞋垫耐磨性：摩擦表面不应产生任何破洞；</w:t>
            </w:r>
          </w:p>
          <w:p w14:paraId="03B1FC50">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6.外底撕裂强度：密度&gt;0.9g/cm³’的材料：≥8kN/m；</w:t>
            </w:r>
          </w:p>
          <w:p w14:paraId="6B71408C">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lang w:val="en-US" w:eastAsia="zh-CN"/>
              </w:rPr>
              <w:t>.外底耐磨性：密度&gt;0.9g/cm³’的材料：相对体积磨耗量≤150mm³；</w:t>
            </w:r>
          </w:p>
          <w:p w14:paraId="262A8723">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8.外底耐折性：切口增长≤4mm，在不损坏鞋的情况下，装入鞋内的保护包头不能移动，成鞋鞋帮的一部分起衬里作用，保护包头有一层边缘覆盖层，从保护包头后部边缘开始在其下方延伸至少5mm，在相反方向延伸至少10mm。卷边宽度 e≤10mm，脚趾部位的抗磨损覆盖层厚度≥1mm；</w:t>
            </w:r>
          </w:p>
          <w:p w14:paraId="4DAB9B58">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9.成鞋抗冲击性：在至少(200+4)J冲击能量冲击后，保护包头内的最小间距应≥14.0mm，此外，在保护包头测试轴线上不应产生任何贯穿材料的裂缝，即光线能透过裂缝；</w:t>
            </w:r>
          </w:p>
          <w:p w14:paraId="1594610C">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10.成鞋耐压力性：在(15+0.1)kN的压力下，保护包头内的最小间距应≥14.0mm；</w:t>
            </w:r>
          </w:p>
          <w:p w14:paraId="24D63564">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、刺穿力金属防刺穿垫：≥1100N</w:t>
            </w:r>
            <w:r>
              <w:rPr>
                <w:rFonts w:hint="eastAsia" w:ascii="仿宋_GB2312" w:hAnsi="仿宋_GB2312" w:eastAsia="仿宋_GB2312" w:cs="仿宋_GB2312"/>
                <w:color w:val="auto"/>
                <w:sz w:val="24"/>
                <w:lang w:eastAsia="zh-CN"/>
              </w:rPr>
              <w:t>。</w:t>
            </w:r>
          </w:p>
          <w:p w14:paraId="7C640AF9">
            <w:pPr>
              <w:pageBreakBefore w:val="0"/>
              <w:numPr>
                <w:ilvl w:val="0"/>
                <w:numId w:val="7"/>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货物免费保修期内，设备制造商要免费为设备及设备中包含的软硬件提供免费维护及升级的服务，需提供设备制造商书面承诺函(格式自定)并加盖设备制造商的公章</w:t>
            </w:r>
            <w:r>
              <w:rPr>
                <w:rFonts w:hint="eastAsia" w:ascii="仿宋_GB2312" w:hAnsi="仿宋_GB2312" w:eastAsia="仿宋_GB2312" w:cs="仿宋_GB2312"/>
                <w:color w:val="auto"/>
                <w:sz w:val="24"/>
                <w:lang w:eastAsia="zh-CN"/>
              </w:rPr>
              <w:t>。</w:t>
            </w:r>
          </w:p>
          <w:p w14:paraId="3EA29C0B">
            <w:pPr>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五、</w:t>
            </w:r>
            <w:r>
              <w:rPr>
                <w:rFonts w:hint="eastAsia" w:ascii="仿宋_GB2312" w:hAnsi="仿宋_GB2312" w:eastAsia="仿宋_GB2312" w:cs="仿宋_GB2312"/>
                <w:color w:val="auto"/>
                <w:sz w:val="24"/>
                <w:szCs w:val="24"/>
                <w:highlight w:val="none"/>
                <w:lang w:val="en-US" w:eastAsia="zh-CN"/>
              </w:rPr>
              <w:t>上述“</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highlight w:val="none"/>
                <w:lang w:val="en-US" w:eastAsia="zh-CN"/>
              </w:rPr>
              <w:t>”指标，</w:t>
            </w:r>
            <w:r>
              <w:rPr>
                <w:rFonts w:hint="eastAsia" w:ascii="仿宋_GB2312" w:hAnsi="仿宋_GB2312" w:eastAsia="仿宋_GB2312" w:cs="仿宋_GB2312"/>
                <w:b w:val="0"/>
                <w:bCs/>
                <w:color w:val="auto"/>
                <w:sz w:val="24"/>
              </w:rPr>
              <w:t>竞标时请提供具有</w:t>
            </w:r>
            <w:r>
              <w:rPr>
                <w:rFonts w:hint="eastAsia" w:ascii="仿宋_GB2312" w:hAnsi="仿宋_GB2312" w:eastAsia="仿宋_GB2312" w:cs="仿宋_GB2312"/>
                <w:color w:val="auto"/>
                <w:sz w:val="24"/>
              </w:rPr>
              <w:t>CMA</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CNAS</w:t>
            </w:r>
            <w:r>
              <w:rPr>
                <w:rFonts w:hint="eastAsia" w:ascii="仿宋_GB2312" w:hAnsi="仿宋_GB2312" w:eastAsia="仿宋_GB2312" w:cs="仿宋_GB2312"/>
                <w:color w:val="auto"/>
                <w:sz w:val="24"/>
                <w:lang w:val="en-US" w:eastAsia="zh-CN"/>
              </w:rPr>
              <w:t>\GAL</w:t>
            </w:r>
            <w:r>
              <w:rPr>
                <w:rFonts w:hint="eastAsia" w:ascii="仿宋_GB2312" w:hAnsi="仿宋_GB2312" w:eastAsia="仿宋_GB2312" w:cs="仿宋_GB2312"/>
                <w:b w:val="0"/>
                <w:bCs/>
                <w:color w:val="auto"/>
                <w:sz w:val="24"/>
              </w:rPr>
              <w:t>认证标识的第三方检验机构出具的检验报告</w:t>
            </w:r>
            <w:r>
              <w:rPr>
                <w:rFonts w:hint="eastAsia" w:ascii="仿宋_GB2312" w:hAnsi="仿宋_GB2312" w:eastAsia="仿宋_GB2312" w:cs="仿宋_GB2312"/>
                <w:b w:val="0"/>
                <w:bCs/>
                <w:color w:val="auto"/>
                <w:sz w:val="24"/>
                <w:szCs w:val="24"/>
                <w:lang w:val="en-US" w:eastAsia="zh-CN"/>
              </w:rPr>
              <w:t>原件扫描件</w:t>
            </w:r>
            <w:r>
              <w:rPr>
                <w:rFonts w:hint="eastAsia" w:ascii="仿宋_GB2312" w:hAnsi="仿宋_GB2312" w:eastAsia="仿宋_GB2312" w:cs="仿宋_GB2312"/>
                <w:b w:val="0"/>
                <w:bCs/>
                <w:color w:val="auto"/>
                <w:sz w:val="24"/>
                <w:szCs w:val="24"/>
              </w:rPr>
              <w:t>并加盖</w:t>
            </w:r>
            <w:r>
              <w:rPr>
                <w:rFonts w:hint="eastAsia" w:ascii="仿宋_GB2312" w:hAnsi="仿宋_GB2312" w:eastAsia="仿宋_GB2312" w:cs="仿宋_GB2312"/>
                <w:b w:val="0"/>
                <w:bCs/>
                <w:color w:val="auto"/>
                <w:sz w:val="24"/>
                <w:szCs w:val="24"/>
                <w:lang w:val="en-US" w:eastAsia="zh-CN"/>
              </w:rPr>
              <w:t>生产厂家及</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b w:val="0"/>
                <w:bCs/>
                <w:color w:val="auto"/>
                <w:sz w:val="24"/>
                <w:szCs w:val="24"/>
              </w:rPr>
              <w:t>单位公章</w:t>
            </w:r>
            <w:r>
              <w:rPr>
                <w:rFonts w:hint="eastAsia" w:ascii="仿宋_GB2312" w:hAnsi="仿宋_GB2312" w:eastAsia="仿宋_GB2312" w:cs="仿宋_GB2312"/>
                <w:b w:val="0"/>
                <w:bCs/>
                <w:color w:val="auto"/>
                <w:sz w:val="24"/>
                <w:szCs w:val="24"/>
                <w:lang w:val="en-US" w:eastAsia="zh-CN"/>
              </w:rPr>
              <w:t>，</w:t>
            </w:r>
            <w:r>
              <w:rPr>
                <w:rFonts w:hint="eastAsia" w:ascii="仿宋_GB2312" w:hAnsi="仿宋_GB2312" w:eastAsia="仿宋_GB2312" w:cs="仿宋_GB2312"/>
                <w:color w:val="auto"/>
                <w:sz w:val="24"/>
                <w:szCs w:val="24"/>
                <w:lang w:val="en-US" w:eastAsia="zh-CN"/>
              </w:rPr>
              <w:t>同时提供原件核查，</w:t>
            </w:r>
            <w:r>
              <w:rPr>
                <w:rFonts w:hint="eastAsia" w:ascii="仿宋_GB2312" w:hAnsi="仿宋_GB2312" w:eastAsia="仿宋_GB2312" w:cs="仿宋_GB2312"/>
                <w:b w:val="0"/>
                <w:bCs/>
                <w:color w:val="auto"/>
                <w:sz w:val="24"/>
              </w:rPr>
              <w:t>确保所有技术参数、功能均可满足采购文件要求</w:t>
            </w:r>
            <w:r>
              <w:rPr>
                <w:rFonts w:hint="eastAsia" w:ascii="仿宋_GB2312" w:hAnsi="仿宋_GB2312" w:eastAsia="仿宋_GB2312" w:cs="仿宋_GB2312"/>
                <w:b w:val="0"/>
                <w:bCs/>
                <w:color w:val="auto"/>
                <w:sz w:val="24"/>
                <w:lang w:val="en-US" w:eastAsia="zh-CN"/>
              </w:rPr>
              <w:t>。</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59235F2">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790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4B3BD1B2">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300</w:t>
            </w:r>
          </w:p>
        </w:tc>
        <w:tc>
          <w:tcPr>
            <w:tcW w:w="992" w:type="dxa"/>
            <w:tcBorders>
              <w:top w:val="single" w:color="auto" w:sz="4" w:space="0"/>
              <w:left w:val="nil"/>
              <w:bottom w:val="single" w:color="auto" w:sz="4" w:space="0"/>
              <w:right w:val="nil"/>
            </w:tcBorders>
            <w:shd w:val="clear" w:color="auto" w:fill="auto"/>
            <w:noWrap/>
            <w:vAlign w:val="center"/>
          </w:tcPr>
          <w:p w14:paraId="515333E4">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237000</w:t>
            </w:r>
          </w:p>
        </w:tc>
        <w:tc>
          <w:tcPr>
            <w:tcW w:w="1863" w:type="dxa"/>
            <w:tcBorders>
              <w:top w:val="single" w:color="auto" w:sz="4" w:space="0"/>
              <w:left w:val="single" w:color="auto" w:sz="4" w:space="0"/>
              <w:bottom w:val="single" w:color="auto" w:sz="4" w:space="0"/>
              <w:right w:val="single" w:color="auto" w:sz="4" w:space="0"/>
            </w:tcBorders>
            <w:vAlign w:val="center"/>
          </w:tcPr>
          <w:p w14:paraId="69D4FD3F">
            <w:pPr>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0"/>
                <w:szCs w:val="21"/>
              </w:rPr>
            </w:pPr>
          </w:p>
          <w:p w14:paraId="7C1389F0">
            <w:pPr>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提供样品，实物必须与采购参数要求相符</w:t>
            </w:r>
          </w:p>
        </w:tc>
      </w:tr>
      <w:tr w14:paraId="70214F2B">
        <w:tblPrEx>
          <w:tblCellMar>
            <w:top w:w="0" w:type="dxa"/>
            <w:left w:w="108" w:type="dxa"/>
            <w:bottom w:w="0" w:type="dxa"/>
            <w:right w:w="108" w:type="dxa"/>
          </w:tblCellMar>
        </w:tblPrEx>
        <w:trPr>
          <w:trHeight w:val="1558"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825A3">
            <w:pPr>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1" w:type="dxa"/>
            <w:tcBorders>
              <w:top w:val="single" w:color="auto" w:sz="4" w:space="0"/>
              <w:left w:val="nil"/>
              <w:bottom w:val="single" w:color="auto" w:sz="4" w:space="0"/>
              <w:right w:val="single" w:color="auto" w:sz="4" w:space="0"/>
            </w:tcBorders>
            <w:shd w:val="clear" w:color="auto" w:fill="auto"/>
            <w:vAlign w:val="center"/>
          </w:tcPr>
          <w:p w14:paraId="0D3CCDCF">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肩章警示灯</w:t>
            </w:r>
          </w:p>
        </w:tc>
        <w:tc>
          <w:tcPr>
            <w:tcW w:w="4550" w:type="dxa"/>
            <w:tcBorders>
              <w:top w:val="single" w:color="auto" w:sz="4" w:space="0"/>
              <w:left w:val="nil"/>
              <w:bottom w:val="single" w:color="auto" w:sz="4" w:space="0"/>
              <w:right w:val="single" w:color="auto" w:sz="4" w:space="0"/>
            </w:tcBorders>
            <w:shd w:val="clear" w:color="auto" w:fill="auto"/>
            <w:vAlign w:val="center"/>
          </w:tcPr>
          <w:p w14:paraId="415C2C0A">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一、基本要求：</w:t>
            </w:r>
            <w:r>
              <w:rPr>
                <w:rFonts w:hint="eastAsia" w:ascii="仿宋_GB2312" w:hAnsi="仿宋_GB2312" w:eastAsia="仿宋_GB2312" w:cs="仿宋_GB2312"/>
                <w:color w:val="auto"/>
                <w:sz w:val="24"/>
              </w:rPr>
              <w:t>符合GA/T 2140-2024《警用肩灯》</w:t>
            </w:r>
            <w:r>
              <w:rPr>
                <w:rFonts w:hint="eastAsia" w:ascii="仿宋_GB2312" w:hAnsi="仿宋_GB2312" w:eastAsia="仿宋_GB2312" w:cs="仿宋_GB2312"/>
                <w:color w:val="auto"/>
                <w:sz w:val="24"/>
                <w:lang w:val="en-US" w:eastAsia="zh-CN"/>
              </w:rPr>
              <w:t>技术</w:t>
            </w:r>
            <w:r>
              <w:rPr>
                <w:rFonts w:hint="eastAsia" w:ascii="仿宋_GB2312" w:hAnsi="仿宋_GB2312" w:eastAsia="仿宋_GB2312" w:cs="仿宋_GB2312"/>
                <w:color w:val="auto"/>
                <w:sz w:val="24"/>
              </w:rPr>
              <w:t>标准要求</w:t>
            </w:r>
            <w:r>
              <w:rPr>
                <w:rFonts w:hint="eastAsia" w:ascii="仿宋_GB2312" w:hAnsi="仿宋_GB2312" w:eastAsia="仿宋_GB2312" w:cs="仿宋_GB2312"/>
                <w:color w:val="auto"/>
                <w:sz w:val="24"/>
                <w:lang w:eastAsia="zh-CN"/>
              </w:rPr>
              <w:t>。</w:t>
            </w:r>
          </w:p>
          <w:p w14:paraId="692A2C5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二、外观要求：</w:t>
            </w:r>
          </w:p>
          <w:p w14:paraId="57F85BDF">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1、外壳需定制交通执法徽标和“交通运输执法”字样，规格符合JT410—2022第4章的规定，</w:t>
            </w:r>
            <w:r>
              <w:rPr>
                <w:rFonts w:hint="eastAsia" w:ascii="仿宋_GB2312" w:hAnsi="仿宋_GB2312" w:eastAsia="仿宋_GB2312" w:cs="仿宋_GB2312"/>
                <w:color w:val="auto"/>
                <w:sz w:val="24"/>
              </w:rPr>
              <w:t>肩灯外观表面应光滑，无裂纹和明显的变形，不应有毛刺、起泡、腐蚀、划痕等缺陷。外露金属部件应无锈蚀</w:t>
            </w:r>
            <w:r>
              <w:rPr>
                <w:rFonts w:hint="eastAsia" w:ascii="仿宋_GB2312" w:hAnsi="仿宋_GB2312" w:eastAsia="仿宋_GB2312" w:cs="仿宋_GB2312"/>
                <w:color w:val="auto"/>
                <w:sz w:val="24"/>
                <w:lang w:eastAsia="zh-CN"/>
              </w:rPr>
              <w:t>；</w:t>
            </w:r>
          </w:p>
          <w:p w14:paraId="66CA9086">
            <w:pPr>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颜色：警用肩灯发光区域应可通过透明材质外壳交替发出红色、蓝色光</w:t>
            </w:r>
            <w:r>
              <w:rPr>
                <w:rFonts w:hint="eastAsia" w:ascii="仿宋_GB2312" w:hAnsi="仿宋_GB2312" w:eastAsia="仿宋_GB2312" w:cs="仿宋_GB2312"/>
                <w:color w:val="auto"/>
                <w:sz w:val="24"/>
                <w:lang w:eastAsia="zh-CN"/>
              </w:rPr>
              <w:t>。</w:t>
            </w:r>
          </w:p>
          <w:p w14:paraId="0C69DD83">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三、尺寸要求；≤78*35*31mm。</w:t>
            </w:r>
          </w:p>
          <w:p w14:paraId="118EF384">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四、</w:t>
            </w:r>
            <w:r>
              <w:rPr>
                <w:rFonts w:hint="eastAsia" w:ascii="仿宋_GB2312" w:hAnsi="仿宋_GB2312" w:eastAsia="仿宋_GB2312" w:cs="仿宋_GB2312"/>
                <w:color w:val="auto"/>
                <w:sz w:val="24"/>
              </w:rPr>
              <w:t>质量</w:t>
            </w:r>
            <w:r>
              <w:rPr>
                <w:rFonts w:hint="eastAsia" w:ascii="仿宋_GB2312" w:hAnsi="仿宋_GB2312" w:eastAsia="仿宋_GB2312" w:cs="仿宋_GB2312"/>
                <w:color w:val="auto"/>
                <w:sz w:val="24"/>
                <w:lang w:val="en-US" w:eastAsia="zh-CN"/>
              </w:rPr>
              <w:t>要求</w:t>
            </w:r>
            <w:r>
              <w:rPr>
                <w:rFonts w:hint="eastAsia" w:ascii="仿宋_GB2312" w:hAnsi="仿宋_GB2312" w:eastAsia="仿宋_GB2312" w:cs="仿宋_GB2312"/>
                <w:color w:val="auto"/>
                <w:sz w:val="24"/>
              </w:rPr>
              <w:t>：总质量（不含充电器）</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g</w:t>
            </w:r>
            <w:r>
              <w:rPr>
                <w:rFonts w:hint="eastAsia" w:ascii="仿宋_GB2312" w:hAnsi="仿宋_GB2312" w:eastAsia="仿宋_GB2312" w:cs="仿宋_GB2312"/>
                <w:color w:val="auto"/>
                <w:sz w:val="24"/>
                <w:lang w:eastAsia="zh-CN"/>
              </w:rPr>
              <w:t>。</w:t>
            </w:r>
          </w:p>
          <w:p w14:paraId="4BB07378">
            <w:pPr>
              <w:pageBreakBefore w:val="0"/>
              <w:numPr>
                <w:ilvl w:val="0"/>
                <w:numId w:val="7"/>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结构要求</w:t>
            </w:r>
            <w:r>
              <w:rPr>
                <w:rFonts w:hint="eastAsia" w:ascii="仿宋_GB2312" w:hAnsi="仿宋_GB2312" w:eastAsia="仿宋_GB2312" w:cs="仿宋_GB2312"/>
                <w:color w:val="auto"/>
                <w:sz w:val="24"/>
              </w:rPr>
              <w:t>：肩灯由发光单元(频闪发光单元及照明发光单元)、外壳、内置可充电电池、开关、肩袢挂扣、充电器等组成。频闪发光单元与照明发光单元应独立，应由同一按钮开关进行功能切换。频闪发光单元及照明发光单元均应使用发光二极管（LED）制成</w:t>
            </w:r>
            <w:r>
              <w:rPr>
                <w:rFonts w:hint="eastAsia" w:ascii="仿宋_GB2312" w:hAnsi="仿宋_GB2312" w:eastAsia="仿宋_GB2312" w:cs="仿宋_GB2312"/>
                <w:color w:val="auto"/>
                <w:sz w:val="24"/>
                <w:lang w:eastAsia="zh-CN"/>
              </w:rPr>
              <w:t>。</w:t>
            </w:r>
          </w:p>
          <w:p w14:paraId="13094097">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六、性能要求：</w:t>
            </w:r>
          </w:p>
          <w:p w14:paraId="5F152885">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1、工作时间；</w:t>
            </w:r>
            <w:r>
              <w:rPr>
                <w:rFonts w:hint="eastAsia" w:ascii="仿宋_GB2312" w:hAnsi="仿宋_GB2312" w:eastAsia="仿宋_GB2312" w:cs="仿宋_GB2312"/>
                <w:color w:val="auto"/>
                <w:sz w:val="24"/>
              </w:rPr>
              <w:t>频闪模式连续工作时间：完全充电状态进入频闪模式,连续工作时间</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28h，期间警用肩灯不应自动变换发光状态或熄灭</w:t>
            </w:r>
            <w:r>
              <w:rPr>
                <w:rFonts w:hint="eastAsia" w:ascii="仿宋_GB2312" w:hAnsi="仿宋_GB2312" w:eastAsia="仿宋_GB2312" w:cs="仿宋_GB2312"/>
                <w:color w:val="auto"/>
                <w:sz w:val="24"/>
                <w:lang w:eastAsia="zh-CN"/>
              </w:rPr>
              <w:t>；</w:t>
            </w:r>
          </w:p>
          <w:p w14:paraId="13B63296">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2、额定电压；5V；</w:t>
            </w:r>
          </w:p>
          <w:p w14:paraId="686C3CAB">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3、电池容量：≥500毫安；</w:t>
            </w:r>
          </w:p>
          <w:p w14:paraId="43A12AC9">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4、工作功能，具有四种模式，前闪，后闪，前后同时闪烁，照明； </w:t>
            </w:r>
          </w:p>
          <w:p w14:paraId="435F115F">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5、辨识可视距离：≥500m；</w:t>
            </w:r>
          </w:p>
          <w:p w14:paraId="5AFE5280">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6、闪光颜色：红、蓝；</w:t>
            </w:r>
          </w:p>
          <w:p w14:paraId="45010C41">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7、照明功能：</w:t>
            </w:r>
            <w:r>
              <w:rPr>
                <w:rFonts w:hint="eastAsia" w:ascii="仿宋_GB2312" w:hAnsi="仿宋_GB2312" w:eastAsia="仿宋_GB2312" w:cs="仿宋_GB2312"/>
                <w:color w:val="auto"/>
                <w:sz w:val="24"/>
              </w:rPr>
              <w:t>初始照度：照明模式时，据光源300 mm处光斑中心初始照度应为250 lx～300 lx</w:t>
            </w:r>
            <w:r>
              <w:rPr>
                <w:rFonts w:hint="eastAsia" w:ascii="仿宋_GB2312" w:hAnsi="仿宋_GB2312" w:eastAsia="仿宋_GB2312" w:cs="仿宋_GB2312"/>
                <w:color w:val="auto"/>
                <w:sz w:val="24"/>
                <w:lang w:eastAsia="zh-CN"/>
              </w:rPr>
              <w:t>；</w:t>
            </w:r>
          </w:p>
          <w:p w14:paraId="0F39CFFE">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r>
              <w:rPr>
                <w:rFonts w:hint="eastAsia" w:ascii="仿宋_GB2312" w:hAnsi="仿宋_GB2312" w:eastAsia="仿宋_GB2312" w:cs="仿宋_GB2312"/>
                <w:color w:val="auto"/>
                <w:sz w:val="24"/>
              </w:rPr>
              <w:t>、照明模式连续工作时间：完全充电状态进入照明模式，连续工作2h，期间警用肩灯不应自动变换发光状态或熄灭，距光源 300 mm 处光斑中心照度应大于或等于 80 lx</w:t>
            </w:r>
            <w:r>
              <w:rPr>
                <w:rFonts w:hint="eastAsia" w:ascii="仿宋_GB2312" w:hAnsi="仿宋_GB2312" w:eastAsia="仿宋_GB2312" w:cs="仿宋_GB2312"/>
                <w:color w:val="auto"/>
                <w:sz w:val="24"/>
                <w:lang w:eastAsia="zh-CN"/>
              </w:rPr>
              <w:t>；</w:t>
            </w:r>
          </w:p>
          <w:p w14:paraId="17A0E5CC">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、充电接口：警用肩灯使用USB Type-C充电接口</w:t>
            </w:r>
            <w:r>
              <w:rPr>
                <w:rFonts w:hint="eastAsia" w:ascii="仿宋_GB2312" w:hAnsi="仿宋_GB2312" w:eastAsia="仿宋_GB2312" w:cs="仿宋_GB2312"/>
                <w:color w:val="auto"/>
                <w:sz w:val="24"/>
                <w:lang w:val="en-US" w:eastAsia="zh-CN"/>
              </w:rPr>
              <w:t>.</w:t>
            </w:r>
          </w:p>
          <w:p w14:paraId="12F105B9">
            <w:pPr>
              <w:pageBreakBefore w:val="0"/>
              <w:numPr>
                <w:ilvl w:val="0"/>
                <w:numId w:val="7"/>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功能</w:t>
            </w:r>
            <w:r>
              <w:rPr>
                <w:rFonts w:hint="eastAsia" w:ascii="仿宋_GB2312" w:hAnsi="仿宋_GB2312" w:eastAsia="仿宋_GB2312" w:cs="仿宋_GB2312"/>
                <w:color w:val="auto"/>
                <w:sz w:val="24"/>
                <w:lang w:val="en-US" w:eastAsia="zh-CN"/>
              </w:rPr>
              <w:t>要求</w:t>
            </w:r>
            <w:r>
              <w:rPr>
                <w:rFonts w:hint="eastAsia" w:ascii="仿宋_GB2312" w:hAnsi="仿宋_GB2312" w:eastAsia="仿宋_GB2312" w:cs="仿宋_GB2312"/>
                <w:color w:val="auto"/>
                <w:sz w:val="24"/>
              </w:rPr>
              <w:t>：</w:t>
            </w:r>
          </w:p>
          <w:p w14:paraId="23333307">
            <w:pPr>
              <w:pageBreakBefore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警用肩灯应具有照明模式及频闪模式，通过单一控制按钮进行开关及模式切换。照明模式与频闪模式应独立工作。开启警用肩灯后应直接进入频闪模式，在频闪模式中任意时间按压一次开关即可切换到照明模式</w:t>
            </w:r>
            <w:r>
              <w:rPr>
                <w:rFonts w:hint="eastAsia" w:ascii="仿宋_GB2312" w:hAnsi="仿宋_GB2312" w:eastAsia="仿宋_GB2312" w:cs="仿宋_GB2312"/>
                <w:color w:val="auto"/>
                <w:sz w:val="24"/>
                <w:lang w:eastAsia="zh-CN"/>
              </w:rPr>
              <w:t>；</w:t>
            </w:r>
          </w:p>
          <w:p w14:paraId="1B62672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、电量提示功能：警用肩灯应具有电量提示功能，欠压及充满电状况均应有提示。 绿灯亮表示当前电量充足，红灯亮则表示当前电量低下，提示灯2秒后自动关闭。欠压时红光指示灯会持续闪烁</w:t>
            </w:r>
            <w:r>
              <w:rPr>
                <w:rFonts w:hint="eastAsia" w:ascii="仿宋_GB2312" w:hAnsi="仿宋_GB2312" w:eastAsia="仿宋_GB2312" w:cs="仿宋_GB2312"/>
                <w:color w:val="auto"/>
                <w:sz w:val="24"/>
                <w:lang w:eastAsia="zh-CN"/>
              </w:rPr>
              <w:t>；</w:t>
            </w:r>
          </w:p>
          <w:p w14:paraId="3DD488E3">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、频闪模式：频闪模式最大发光强度：全部频闪发光单元同时点亮时的最大发光强度应为2cd～4cd。频闪频率：警用肩灯分为3段频率：慢闪3hz±1hz、中闪5hz±1hz、快闪8hz±1hz</w:t>
            </w:r>
            <w:r>
              <w:rPr>
                <w:rFonts w:hint="eastAsia" w:ascii="仿宋_GB2312" w:hAnsi="仿宋_GB2312" w:eastAsia="仿宋_GB2312" w:cs="仿宋_GB2312"/>
                <w:color w:val="auto"/>
                <w:sz w:val="24"/>
                <w:lang w:eastAsia="zh-CN"/>
              </w:rPr>
              <w:t>；</w:t>
            </w:r>
          </w:p>
          <w:p w14:paraId="190A42EB">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、佩戴方式：肩袢挂扣应可进行旋转以配合调整佩戴方向。金属挂扣带有磁性，可吸附在金属表面</w:t>
            </w:r>
            <w:r>
              <w:rPr>
                <w:rFonts w:hint="eastAsia" w:ascii="仿宋_GB2312" w:hAnsi="仿宋_GB2312" w:eastAsia="仿宋_GB2312" w:cs="仿宋_GB2312"/>
                <w:color w:val="auto"/>
                <w:sz w:val="24"/>
                <w:lang w:eastAsia="zh-CN"/>
              </w:rPr>
              <w:t>；</w:t>
            </w:r>
          </w:p>
          <w:p w14:paraId="339175CB">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、挡光板：设置遮光板或防止闪光影响警员的装置或部件</w:t>
            </w:r>
            <w:r>
              <w:rPr>
                <w:rFonts w:hint="eastAsia" w:ascii="仿宋_GB2312" w:hAnsi="仿宋_GB2312" w:eastAsia="仿宋_GB2312" w:cs="仿宋_GB2312"/>
                <w:color w:val="auto"/>
                <w:sz w:val="24"/>
                <w:lang w:eastAsia="zh-CN"/>
              </w:rPr>
              <w:t>。</w:t>
            </w:r>
          </w:p>
          <w:p w14:paraId="65E34F81">
            <w:pPr>
              <w:pageBreakBefore w:val="0"/>
              <w:numPr>
                <w:ilvl w:val="0"/>
                <w:numId w:val="7"/>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可靠性要求：</w:t>
            </w:r>
          </w:p>
          <w:p w14:paraId="16379D0E">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、开关可靠性：以（20次～30次）/ min频率触压开关10000次，开关功能应正常</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 xml:space="preserve"> </w:t>
            </w:r>
          </w:p>
          <w:p w14:paraId="6969E708">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、跌落可靠性：警用肩灯自1.8 m高度自由落下，各组成部件应无松动脱落、开裂、破碎</w:t>
            </w:r>
            <w:r>
              <w:rPr>
                <w:rFonts w:hint="eastAsia" w:ascii="仿宋_GB2312" w:hAnsi="仿宋_GB2312" w:eastAsia="仿宋_GB2312" w:cs="仿宋_GB2312"/>
                <w:color w:val="auto"/>
                <w:sz w:val="24"/>
                <w:lang w:eastAsia="zh-CN"/>
              </w:rPr>
              <w:t>；</w:t>
            </w:r>
          </w:p>
          <w:p w14:paraId="31764CFD">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、静电放电抗扰度：警用肩灯静电放电抗扰度应符合GB/T 17626.2-2018中等级3的规定,试验中允许出现功能或性能暂时丧失或降低，但在骚扰停止后应能自行恢复，不需要操作者干预</w:t>
            </w:r>
            <w:r>
              <w:rPr>
                <w:rFonts w:hint="eastAsia" w:ascii="仿宋_GB2312" w:hAnsi="仿宋_GB2312" w:eastAsia="仿宋_GB2312" w:cs="仿宋_GB2312"/>
                <w:color w:val="auto"/>
                <w:sz w:val="24"/>
                <w:lang w:eastAsia="zh-CN"/>
              </w:rPr>
              <w:t>；</w:t>
            </w:r>
          </w:p>
          <w:p w14:paraId="18B92CAD">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、外壳防护等级：警用肩灯的外壳防护等级应符合GB/T 4208-2017中IP56的规定</w:t>
            </w:r>
            <w:r>
              <w:rPr>
                <w:rFonts w:hint="eastAsia" w:ascii="仿宋_GB2312" w:hAnsi="仿宋_GB2312" w:eastAsia="仿宋_GB2312" w:cs="仿宋_GB2312"/>
                <w:color w:val="auto"/>
                <w:sz w:val="24"/>
                <w:lang w:eastAsia="zh-CN"/>
              </w:rPr>
              <w:t>；</w:t>
            </w:r>
          </w:p>
          <w:p w14:paraId="14F6C8AC">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、外壳温升：警用肩灯的外壳温升应小于或等于25K</w:t>
            </w:r>
            <w:r>
              <w:rPr>
                <w:rFonts w:hint="eastAsia" w:ascii="仿宋_GB2312" w:hAnsi="仿宋_GB2312" w:eastAsia="仿宋_GB2312" w:cs="仿宋_GB2312"/>
                <w:color w:val="auto"/>
                <w:sz w:val="24"/>
                <w:lang w:eastAsia="zh-CN"/>
              </w:rPr>
              <w:t>；</w:t>
            </w:r>
          </w:p>
          <w:p w14:paraId="4CFA6018">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、温度适应性：警用肩灯在-20℃～55℃的温度条件下,保持4h，应能正常工作</w:t>
            </w:r>
            <w:r>
              <w:rPr>
                <w:rFonts w:hint="eastAsia" w:ascii="仿宋_GB2312" w:hAnsi="仿宋_GB2312" w:eastAsia="仿宋_GB2312" w:cs="仿宋_GB2312"/>
                <w:color w:val="auto"/>
                <w:sz w:val="24"/>
                <w:lang w:eastAsia="zh-CN"/>
              </w:rPr>
              <w:t>；</w:t>
            </w:r>
          </w:p>
          <w:p w14:paraId="5F6892BE">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、耐盐雾：警用肩灯经受盐雾腐蚀试验后应能正常启动，金属件应无锈蚀现象，壳体不应出现变形或裂纹</w:t>
            </w:r>
            <w:r>
              <w:rPr>
                <w:rFonts w:hint="eastAsia" w:ascii="仿宋_GB2312" w:hAnsi="仿宋_GB2312" w:eastAsia="仿宋_GB2312" w:cs="仿宋_GB2312"/>
                <w:color w:val="auto"/>
                <w:sz w:val="24"/>
                <w:lang w:eastAsia="zh-CN"/>
              </w:rPr>
              <w:t>。</w:t>
            </w:r>
          </w:p>
          <w:p w14:paraId="2D6AA687">
            <w:pPr>
              <w:pageBreakBefore w:val="0"/>
              <w:kinsoku/>
              <w:wordWrap/>
              <w:topLinePunct w:val="0"/>
              <w:bidi w:val="0"/>
              <w:snapToGrid/>
              <w:spacing w:line="340" w:lineRule="exac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七、</w:t>
            </w:r>
            <w:r>
              <w:rPr>
                <w:rFonts w:hint="eastAsia" w:ascii="仿宋_GB2312" w:hAnsi="仿宋_GB2312" w:eastAsia="仿宋_GB2312" w:cs="仿宋_GB2312"/>
                <w:color w:val="auto"/>
                <w:sz w:val="24"/>
              </w:rPr>
              <w:t>货物免费保修期内，设备制造商要免费为设备及设备中包含的软硬件提供免费维护及升级的服务，需提供设备制造商书面承诺函(格式自定)并加盖设备制造商的公章</w:t>
            </w:r>
            <w:r>
              <w:rPr>
                <w:rFonts w:hint="eastAsia" w:ascii="仿宋_GB2312" w:hAnsi="仿宋_GB2312" w:eastAsia="仿宋_GB2312" w:cs="仿宋_GB2312"/>
                <w:color w:val="auto"/>
                <w:sz w:val="24"/>
                <w:lang w:eastAsia="zh-CN"/>
              </w:rPr>
              <w:t>。</w:t>
            </w:r>
          </w:p>
          <w:p w14:paraId="4BF7200D">
            <w:pPr>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highlight w:val="none"/>
                <w:lang w:val="en-US" w:eastAsia="zh-CN"/>
              </w:rPr>
              <w:t>八、上述“</w:t>
            </w:r>
            <w:r>
              <w:rPr>
                <w:rFonts w:hint="eastAsia" w:ascii="仿宋_GB2312" w:hAnsi="仿宋_GB2312" w:eastAsia="仿宋_GB2312" w:cs="仿宋_GB2312"/>
                <w:i w:val="0"/>
                <w:iCs w:val="0"/>
                <w:color w:val="auto"/>
                <w:kern w:val="0"/>
                <w:sz w:val="24"/>
                <w:szCs w:val="24"/>
                <w:highlight w:val="none"/>
                <w:u w:val="none"/>
                <w:lang w:val="en-US" w:eastAsia="zh-CN" w:bidi="ar"/>
              </w:rPr>
              <w:t>▲</w:t>
            </w:r>
            <w:r>
              <w:rPr>
                <w:rFonts w:hint="eastAsia" w:ascii="仿宋_GB2312" w:hAnsi="仿宋_GB2312" w:eastAsia="仿宋_GB2312" w:cs="仿宋_GB2312"/>
                <w:color w:val="auto"/>
                <w:sz w:val="24"/>
                <w:szCs w:val="24"/>
                <w:highlight w:val="none"/>
                <w:lang w:val="en-US" w:eastAsia="zh-CN"/>
              </w:rPr>
              <w:t>”指标，竞标时需提供</w:t>
            </w:r>
            <w:r>
              <w:rPr>
                <w:rFonts w:hint="eastAsia" w:ascii="仿宋_GB2312" w:hAnsi="仿宋_GB2312" w:eastAsia="仿宋_GB2312" w:cs="仿宋_GB2312"/>
                <w:color w:val="auto"/>
                <w:sz w:val="24"/>
                <w:szCs w:val="24"/>
              </w:rPr>
              <w:t>提供公安部产品质量监督检验中心出具的产品检验报告</w:t>
            </w:r>
            <w:r>
              <w:rPr>
                <w:rFonts w:hint="eastAsia" w:ascii="仿宋_GB2312" w:hAnsi="仿宋_GB2312" w:eastAsia="仿宋_GB2312" w:cs="仿宋_GB2312"/>
                <w:color w:val="auto"/>
                <w:sz w:val="24"/>
                <w:szCs w:val="24"/>
                <w:lang w:val="en-US" w:eastAsia="zh-CN"/>
              </w:rPr>
              <w:t>原件扫描件</w:t>
            </w:r>
            <w:r>
              <w:rPr>
                <w:rFonts w:hint="eastAsia" w:ascii="仿宋_GB2312" w:hAnsi="仿宋_GB2312" w:eastAsia="仿宋_GB2312" w:cs="仿宋_GB2312"/>
                <w:color w:val="auto"/>
                <w:sz w:val="24"/>
                <w:szCs w:val="24"/>
              </w:rPr>
              <w:t>并加盖</w:t>
            </w:r>
            <w:r>
              <w:rPr>
                <w:rFonts w:hint="eastAsia" w:ascii="仿宋_GB2312" w:hAnsi="仿宋_GB2312" w:eastAsia="仿宋_GB2312" w:cs="仿宋_GB2312"/>
                <w:color w:val="auto"/>
                <w:sz w:val="24"/>
                <w:szCs w:val="24"/>
                <w:lang w:val="en-US" w:eastAsia="zh-CN"/>
              </w:rPr>
              <w:t>生产厂家及供应商</w:t>
            </w:r>
            <w:r>
              <w:rPr>
                <w:rFonts w:hint="eastAsia" w:ascii="仿宋_GB2312" w:hAnsi="仿宋_GB2312" w:eastAsia="仿宋_GB2312" w:cs="仿宋_GB2312"/>
                <w:color w:val="auto"/>
                <w:sz w:val="24"/>
                <w:szCs w:val="24"/>
              </w:rPr>
              <w:t>单位公章</w:t>
            </w:r>
            <w:r>
              <w:rPr>
                <w:rFonts w:hint="eastAsia" w:ascii="仿宋_GB2312" w:hAnsi="仿宋_GB2312" w:eastAsia="仿宋_GB2312" w:cs="仿宋_GB2312"/>
                <w:color w:val="auto"/>
                <w:sz w:val="24"/>
                <w:szCs w:val="24"/>
                <w:lang w:val="en-US" w:eastAsia="zh-CN"/>
              </w:rPr>
              <w:t>，同时提供原件核查，</w:t>
            </w:r>
            <w:r>
              <w:rPr>
                <w:rFonts w:hint="eastAsia" w:ascii="仿宋_GB2312" w:hAnsi="仿宋_GB2312" w:eastAsia="仿宋_GB2312" w:cs="仿宋_GB2312"/>
                <w:color w:val="auto"/>
                <w:sz w:val="24"/>
              </w:rPr>
              <w:t>确保所有技术参数、功能均可满足采购文件要求</w:t>
            </w:r>
            <w:r>
              <w:rPr>
                <w:rFonts w:hint="eastAsia" w:ascii="仿宋_GB2312" w:hAnsi="仿宋_GB2312" w:eastAsia="仿宋_GB2312" w:cs="仿宋_GB2312"/>
                <w:color w:val="auto"/>
                <w:sz w:val="24"/>
                <w:lang w:val="en-US" w:eastAsia="zh-CN"/>
              </w:rPr>
              <w:t>。</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2EEED9A">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1460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5118FFB5">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65</w:t>
            </w:r>
          </w:p>
        </w:tc>
        <w:tc>
          <w:tcPr>
            <w:tcW w:w="992" w:type="dxa"/>
            <w:tcBorders>
              <w:top w:val="single" w:color="auto" w:sz="4" w:space="0"/>
              <w:left w:val="nil"/>
              <w:bottom w:val="single" w:color="auto" w:sz="4" w:space="0"/>
              <w:right w:val="nil"/>
            </w:tcBorders>
            <w:shd w:val="clear" w:color="auto" w:fill="auto"/>
            <w:noWrap/>
            <w:vAlign w:val="center"/>
          </w:tcPr>
          <w:p w14:paraId="2139BCB4">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94900</w:t>
            </w:r>
          </w:p>
        </w:tc>
        <w:tc>
          <w:tcPr>
            <w:tcW w:w="1863" w:type="dxa"/>
            <w:tcBorders>
              <w:top w:val="single" w:color="auto" w:sz="4" w:space="0"/>
              <w:left w:val="single" w:color="auto" w:sz="4" w:space="0"/>
              <w:bottom w:val="single" w:color="auto" w:sz="4" w:space="0"/>
              <w:right w:val="single" w:color="auto" w:sz="4" w:space="0"/>
            </w:tcBorders>
            <w:vAlign w:val="center"/>
          </w:tcPr>
          <w:p w14:paraId="19CB2A4C">
            <w:pPr>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0"/>
                <w:szCs w:val="21"/>
              </w:rPr>
            </w:pPr>
          </w:p>
          <w:p w14:paraId="66F4D681">
            <w:pPr>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提供样品，实物必须与采购参数要求相符</w:t>
            </w:r>
          </w:p>
        </w:tc>
      </w:tr>
      <w:tr w14:paraId="683BD45D">
        <w:tblPrEx>
          <w:tblCellMar>
            <w:top w:w="0" w:type="dxa"/>
            <w:left w:w="108" w:type="dxa"/>
            <w:bottom w:w="0" w:type="dxa"/>
            <w:right w:w="108" w:type="dxa"/>
          </w:tblCellMar>
        </w:tblPrEx>
        <w:trPr>
          <w:trHeight w:val="1558"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4B5D4">
            <w:pPr>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951" w:type="dxa"/>
            <w:tcBorders>
              <w:top w:val="single" w:color="auto" w:sz="4" w:space="0"/>
              <w:left w:val="nil"/>
              <w:bottom w:val="single" w:color="auto" w:sz="4" w:space="0"/>
              <w:right w:val="single" w:color="auto" w:sz="4" w:space="0"/>
            </w:tcBorders>
            <w:shd w:val="clear" w:color="auto" w:fill="auto"/>
            <w:vAlign w:val="center"/>
          </w:tcPr>
          <w:p w14:paraId="57E598BE">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安全帽</w:t>
            </w:r>
          </w:p>
        </w:tc>
        <w:tc>
          <w:tcPr>
            <w:tcW w:w="4550" w:type="dxa"/>
            <w:tcBorders>
              <w:top w:val="single" w:color="auto" w:sz="4" w:space="0"/>
              <w:left w:val="nil"/>
              <w:bottom w:val="single" w:color="auto" w:sz="4" w:space="0"/>
              <w:right w:val="single" w:color="auto" w:sz="4" w:space="0"/>
            </w:tcBorders>
            <w:shd w:val="clear" w:color="auto" w:fill="auto"/>
            <w:vAlign w:val="center"/>
          </w:tcPr>
          <w:p w14:paraId="3424FA8E">
            <w:pPr>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 w:val="24"/>
                <w:lang w:val="en-US" w:eastAsia="zh-CN"/>
              </w:rPr>
              <w:t>一、基本要求：</w:t>
            </w:r>
            <w:r>
              <w:rPr>
                <w:rFonts w:hint="eastAsia" w:ascii="仿宋_GB2312" w:hAnsi="仿宋_GB2312" w:eastAsia="仿宋_GB2312" w:cs="仿宋_GB2312"/>
                <w:color w:val="auto"/>
                <w:sz w:val="24"/>
              </w:rPr>
              <w:t>符合</w:t>
            </w:r>
            <w:r>
              <w:rPr>
                <w:rFonts w:hint="eastAsia" w:ascii="仿宋_GB2312" w:hAnsi="仿宋_GB2312" w:eastAsia="仿宋_GB2312" w:cs="仿宋_GB2312"/>
                <w:color w:val="auto"/>
                <w:szCs w:val="21"/>
              </w:rPr>
              <w:t>GB2811-2019《头部防护 安全帽》</w:t>
            </w:r>
            <w:r>
              <w:rPr>
                <w:rFonts w:hint="eastAsia" w:ascii="仿宋_GB2312" w:hAnsi="仿宋_GB2312" w:eastAsia="仿宋_GB2312" w:cs="仿宋_GB2312"/>
                <w:color w:val="auto"/>
                <w:szCs w:val="21"/>
                <w:lang w:val="en-US" w:eastAsia="zh-CN"/>
              </w:rPr>
              <w:t>技术</w:t>
            </w:r>
            <w:r>
              <w:rPr>
                <w:rFonts w:hint="eastAsia" w:ascii="仿宋_GB2312" w:hAnsi="仿宋_GB2312" w:eastAsia="仿宋_GB2312" w:cs="仿宋_GB2312"/>
                <w:color w:val="auto"/>
                <w:szCs w:val="21"/>
              </w:rPr>
              <w:t>标准要求</w:t>
            </w:r>
            <w:r>
              <w:rPr>
                <w:rFonts w:hint="eastAsia" w:ascii="仿宋_GB2312" w:hAnsi="仿宋_GB2312" w:eastAsia="仿宋_GB2312" w:cs="仿宋_GB2312"/>
                <w:color w:val="auto"/>
                <w:szCs w:val="21"/>
                <w:lang w:eastAsia="zh-CN"/>
              </w:rPr>
              <w:t>。</w:t>
            </w:r>
          </w:p>
          <w:p w14:paraId="5CB63A36">
            <w:pPr>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二、</w:t>
            </w:r>
            <w:r>
              <w:rPr>
                <w:rFonts w:hint="eastAsia" w:ascii="仿宋_GB2312" w:hAnsi="仿宋_GB2312" w:eastAsia="仿宋_GB2312" w:cs="仿宋_GB2312"/>
                <w:color w:val="auto"/>
                <w:sz w:val="24"/>
              </w:rPr>
              <w:t>外观</w:t>
            </w:r>
            <w:r>
              <w:rPr>
                <w:rFonts w:hint="eastAsia" w:ascii="仿宋_GB2312" w:hAnsi="仿宋_GB2312" w:eastAsia="仿宋_GB2312" w:cs="仿宋_GB2312"/>
                <w:color w:val="auto"/>
                <w:sz w:val="24"/>
                <w:lang w:val="en-US" w:eastAsia="zh-CN"/>
              </w:rPr>
              <w:t>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安全帽正前方需定制交通执法徽标，规格符合JT410—2022第4章的规定；</w:t>
            </w:r>
            <w:r>
              <w:rPr>
                <w:rFonts w:hint="eastAsia" w:ascii="仿宋_GB2312" w:hAnsi="仿宋_GB2312" w:eastAsia="仿宋_GB2312" w:cs="仿宋_GB2312"/>
                <w:color w:val="auto"/>
                <w:sz w:val="24"/>
              </w:rPr>
              <w:t>帽壳外部贴高可视反光材料</w:t>
            </w:r>
            <w:r>
              <w:rPr>
                <w:rFonts w:hint="eastAsia" w:ascii="仿宋_GB2312" w:hAnsi="仿宋_GB2312" w:eastAsia="仿宋_GB2312" w:cs="仿宋_GB2312"/>
                <w:color w:val="auto"/>
                <w:sz w:val="24"/>
                <w:lang w:eastAsia="zh-CN"/>
              </w:rPr>
              <w:t>。</w:t>
            </w:r>
          </w:p>
          <w:p w14:paraId="18E730CB">
            <w:pPr>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三、规格和尺寸要求：</w:t>
            </w:r>
          </w:p>
          <w:p w14:paraId="0938EEB3">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、规格：14*24*29.5cm（±1cm）；抗压、绝缘、防护、有透气孔；</w:t>
            </w:r>
          </w:p>
          <w:p w14:paraId="3200EAC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：帽箍:帽箍应可根据安全帽标识中明示的适用头围尺寸进行调整</w:t>
            </w:r>
            <w:r>
              <w:rPr>
                <w:rFonts w:hint="eastAsia" w:ascii="仿宋_GB2312" w:hAnsi="仿宋_GB2312" w:eastAsia="仿宋_GB2312" w:cs="仿宋_GB2312"/>
                <w:color w:val="auto"/>
                <w:sz w:val="24"/>
                <w:lang w:eastAsia="zh-CN"/>
              </w:rPr>
              <w:t>；</w:t>
            </w:r>
          </w:p>
          <w:p w14:paraId="7464126B">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、吸汗带：帽箍对应前额的区域应有吸汗性织物或增加吸汗带,吸汗带宽度应不小于帽箍的宽度</w:t>
            </w:r>
            <w:r>
              <w:rPr>
                <w:rFonts w:hint="eastAsia" w:ascii="仿宋_GB2312" w:hAnsi="仿宋_GB2312" w:eastAsia="仿宋_GB2312" w:cs="仿宋_GB2312"/>
                <w:color w:val="auto"/>
                <w:sz w:val="24"/>
                <w:lang w:eastAsia="zh-CN"/>
              </w:rPr>
              <w:t>；</w:t>
            </w:r>
          </w:p>
          <w:p w14:paraId="342D533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、下颏带尺寸：</w:t>
            </w:r>
            <w:r>
              <w:rPr>
                <w:rFonts w:hint="eastAsia" w:ascii="仿宋_GB2312" w:hAnsi="仿宋_GB2312" w:eastAsia="仿宋_GB2312" w:cs="仿宋_GB2312"/>
                <w:color w:val="auto"/>
                <w:sz w:val="24"/>
                <w:lang w:val="en-US" w:eastAsia="zh-CN"/>
              </w:rPr>
              <w:t>宽度 ≥10mm或直径 ≥5mm；</w:t>
            </w:r>
          </w:p>
          <w:p w14:paraId="433DCF64">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、帽壳：帽壳表面不能有气泡、缺损及其他有损性能的缺陷</w:t>
            </w:r>
            <w:r>
              <w:rPr>
                <w:rFonts w:hint="eastAsia" w:ascii="仿宋_GB2312" w:hAnsi="仿宋_GB2312" w:eastAsia="仿宋_GB2312" w:cs="仿宋_GB2312"/>
                <w:color w:val="auto"/>
                <w:sz w:val="24"/>
                <w:lang w:eastAsia="zh-CN"/>
              </w:rPr>
              <w:t>；</w:t>
            </w:r>
          </w:p>
          <w:p w14:paraId="2465E15B">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、部件安装：安全帽各部件的安装应牢固,无松脱、滑落现象</w:t>
            </w:r>
            <w:r>
              <w:rPr>
                <w:rFonts w:hint="eastAsia" w:ascii="仿宋_GB2312" w:hAnsi="仿宋_GB2312" w:eastAsia="仿宋_GB2312" w:cs="仿宋_GB2312"/>
                <w:color w:val="auto"/>
                <w:sz w:val="24"/>
                <w:lang w:eastAsia="zh-CN"/>
              </w:rPr>
              <w:t>；</w:t>
            </w:r>
          </w:p>
          <w:p w14:paraId="544DCCD6">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、帽舌：帽舌应≤70mm</w:t>
            </w:r>
            <w:r>
              <w:rPr>
                <w:rFonts w:hint="eastAsia" w:ascii="仿宋_GB2312" w:hAnsi="仿宋_GB2312" w:eastAsia="仿宋_GB2312" w:cs="仿宋_GB2312"/>
                <w:color w:val="auto"/>
                <w:sz w:val="24"/>
                <w:lang w:eastAsia="zh-CN"/>
              </w:rPr>
              <w:t>；</w:t>
            </w:r>
          </w:p>
          <w:p w14:paraId="38FC8E5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8</w:t>
            </w:r>
            <w:r>
              <w:rPr>
                <w:rFonts w:hint="eastAsia" w:ascii="仿宋_GB2312" w:hAnsi="仿宋_GB2312" w:eastAsia="仿宋_GB2312" w:cs="仿宋_GB2312"/>
                <w:color w:val="auto"/>
                <w:sz w:val="24"/>
              </w:rPr>
              <w:t>、帽沿：帽沿应≤70mm</w:t>
            </w:r>
            <w:r>
              <w:rPr>
                <w:rFonts w:hint="eastAsia" w:ascii="仿宋_GB2312" w:hAnsi="仿宋_GB2312" w:eastAsia="仿宋_GB2312" w:cs="仿宋_GB2312"/>
                <w:color w:val="auto"/>
                <w:sz w:val="24"/>
                <w:lang w:eastAsia="zh-CN"/>
              </w:rPr>
              <w:t>；</w:t>
            </w:r>
          </w:p>
          <w:p w14:paraId="0360B1A8">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、佩戴高度：佩戴高度应≥80mm</w:t>
            </w:r>
            <w:r>
              <w:rPr>
                <w:rFonts w:hint="eastAsia" w:ascii="仿宋_GB2312" w:hAnsi="仿宋_GB2312" w:eastAsia="仿宋_GB2312" w:cs="仿宋_GB2312"/>
                <w:color w:val="auto"/>
                <w:sz w:val="24"/>
                <w:lang w:eastAsia="zh-CN"/>
              </w:rPr>
              <w:t>；</w:t>
            </w:r>
          </w:p>
          <w:p w14:paraId="1E0ED7BD">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、垂直间距：垂直间距应≤50mm</w:t>
            </w:r>
            <w:r>
              <w:rPr>
                <w:rFonts w:hint="eastAsia" w:ascii="仿宋_GB2312" w:hAnsi="仿宋_GB2312" w:eastAsia="仿宋_GB2312" w:cs="仿宋_GB2312"/>
                <w:color w:val="auto"/>
                <w:sz w:val="24"/>
                <w:lang w:eastAsia="zh-CN"/>
              </w:rPr>
              <w:t>；</w:t>
            </w:r>
          </w:p>
          <w:p w14:paraId="55217540">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、水平间距：水平间距应≥6mm</w:t>
            </w:r>
            <w:r>
              <w:rPr>
                <w:rFonts w:hint="eastAsia" w:ascii="仿宋_GB2312" w:hAnsi="仿宋_GB2312" w:eastAsia="仿宋_GB2312" w:cs="仿宋_GB2312"/>
                <w:color w:val="auto"/>
                <w:sz w:val="24"/>
                <w:lang w:eastAsia="zh-CN"/>
              </w:rPr>
              <w:t>；</w:t>
            </w:r>
          </w:p>
          <w:p w14:paraId="65BA662E">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、帽壳内突出物：帽壳内侧与帽衬之间存在的尖锐锋利突出物高度不得超过6mm,突出物应有软垫覆盖</w:t>
            </w:r>
            <w:r>
              <w:rPr>
                <w:rFonts w:hint="eastAsia" w:ascii="仿宋_GB2312" w:hAnsi="仿宋_GB2312" w:eastAsia="仿宋_GB2312" w:cs="仿宋_GB2312"/>
                <w:color w:val="auto"/>
                <w:sz w:val="24"/>
                <w:lang w:eastAsia="zh-CN"/>
              </w:rPr>
              <w:t>；</w:t>
            </w:r>
          </w:p>
          <w:p w14:paraId="6B3C617D">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、通气孔：当帽壳留有通气孔时,通气孔总面积不应大于450mm2</w:t>
            </w:r>
            <w:r>
              <w:rPr>
                <w:rFonts w:hint="eastAsia" w:ascii="仿宋_GB2312" w:hAnsi="仿宋_GB2312" w:eastAsia="仿宋_GB2312" w:cs="仿宋_GB2312"/>
                <w:color w:val="auto"/>
                <w:sz w:val="24"/>
                <w:lang w:eastAsia="zh-CN"/>
              </w:rPr>
              <w:t>。</w:t>
            </w:r>
          </w:p>
          <w:p w14:paraId="0522A7B0">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四、</w:t>
            </w:r>
            <w:r>
              <w:rPr>
                <w:rFonts w:hint="eastAsia" w:ascii="仿宋_GB2312" w:hAnsi="仿宋_GB2312" w:eastAsia="仿宋_GB2312" w:cs="仿宋_GB2312"/>
                <w:color w:val="auto"/>
                <w:sz w:val="24"/>
              </w:rPr>
              <w:t>质量</w:t>
            </w:r>
            <w:r>
              <w:rPr>
                <w:rFonts w:hint="eastAsia" w:ascii="仿宋_GB2312" w:hAnsi="仿宋_GB2312" w:eastAsia="仿宋_GB2312" w:cs="仿宋_GB2312"/>
                <w:color w:val="auto"/>
                <w:sz w:val="24"/>
                <w:lang w:val="en-US" w:eastAsia="zh-CN"/>
              </w:rPr>
              <w:t>要求</w:t>
            </w:r>
            <w:r>
              <w:rPr>
                <w:rFonts w:hint="eastAsia" w:ascii="仿宋_GB2312" w:hAnsi="仿宋_GB2312" w:eastAsia="仿宋_GB2312" w:cs="仿宋_GB2312"/>
                <w:color w:val="auto"/>
                <w:sz w:val="24"/>
              </w:rPr>
              <w:t>(不包括附件):安全帽不应超过600g,产品实际质量与标记质量相对误差不应大于5%</w:t>
            </w:r>
            <w:r>
              <w:rPr>
                <w:rFonts w:hint="eastAsia" w:ascii="仿宋_GB2312" w:hAnsi="仿宋_GB2312" w:eastAsia="仿宋_GB2312" w:cs="仿宋_GB2312"/>
                <w:color w:val="auto"/>
                <w:sz w:val="24"/>
                <w:lang w:eastAsia="zh-CN"/>
              </w:rPr>
              <w:t>。</w:t>
            </w:r>
          </w:p>
          <w:p w14:paraId="2F9B7E0A">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五、可靠性要求：</w:t>
            </w:r>
          </w:p>
          <w:p w14:paraId="1FF39279">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rPr>
              <w:t>1、下颏带强度：当安全帽有下颏带时,下颏带发生破坏时的力值应介于150N-250N之间</w:t>
            </w:r>
            <w:r>
              <w:rPr>
                <w:rFonts w:hint="eastAsia" w:ascii="仿宋_GB2312" w:hAnsi="仿宋_GB2312" w:eastAsia="仿宋_GB2312" w:cs="仿宋_GB2312"/>
                <w:color w:val="auto"/>
                <w:sz w:val="24"/>
                <w:lang w:eastAsia="zh-CN"/>
              </w:rPr>
              <w:t>；</w:t>
            </w:r>
          </w:p>
          <w:p w14:paraId="0E5939F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rPr>
              <w:t>、附件：当安全帽配有附件(如防护面屏、护听器、照明装置、通信设备、警示标识、信息化装置等)时,附件应不影响安全帽的佩戴稳定性,同时不影响其正常防护功能</w:t>
            </w:r>
            <w:r>
              <w:rPr>
                <w:rFonts w:hint="eastAsia" w:ascii="仿宋_GB2312" w:hAnsi="仿宋_GB2312" w:eastAsia="仿宋_GB2312" w:cs="仿宋_GB2312"/>
                <w:color w:val="auto"/>
                <w:sz w:val="24"/>
                <w:lang w:eastAsia="zh-CN"/>
              </w:rPr>
              <w:t>；</w:t>
            </w:r>
          </w:p>
          <w:p w14:paraId="1F998918">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、冲击吸收性能：经高温(50℃+2℃)、低温(-10℃+2℃)、浸水(水温20℃+2℃)、紫外线照射预处理后做冲击测试,传递到头模的力不应大于4900N,帽壳不得有碎片脱落</w:t>
            </w:r>
            <w:r>
              <w:rPr>
                <w:rFonts w:hint="eastAsia" w:ascii="仿宋_GB2312" w:hAnsi="仿宋_GB2312" w:eastAsia="仿宋_GB2312" w:cs="仿宋_GB2312"/>
                <w:color w:val="auto"/>
                <w:sz w:val="24"/>
                <w:lang w:eastAsia="zh-CN"/>
              </w:rPr>
              <w:t>；</w:t>
            </w:r>
          </w:p>
          <w:p w14:paraId="3C0FF735">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、耐穿刺性能：经高温(50 ℃±2℃)、低温(-10℃+2℃)浸水(水温20℃士2℃)紫外线照射预处理后做穿刺测试,钢锥不得接触头表面,帽壳不得有碎片脱落</w:t>
            </w:r>
            <w:r>
              <w:rPr>
                <w:rFonts w:hint="eastAsia" w:ascii="仿宋_GB2312" w:hAnsi="仿宋_GB2312" w:eastAsia="仿宋_GB2312" w:cs="仿宋_GB2312"/>
                <w:color w:val="auto"/>
                <w:sz w:val="24"/>
                <w:lang w:eastAsia="zh-CN"/>
              </w:rPr>
              <w:t>；</w:t>
            </w:r>
          </w:p>
          <w:p w14:paraId="36E25244">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、阻燃性能：续燃时间不应超过5s,帽壳不得烧穿</w:t>
            </w:r>
            <w:r>
              <w:rPr>
                <w:rFonts w:hint="eastAsia" w:ascii="仿宋_GB2312" w:hAnsi="仿宋_GB2312" w:eastAsia="仿宋_GB2312" w:cs="仿宋_GB2312"/>
                <w:color w:val="auto"/>
                <w:sz w:val="24"/>
                <w:lang w:eastAsia="zh-CN"/>
              </w:rPr>
              <w:t>；</w:t>
            </w:r>
          </w:p>
          <w:p w14:paraId="51AA7EF4">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、侧向刚性：最大变形不应大于40mm,残余变形不应大于15mm,帽壳不得有碎片脱落</w:t>
            </w:r>
            <w:r>
              <w:rPr>
                <w:rFonts w:hint="eastAsia" w:ascii="仿宋_GB2312" w:hAnsi="仿宋_GB2312" w:eastAsia="仿宋_GB2312" w:cs="仿宋_GB2312"/>
                <w:color w:val="auto"/>
                <w:sz w:val="24"/>
                <w:lang w:eastAsia="zh-CN"/>
              </w:rPr>
              <w:t>；</w:t>
            </w:r>
          </w:p>
          <w:p w14:paraId="69DB7716">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、耐低温性能：</w:t>
            </w:r>
          </w:p>
          <w:p w14:paraId="125DEEA1">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①低温(-30℃士2℃),3h预处理后做冲击测试,传递到头模的力不应大于4900N,帽壳不得有碎片脱落</w:t>
            </w:r>
            <w:r>
              <w:rPr>
                <w:rFonts w:hint="eastAsia" w:ascii="仿宋_GB2312" w:hAnsi="仿宋_GB2312" w:eastAsia="仿宋_GB2312" w:cs="仿宋_GB2312"/>
                <w:color w:val="auto"/>
                <w:sz w:val="24"/>
                <w:lang w:eastAsia="zh-CN"/>
              </w:rPr>
              <w:t>；</w:t>
            </w:r>
          </w:p>
          <w:p w14:paraId="707FE7B3">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②低温(-30℃士2℃)、3h预处理后做穿刺测试,钢锥不得接触头模表面,帽壳不得有碎片脱落</w:t>
            </w:r>
            <w:r>
              <w:rPr>
                <w:rFonts w:hint="eastAsia" w:ascii="仿宋_GB2312" w:hAnsi="仿宋_GB2312" w:eastAsia="仿宋_GB2312" w:cs="仿宋_GB2312"/>
                <w:color w:val="auto"/>
                <w:sz w:val="24"/>
                <w:lang w:eastAsia="zh-CN"/>
              </w:rPr>
              <w:t>；</w:t>
            </w:r>
          </w:p>
          <w:p w14:paraId="1C6841B9">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8</w:t>
            </w:r>
            <w:r>
              <w:rPr>
                <w:rFonts w:hint="eastAsia" w:ascii="仿宋_GB2312" w:hAnsi="仿宋_GB2312" w:eastAsia="仿宋_GB2312" w:cs="仿宋_GB2312"/>
                <w:color w:val="auto"/>
                <w:sz w:val="24"/>
              </w:rPr>
              <w:t>、耐极高温性能：</w:t>
            </w:r>
          </w:p>
          <w:p w14:paraId="4AE75724">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①极高温(150℃士5 ℃)、1h预处理后做冲击测试,传递到头模的力不应大于4900N,帽壳不得有碎片脱落</w:t>
            </w:r>
            <w:r>
              <w:rPr>
                <w:rFonts w:hint="eastAsia" w:ascii="仿宋_GB2312" w:hAnsi="仿宋_GB2312" w:eastAsia="仿宋_GB2312" w:cs="仿宋_GB2312"/>
                <w:color w:val="auto"/>
                <w:sz w:val="24"/>
                <w:lang w:eastAsia="zh-CN"/>
              </w:rPr>
              <w:t>。</w:t>
            </w:r>
          </w:p>
          <w:p w14:paraId="7A008853">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②极高温(150℃+5℃)、1h预处理后做穿刺测试,钢锥不得接触头模表面。帽壳不得有碎片脱落</w:t>
            </w:r>
            <w:r>
              <w:rPr>
                <w:rFonts w:hint="eastAsia" w:ascii="仿宋_GB2312" w:hAnsi="仿宋_GB2312" w:eastAsia="仿宋_GB2312" w:cs="仿宋_GB2312"/>
                <w:color w:val="auto"/>
                <w:sz w:val="24"/>
                <w:lang w:eastAsia="zh-CN"/>
              </w:rPr>
              <w:t>；</w:t>
            </w:r>
          </w:p>
          <w:p w14:paraId="705DEBC6">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、电绝缘性能：G级安全帽泄漏电流不应大于3.0mA;E级安全帽泄漏电流不应大于9.0mA,电压30000V时,安全帽不应被击穿、发生燃烧现象</w:t>
            </w:r>
            <w:r>
              <w:rPr>
                <w:rFonts w:hint="eastAsia" w:ascii="仿宋_GB2312" w:hAnsi="仿宋_GB2312" w:eastAsia="仿宋_GB2312" w:cs="仿宋_GB2312"/>
                <w:color w:val="auto"/>
                <w:sz w:val="24"/>
                <w:lang w:eastAsia="zh-CN"/>
              </w:rPr>
              <w:t>；</w:t>
            </w:r>
          </w:p>
          <w:p w14:paraId="3B44A58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、防静电性能：表面电阳应为1x10'Ω~1x10”Ω</w:t>
            </w:r>
            <w:r>
              <w:rPr>
                <w:rFonts w:hint="eastAsia" w:ascii="仿宋_GB2312" w:hAnsi="仿宋_GB2312" w:eastAsia="仿宋_GB2312" w:cs="仿宋_GB2312"/>
                <w:color w:val="auto"/>
                <w:sz w:val="24"/>
                <w:lang w:eastAsia="zh-CN"/>
              </w:rPr>
              <w:t>；</w:t>
            </w:r>
          </w:p>
          <w:p w14:paraId="4A525DF2">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11</w:t>
            </w:r>
            <w:r>
              <w:rPr>
                <w:rFonts w:hint="eastAsia" w:ascii="仿宋_GB2312" w:hAnsi="仿宋_GB2312" w:eastAsia="仿宋_GB2312" w:cs="仿宋_GB2312"/>
                <w:color w:val="auto"/>
                <w:sz w:val="24"/>
              </w:rPr>
              <w:t>、永久标识：安全帽的永久标识应位于产品主体 安全帽主体内侧有保持清晰可辨的内侧，并在产品整个生命周期内一直保持清晰可辨的标识，至少应包括以下内容:标准编号、制造厂名、生产日期、产品名称、产品的分类标记、产品的强制报废期限</w:t>
            </w:r>
            <w:r>
              <w:rPr>
                <w:rFonts w:hint="eastAsia" w:ascii="仿宋_GB2312" w:hAnsi="仿宋_GB2312" w:eastAsia="仿宋_GB2312" w:cs="仿宋_GB2312"/>
                <w:color w:val="auto"/>
                <w:sz w:val="24"/>
                <w:lang w:val="en-US" w:eastAsia="zh-CN"/>
              </w:rPr>
              <w:t>.</w:t>
            </w:r>
          </w:p>
          <w:p w14:paraId="7EAA3C56">
            <w:pPr>
              <w:pageBreakBefore w:val="0"/>
              <w:kinsoku/>
              <w:wordWrap/>
              <w:topLinePunct w:val="0"/>
              <w:bidi w:val="0"/>
              <w:snapToGrid/>
              <w:spacing w:line="340" w:lineRule="exac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五、</w:t>
            </w:r>
            <w:r>
              <w:rPr>
                <w:rFonts w:hint="eastAsia" w:ascii="仿宋_GB2312" w:hAnsi="仿宋_GB2312" w:eastAsia="仿宋_GB2312" w:cs="仿宋_GB2312"/>
                <w:color w:val="auto"/>
                <w:sz w:val="24"/>
              </w:rPr>
              <w:t>货物免费保修期内，设备制造商要免费为设备及设备中包含的软硬件提供免费维护及升级的服务，需提供设备制造商书面承诺函(格式自定)并加盖设备制造商的公章</w:t>
            </w:r>
            <w:r>
              <w:rPr>
                <w:rFonts w:hint="eastAsia" w:ascii="仿宋_GB2312" w:hAnsi="仿宋_GB2312" w:eastAsia="仿宋_GB2312" w:cs="仿宋_GB2312"/>
                <w:color w:val="auto"/>
                <w:sz w:val="24"/>
                <w:lang w:eastAsia="zh-CN"/>
              </w:rPr>
              <w:t>。</w:t>
            </w:r>
          </w:p>
          <w:p w14:paraId="6E8EB62C">
            <w:pPr>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highlight w:val="none"/>
                <w:lang w:val="en-US" w:eastAsia="zh-CN"/>
              </w:rPr>
              <w:t>六、上述“</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highlight w:val="none"/>
                <w:lang w:val="en-US" w:eastAsia="zh-CN"/>
              </w:rPr>
              <w:t>”指标，</w:t>
            </w:r>
            <w:r>
              <w:rPr>
                <w:rFonts w:hint="eastAsia" w:ascii="仿宋_GB2312" w:hAnsi="仿宋_GB2312" w:eastAsia="仿宋_GB2312" w:cs="仿宋_GB2312"/>
                <w:color w:val="auto"/>
                <w:sz w:val="24"/>
              </w:rPr>
              <w:t>竞标时请提供具有CMA</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CNAS</w:t>
            </w:r>
            <w:r>
              <w:rPr>
                <w:rFonts w:hint="eastAsia" w:ascii="仿宋_GB2312" w:hAnsi="仿宋_GB2312" w:eastAsia="仿宋_GB2312" w:cs="仿宋_GB2312"/>
                <w:color w:val="auto"/>
                <w:sz w:val="24"/>
                <w:lang w:val="en-US" w:eastAsia="zh-CN"/>
              </w:rPr>
              <w:t>\GAL</w:t>
            </w:r>
            <w:r>
              <w:rPr>
                <w:rFonts w:hint="eastAsia" w:ascii="仿宋_GB2312" w:hAnsi="仿宋_GB2312" w:eastAsia="仿宋_GB2312" w:cs="仿宋_GB2312"/>
                <w:color w:val="auto"/>
                <w:sz w:val="24"/>
              </w:rPr>
              <w:t>认证标识的第三方检验机构出具的</w:t>
            </w:r>
            <w:r>
              <w:rPr>
                <w:rFonts w:hint="eastAsia" w:ascii="仿宋_GB2312" w:hAnsi="仿宋_GB2312" w:eastAsia="仿宋_GB2312" w:cs="仿宋_GB2312"/>
                <w:color w:val="auto"/>
                <w:sz w:val="24"/>
                <w:szCs w:val="24"/>
              </w:rPr>
              <w:t>检验报告</w:t>
            </w:r>
            <w:r>
              <w:rPr>
                <w:rFonts w:hint="eastAsia" w:ascii="仿宋_GB2312" w:hAnsi="仿宋_GB2312" w:eastAsia="仿宋_GB2312" w:cs="仿宋_GB2312"/>
                <w:color w:val="auto"/>
                <w:sz w:val="24"/>
                <w:szCs w:val="24"/>
                <w:lang w:val="en-US" w:eastAsia="zh-CN"/>
              </w:rPr>
              <w:t>原件扫描件</w:t>
            </w:r>
            <w:r>
              <w:rPr>
                <w:rFonts w:hint="eastAsia" w:ascii="仿宋_GB2312" w:hAnsi="仿宋_GB2312" w:eastAsia="仿宋_GB2312" w:cs="仿宋_GB2312"/>
                <w:color w:val="auto"/>
                <w:sz w:val="24"/>
                <w:szCs w:val="24"/>
              </w:rPr>
              <w:t>并加盖</w:t>
            </w:r>
            <w:r>
              <w:rPr>
                <w:rFonts w:hint="eastAsia" w:ascii="仿宋_GB2312" w:hAnsi="仿宋_GB2312" w:eastAsia="仿宋_GB2312" w:cs="仿宋_GB2312"/>
                <w:color w:val="auto"/>
                <w:sz w:val="24"/>
                <w:szCs w:val="24"/>
                <w:lang w:val="en-US" w:eastAsia="zh-CN"/>
              </w:rPr>
              <w:t>生产厂家及供应商</w:t>
            </w:r>
            <w:r>
              <w:rPr>
                <w:rFonts w:hint="eastAsia" w:ascii="仿宋_GB2312" w:hAnsi="仿宋_GB2312" w:eastAsia="仿宋_GB2312" w:cs="仿宋_GB2312"/>
                <w:color w:val="auto"/>
                <w:sz w:val="24"/>
                <w:szCs w:val="24"/>
              </w:rPr>
              <w:t>单位公章</w:t>
            </w:r>
            <w:r>
              <w:rPr>
                <w:rFonts w:hint="eastAsia" w:ascii="仿宋_GB2312" w:hAnsi="仿宋_GB2312" w:eastAsia="仿宋_GB2312" w:cs="仿宋_GB2312"/>
                <w:color w:val="auto"/>
                <w:sz w:val="24"/>
                <w:szCs w:val="24"/>
                <w:lang w:val="en-US" w:eastAsia="zh-CN"/>
              </w:rPr>
              <w:t>，同时提供原件核查，</w:t>
            </w:r>
            <w:r>
              <w:rPr>
                <w:rFonts w:hint="eastAsia" w:ascii="仿宋_GB2312" w:hAnsi="仿宋_GB2312" w:eastAsia="仿宋_GB2312" w:cs="仿宋_GB2312"/>
                <w:color w:val="auto"/>
                <w:sz w:val="24"/>
              </w:rPr>
              <w:t>确保所有技术参数、功能均可满足采购文件要求</w:t>
            </w:r>
            <w:r>
              <w:rPr>
                <w:rFonts w:hint="eastAsia" w:ascii="仿宋_GB2312" w:hAnsi="仿宋_GB2312" w:eastAsia="仿宋_GB2312" w:cs="仿宋_GB2312"/>
                <w:color w:val="auto"/>
                <w:sz w:val="24"/>
                <w:lang w:eastAsia="zh-CN"/>
              </w:rPr>
              <w:t>。</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45A5495">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28</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1808D3D4">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50</w:t>
            </w:r>
          </w:p>
        </w:tc>
        <w:tc>
          <w:tcPr>
            <w:tcW w:w="992" w:type="dxa"/>
            <w:tcBorders>
              <w:top w:val="single" w:color="auto" w:sz="4" w:space="0"/>
              <w:left w:val="nil"/>
              <w:bottom w:val="single" w:color="auto" w:sz="4" w:space="0"/>
              <w:right w:val="nil"/>
            </w:tcBorders>
            <w:shd w:val="clear" w:color="auto" w:fill="auto"/>
            <w:noWrap/>
            <w:vAlign w:val="center"/>
          </w:tcPr>
          <w:p w14:paraId="1542EADE">
            <w:pPr>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1400</w:t>
            </w:r>
          </w:p>
        </w:tc>
        <w:tc>
          <w:tcPr>
            <w:tcW w:w="1863" w:type="dxa"/>
            <w:tcBorders>
              <w:top w:val="single" w:color="auto" w:sz="4" w:space="0"/>
              <w:left w:val="single" w:color="auto" w:sz="4" w:space="0"/>
              <w:bottom w:val="single" w:color="auto" w:sz="4" w:space="0"/>
              <w:right w:val="single" w:color="auto" w:sz="4" w:space="0"/>
            </w:tcBorders>
            <w:vAlign w:val="center"/>
          </w:tcPr>
          <w:p w14:paraId="3A8A3074">
            <w:pPr>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0"/>
                <w:szCs w:val="21"/>
              </w:rPr>
            </w:pPr>
          </w:p>
          <w:p w14:paraId="51064904">
            <w:pPr>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提供样品，实物必须与采购参数要求相符</w:t>
            </w:r>
          </w:p>
        </w:tc>
      </w:tr>
      <w:tr w14:paraId="7BAF7BA5">
        <w:tblPrEx>
          <w:tblCellMar>
            <w:top w:w="0" w:type="dxa"/>
            <w:left w:w="108" w:type="dxa"/>
            <w:bottom w:w="0" w:type="dxa"/>
            <w:right w:w="108" w:type="dxa"/>
          </w:tblCellMar>
        </w:tblPrEx>
        <w:trPr>
          <w:trHeight w:val="689"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3ED36">
            <w:pPr>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51" w:type="dxa"/>
            <w:tcBorders>
              <w:top w:val="single" w:color="auto" w:sz="4" w:space="0"/>
              <w:left w:val="nil"/>
              <w:bottom w:val="single" w:color="auto" w:sz="4" w:space="0"/>
              <w:right w:val="single" w:color="auto" w:sz="4" w:space="0"/>
            </w:tcBorders>
            <w:shd w:val="clear" w:color="auto" w:fill="auto"/>
            <w:vAlign w:val="center"/>
          </w:tcPr>
          <w:p w14:paraId="20FA0300">
            <w:pPr>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合计费用(元)</w:t>
            </w:r>
          </w:p>
        </w:tc>
        <w:tc>
          <w:tcPr>
            <w:tcW w:w="4550" w:type="dxa"/>
            <w:tcBorders>
              <w:top w:val="single" w:color="auto" w:sz="4" w:space="0"/>
              <w:left w:val="nil"/>
              <w:bottom w:val="single" w:color="auto" w:sz="4" w:space="0"/>
              <w:right w:val="single" w:color="auto" w:sz="4" w:space="0"/>
            </w:tcBorders>
            <w:shd w:val="clear" w:color="auto" w:fill="auto"/>
            <w:noWrap/>
            <w:vAlign w:val="center"/>
          </w:tcPr>
          <w:p w14:paraId="6259A743">
            <w:pPr>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459700元</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E93127A">
            <w:pPr>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color w:val="auto"/>
                <w:kern w:val="0"/>
                <w:sz w:val="24"/>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2CC55D46">
            <w:pPr>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color w:val="auto"/>
                <w:kern w:val="0"/>
                <w:sz w:val="24"/>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DC7005A">
            <w:pPr>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color w:val="auto"/>
                <w:kern w:val="0"/>
                <w:sz w:val="24"/>
              </w:rPr>
            </w:pPr>
          </w:p>
        </w:tc>
        <w:tc>
          <w:tcPr>
            <w:tcW w:w="1863" w:type="dxa"/>
            <w:tcBorders>
              <w:top w:val="single" w:color="auto" w:sz="4" w:space="0"/>
              <w:left w:val="nil"/>
              <w:bottom w:val="single" w:color="auto" w:sz="4" w:space="0"/>
              <w:right w:val="single" w:color="auto" w:sz="4" w:space="0"/>
            </w:tcBorders>
            <w:shd w:val="clear" w:color="auto" w:fill="auto"/>
            <w:vAlign w:val="center"/>
          </w:tcPr>
          <w:p w14:paraId="174BD3F9">
            <w:pPr>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14:paraId="627BD6F4">
        <w:tblPrEx>
          <w:tblCellMar>
            <w:top w:w="0" w:type="dxa"/>
            <w:left w:w="108" w:type="dxa"/>
            <w:bottom w:w="0" w:type="dxa"/>
            <w:right w:w="108" w:type="dxa"/>
          </w:tblCellMar>
        </w:tblPrEx>
        <w:trPr>
          <w:trHeight w:val="468" w:hRule="atLeast"/>
          <w:jc w:val="center"/>
        </w:trPr>
        <w:tc>
          <w:tcPr>
            <w:tcW w:w="107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8FFD75D">
            <w:pPr>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备注：1、所报价格包含货物、运费、装卸费、安装人工费、调试费、培训费、税金、售后服务费及其他所有可能发生的一切费用；2、所报货物单价均不能超过执法装备明细清单内货物规定的单价。</w:t>
            </w:r>
          </w:p>
        </w:tc>
      </w:tr>
    </w:tbl>
    <w:p w14:paraId="5BB891DB">
      <w:pPr>
        <w:pStyle w:val="10"/>
        <w:rPr>
          <w:rFonts w:hint="default"/>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tbak/modified.xml>Mon May 26 10:35:39 2025
save:Mon May 26 10:36:15 2025

</file>