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C0E43">
      <w:pPr>
        <w:spacing w:line="560" w:lineRule="exact"/>
        <w:jc w:val="center"/>
        <w:rPr>
          <w:rFonts w:ascii="华文中宋" w:hAnsi="华文中宋" w:eastAsia="华文中宋"/>
          <w:b/>
          <w:sz w:val="52"/>
          <w:szCs w:val="52"/>
        </w:rPr>
      </w:pPr>
    </w:p>
    <w:p w14:paraId="14015406">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r>
        <w:rPr>
          <w:rFonts w:hint="eastAsia" w:ascii="华文中宋" w:hAnsi="华文中宋" w:eastAsia="华文中宋"/>
          <w:b/>
          <w:sz w:val="44"/>
          <w:szCs w:val="44"/>
          <w:lang w:val="en-US" w:eastAsia="zh-CN"/>
        </w:rPr>
        <w:t>公路大厦</w:t>
      </w:r>
      <w:r>
        <w:rPr>
          <w:rFonts w:hint="eastAsia" w:ascii="华文中宋" w:hAnsi="华文中宋" w:eastAsia="华文中宋"/>
          <w:b/>
          <w:sz w:val="44"/>
          <w:szCs w:val="44"/>
        </w:rPr>
        <w:t>用电功率统计技术服务询价文件</w:t>
      </w:r>
    </w:p>
    <w:p w14:paraId="402985EE">
      <w:pPr>
        <w:rPr>
          <w:sz w:val="44"/>
          <w:szCs w:val="44"/>
        </w:rPr>
      </w:pPr>
    </w:p>
    <w:p w14:paraId="4D1D368B"/>
    <w:p w14:paraId="602D9A25"/>
    <w:p w14:paraId="4F968CDB"/>
    <w:p w14:paraId="35D42C18"/>
    <w:p w14:paraId="41B0EDF8">
      <w:pPr>
        <w:jc w:val="center"/>
        <w:rPr>
          <w:b/>
          <w:sz w:val="84"/>
          <w:szCs w:val="84"/>
        </w:rPr>
      </w:pPr>
    </w:p>
    <w:p w14:paraId="59C507D7"/>
    <w:p w14:paraId="4B594B8F"/>
    <w:p w14:paraId="0B43E31C"/>
    <w:p w14:paraId="05DF66F6"/>
    <w:p w14:paraId="74F8947A"/>
    <w:p w14:paraId="64B58C30">
      <w:pPr>
        <w:rPr>
          <w:b/>
          <w:sz w:val="36"/>
          <w:szCs w:val="36"/>
        </w:rPr>
      </w:pPr>
    </w:p>
    <w:p w14:paraId="2A290362">
      <w:pPr>
        <w:rPr>
          <w:b/>
          <w:sz w:val="36"/>
          <w:szCs w:val="36"/>
        </w:rPr>
      </w:pPr>
    </w:p>
    <w:p w14:paraId="66EFF060">
      <w:pPr>
        <w:rPr>
          <w:b/>
          <w:sz w:val="36"/>
          <w:szCs w:val="36"/>
        </w:rPr>
      </w:pPr>
    </w:p>
    <w:p w14:paraId="2361316C">
      <w:pPr>
        <w:rPr>
          <w:b/>
          <w:sz w:val="36"/>
          <w:szCs w:val="36"/>
        </w:rPr>
      </w:pPr>
    </w:p>
    <w:p w14:paraId="38AE9D21">
      <w:pPr>
        <w:jc w:val="center"/>
        <w:rPr>
          <w:rFonts w:hint="eastAsia" w:ascii="黑体" w:hAnsi="黑体" w:eastAsia="黑体" w:cs="黑体"/>
          <w:b/>
          <w:sz w:val="36"/>
          <w:szCs w:val="36"/>
        </w:rPr>
      </w:pPr>
    </w:p>
    <w:p w14:paraId="795F6FD0">
      <w:pPr>
        <w:jc w:val="center"/>
        <w:rPr>
          <w:rFonts w:hint="eastAsia" w:ascii="黑体" w:hAnsi="黑体" w:eastAsia="黑体" w:cs="黑体"/>
          <w:b/>
          <w:sz w:val="36"/>
          <w:szCs w:val="36"/>
        </w:rPr>
      </w:pPr>
    </w:p>
    <w:p w14:paraId="67DC93A3">
      <w:pPr>
        <w:jc w:val="center"/>
        <w:rPr>
          <w:rFonts w:hint="eastAsia" w:ascii="黑体" w:hAnsi="黑体" w:eastAsia="黑体" w:cs="黑体"/>
          <w:b/>
          <w:sz w:val="36"/>
          <w:szCs w:val="36"/>
        </w:rPr>
      </w:pPr>
    </w:p>
    <w:p w14:paraId="0868A57F">
      <w:pPr>
        <w:jc w:val="both"/>
        <w:rPr>
          <w:rFonts w:hint="eastAsia" w:ascii="黑体" w:hAnsi="黑体" w:eastAsia="黑体" w:cs="黑体"/>
          <w:b/>
          <w:sz w:val="36"/>
          <w:szCs w:val="36"/>
        </w:rPr>
      </w:pPr>
    </w:p>
    <w:p w14:paraId="54DACA7C">
      <w:pPr>
        <w:jc w:val="center"/>
        <w:rPr>
          <w:rFonts w:hint="eastAsia" w:ascii="黑体" w:hAnsi="黑体" w:eastAsia="黑体" w:cs="黑体"/>
          <w:b/>
          <w:sz w:val="36"/>
          <w:szCs w:val="36"/>
        </w:rPr>
      </w:pPr>
    </w:p>
    <w:p w14:paraId="2C6D8265">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521B1C99">
      <w:pPr>
        <w:jc w:val="center"/>
        <w:rPr>
          <w:rFonts w:hint="eastAsia"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w:t>
      </w:r>
      <w:r>
        <w:rPr>
          <w:rFonts w:hint="eastAsia" w:ascii="黑体" w:hAnsi="黑体" w:eastAsia="黑体" w:cs="黑体"/>
          <w:b/>
          <w:sz w:val="36"/>
          <w:szCs w:val="36"/>
          <w:lang w:val="en-US" w:eastAsia="zh-CN"/>
        </w:rPr>
        <w:t>5</w:t>
      </w:r>
      <w:r>
        <w:rPr>
          <w:rFonts w:hint="eastAsia" w:ascii="黑体" w:hAnsi="黑体" w:eastAsia="黑体" w:cs="黑体"/>
          <w:b/>
          <w:sz w:val="36"/>
          <w:szCs w:val="36"/>
        </w:rPr>
        <w:t>月</w:t>
      </w:r>
      <w:r>
        <w:rPr>
          <w:rFonts w:hint="eastAsia" w:ascii="黑体" w:hAnsi="黑体" w:eastAsia="黑体" w:cs="黑体"/>
          <w:b/>
          <w:sz w:val="36"/>
          <w:szCs w:val="36"/>
          <w:lang w:val="en-US" w:eastAsia="zh-CN"/>
        </w:rPr>
        <w:t>27</w:t>
      </w:r>
      <w:r>
        <w:rPr>
          <w:rFonts w:hint="eastAsia" w:ascii="黑体" w:hAnsi="黑体" w:eastAsia="黑体" w:cs="黑体"/>
          <w:b/>
          <w:sz w:val="36"/>
          <w:szCs w:val="36"/>
        </w:rPr>
        <w:t>日</w:t>
      </w:r>
    </w:p>
    <w:p w14:paraId="700A4588">
      <w:pPr>
        <w:pStyle w:val="14"/>
        <w:rPr>
          <w:rFonts w:hint="eastAsia"/>
        </w:rPr>
      </w:pPr>
    </w:p>
    <w:p w14:paraId="34227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40884B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1F68166D">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207D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我局根据工作开展需要，拟采购局办公大楼用电功率统计技术服务，现邀请贵公司参与报价。我局将根据各公司所报的价格在符合采购需求、质量和服务的前提下，以报价最低的原则确定成交供应商。</w:t>
      </w:r>
    </w:p>
    <w:p w14:paraId="612442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（一）项目概况</w:t>
      </w:r>
    </w:p>
    <w:p w14:paraId="5FA90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1.项目名称：自治区交通运输综合行政执法局公路大厦用电功率统计技术服务</w:t>
      </w:r>
    </w:p>
    <w:p w14:paraId="0B2B6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2.采购方式：询价采购</w:t>
      </w:r>
    </w:p>
    <w:p w14:paraId="4719B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3.最高限价为：</w:t>
      </w:r>
      <w:r>
        <w:rPr>
          <w:rFonts w:hint="eastAsia" w:ascii="仿宋_GB2312" w:hAnsi="仿宋_GB2312" w:eastAsia="仿宋_GB2312" w:cs="仿宋_GB2312"/>
          <w:color w:val="auto"/>
          <w:sz w:val="30"/>
          <w:szCs w:val="30"/>
          <w:lang w:val="en-US" w:eastAsia="zh-CN"/>
        </w:rPr>
        <w:t>10.20</w:t>
      </w:r>
      <w:r>
        <w:rPr>
          <w:rFonts w:hint="eastAsia" w:ascii="仿宋_GB2312" w:hAnsi="Calibri" w:eastAsia="仿宋_GB2312" w:cs="Times New Roman"/>
          <w:sz w:val="32"/>
          <w:szCs w:val="32"/>
          <w:lang w:val="en-US" w:eastAsia="zh-CN"/>
        </w:rPr>
        <w:t>万</w:t>
      </w:r>
    </w:p>
    <w:p w14:paraId="0DE97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4.供应商须就清单中的内容作完整报价。总报价包含现场勘测费、用电器功率数据统计费、分析报告费、施工组织方案审查费、</w:t>
      </w:r>
      <w:r>
        <w:rPr>
          <w:rFonts w:hint="default" w:ascii="仿宋_GB2312" w:hAnsi="Calibri" w:eastAsia="仿宋_GB2312" w:cs="Times New Roman"/>
          <w:sz w:val="32"/>
          <w:szCs w:val="32"/>
          <w:lang w:val="en-US" w:eastAsia="zh-CN"/>
        </w:rPr>
        <w:t>硬件设备费用</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软件服务费</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税费及附加</w:t>
      </w:r>
      <w:r>
        <w:rPr>
          <w:rFonts w:hint="eastAsia" w:ascii="仿宋_GB2312" w:hAnsi="Calibri" w:eastAsia="仿宋_GB2312" w:cs="Times New Roman"/>
          <w:sz w:val="32"/>
          <w:szCs w:val="32"/>
          <w:lang w:val="en-US" w:eastAsia="zh-CN"/>
        </w:rPr>
        <w:t>其他</w:t>
      </w:r>
      <w:bookmarkStart w:id="0" w:name="_GoBack"/>
      <w:r>
        <w:rPr>
          <w:rFonts w:hint="eastAsia" w:ascii="仿宋_GB2312" w:hAnsi="Calibri" w:eastAsia="仿宋_GB2312" w:cs="Times New Roman"/>
          <w:sz w:val="32"/>
          <w:szCs w:val="32"/>
          <w:lang w:val="en-US" w:eastAsia="zh-CN"/>
        </w:rPr>
        <w:t>所有可能发生的一切费用。</w:t>
      </w:r>
    </w:p>
    <w:bookmarkEnd w:id="0"/>
    <w:p w14:paraId="246E94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（二）资质要求</w:t>
      </w:r>
    </w:p>
    <w:p w14:paraId="2DF7C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Calibri" w:eastAsia="仿宋_GB2312" w:cs="Times New Roman"/>
          <w:kern w:val="2"/>
          <w:sz w:val="32"/>
          <w:szCs w:val="32"/>
          <w:lang w:val="en-US" w:eastAsia="zh-CN" w:bidi="ar-SA"/>
        </w:rPr>
        <w:t>1.具备有效的企业</w:t>
      </w:r>
      <w:r>
        <w:rPr>
          <w:rFonts w:hint="eastAsia" w:ascii="仿宋_GB2312" w:hAnsi="仿宋_GB2312" w:eastAsia="仿宋_GB2312" w:cs="仿宋_GB2312"/>
          <w:color w:val="000000"/>
          <w:sz w:val="32"/>
          <w:szCs w:val="32"/>
          <w:lang w:val="en-US" w:eastAsia="zh-CN"/>
        </w:rPr>
        <w:t>营业执照（经营范围需包含电力统计或能源管理服务、电气安装服务及建设工程设计）；</w:t>
      </w:r>
    </w:p>
    <w:p w14:paraId="4C505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2.承装（试）电力设施许可证（五级及以上）；</w:t>
      </w:r>
    </w:p>
    <w:p w14:paraId="68B35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3.项目负责人有电气工程师中(高)级职称证书；</w:t>
      </w:r>
    </w:p>
    <w:p w14:paraId="55CC2A58">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4.服务保障要求：应急响应，</w:t>
      </w:r>
      <w:r>
        <w:rPr>
          <w:rFonts w:hint="default" w:ascii="仿宋_GB2312" w:hAnsi="Calibri" w:eastAsia="仿宋_GB2312" w:cs="Times New Roman"/>
          <w:kern w:val="2"/>
          <w:sz w:val="32"/>
          <w:szCs w:val="32"/>
          <w:lang w:val="en-US" w:eastAsia="zh-CN" w:bidi="ar-SA"/>
        </w:rPr>
        <w:t>承诺 7×24小时技术支持，故障响应时间≤4小时</w:t>
      </w:r>
      <w:r>
        <w:rPr>
          <w:rFonts w:hint="eastAsia" w:ascii="仿宋_GB2312" w:hAnsi="Calibri" w:eastAsia="仿宋_GB2312" w:cs="Times New Roman"/>
          <w:kern w:val="2"/>
          <w:sz w:val="32"/>
          <w:szCs w:val="32"/>
          <w:lang w:val="en-US" w:eastAsia="zh-CN" w:bidi="ar-SA"/>
        </w:rPr>
        <w:t>。</w:t>
      </w:r>
    </w:p>
    <w:p w14:paraId="6308FA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（三）统计范围</w:t>
      </w:r>
    </w:p>
    <w:p w14:paraId="74D28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1.高压配电柜、变压器、低压配电柜的实时用电参数统计（电压、电流、功率等）。检查配电室的回路走向及楼层分配；</w:t>
      </w:r>
    </w:p>
    <w:p w14:paraId="3EEDE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2.中央空调机组、电梯系统、水泵等大功率设备的用电量及能效统计；</w:t>
      </w:r>
    </w:p>
    <w:p w14:paraId="21EA4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3.各楼层公共区域、办公室、走廊等各功能室照明回路的用电情况统计；</w:t>
      </w:r>
    </w:p>
    <w:p w14:paraId="73946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4.数据中心、机房、实验室等重要功能区域的专用配电回路统计；</w:t>
      </w:r>
    </w:p>
    <w:p w14:paraId="7DC7D3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5.UPS不间断电源、应急发电机组等备用电源的用电状态统计；</w:t>
      </w:r>
    </w:p>
    <w:p w14:paraId="3702F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6.汇总功率测算、变压器的负载；</w:t>
      </w:r>
    </w:p>
    <w:p w14:paraId="1E9A3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7.汇总回路功率及负载开关；</w:t>
      </w:r>
    </w:p>
    <w:p w14:paraId="56E76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8.出具公路大厦用电功率统计分析报告；</w:t>
      </w:r>
    </w:p>
    <w:p w14:paraId="326CF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9.根据公路大厦用电功率情况，审查滨湖路1～3号专变增容改造工程施工组织方案，并出具报告，以保障施工实施的可操作性和风险可控。</w:t>
      </w:r>
    </w:p>
    <w:p w14:paraId="1E3EF3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（四）工程概况</w:t>
      </w:r>
    </w:p>
    <w:p w14:paraId="0908D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1.广西壮族自治区交通运输综合行政执法局滨湖路1～3号专变增容工程位于青秀区滨湖路，第一路电源接滨湖路10号开闭所，第二路电源接南湖广场2号开闭所。本次属于增容改造不涉及外线部分。</w:t>
      </w:r>
    </w:p>
    <w:p w14:paraId="2E4BF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2.本次新增高压部分:在原配电房基础位置新增G7一面进线柜，G8和G9两面出线柜;新增滨湖路2号专变和滨湖路3号专变共两台专变，容量均为1000kVA干式变压器。新增3*70电力电缆约50米。</w:t>
      </w:r>
    </w:p>
    <w:p w14:paraId="577C7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3.低压增容部分：新增配电柜共19面低压配电柜；低压密集型母线槽采用2000A/4P。</w:t>
      </w:r>
    </w:p>
    <w:p w14:paraId="5459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4.高压拆除部分：将退运设备1#进线柜、2#进线柜、3#计量柜、4#出线柜、5#出线柜拆除。</w:t>
      </w:r>
    </w:p>
    <w:p w14:paraId="7A0D7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计量更换部分：改造后的高压进线柜G1电流互感器更换为250/5A，G2高压计量柜200/5A0.2S级，G4高压出线柜更换为200/5A，G5高压计量柜200/5A0.2S级，G6高压进线柜互感器更换为250/5A；高压计量总表、电流互感器、负控终端拆除，另配新表；商业分表拆除，非工业分表拆回截底，另配新表。</w:t>
      </w:r>
    </w:p>
    <w:p w14:paraId="0BC31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负荷分布情况:</w:t>
      </w:r>
    </w:p>
    <w:p w14:paraId="29084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1号专变：1AA1-1AA3电柜利旧专供7栋8栋住宅；</w:t>
      </w:r>
    </w:p>
    <w:p w14:paraId="21B2F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2号专变：2AA1-2AA6电柜的14-17层办公室空调、10-13层办公室空调、5-9层办公室空调、消防、10-20层事故照明、综合布线、18层办公室空调、3-4层各办公室空调、1-7层开水。</w:t>
      </w:r>
    </w:p>
    <w:p w14:paraId="0B2926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Calibri" w:eastAsia="仿宋_GB2312" w:cs="Times New Roman"/>
          <w:sz w:val="32"/>
          <w:szCs w:val="32"/>
          <w:lang w:val="en-US" w:eastAsia="zh-CN"/>
        </w:rPr>
        <w:t>6.重要负荷：PD1-PD3电柜的综合布线、2楼电信机房新接配电箱、二层收费通讯房、运营局、兴通公司、消防、十至二十层事故照明、地下室水泵房、地下室至九层事故、二楼机房新增专线、地下照明、地下室至3层一般照明、水泵房、综合布线3号专变：1-3层风机盘管.开水炉、4-8层风机盘管、4-7层一般照明、9-13层风机盘管、8-11层一般照明、14-19层风机盘管、12-15层一般照明、健身房、16-19层一般照明。</w:t>
      </w:r>
    </w:p>
    <w:p w14:paraId="07086C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_GB2312" w:hAnsi="Calibri" w:eastAsia="仿宋_GB2312" w:cs="Times New Roman"/>
          <w:b/>
          <w:bCs/>
          <w:sz w:val="32"/>
          <w:szCs w:val="32"/>
          <w:lang w:val="en-US" w:eastAsia="zh-CN"/>
        </w:rPr>
        <w:t>（五）完成期限</w:t>
      </w:r>
    </w:p>
    <w:p w14:paraId="201DAC5C">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合同签订后15个自然日。</w:t>
      </w:r>
    </w:p>
    <w:p w14:paraId="194DD4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（六）付款方式</w:t>
      </w:r>
    </w:p>
    <w:p w14:paraId="54B940C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项目验收通过，采购人在收到发票后五日内一次性付清供应商的全部款项。</w:t>
      </w:r>
    </w:p>
    <w:p w14:paraId="7A90FD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 xml:space="preserve">（七）报价文件组成内容 </w:t>
      </w:r>
    </w:p>
    <w:p w14:paraId="604E5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1.主要内容</w:t>
      </w:r>
    </w:p>
    <w:p w14:paraId="322A3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资质证明资料复印件并加盖单位公章；</w:t>
      </w:r>
    </w:p>
    <w:p w14:paraId="6C8B6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）法定代表人委托授权书复印件加盖公章。</w:t>
      </w:r>
    </w:p>
    <w:p w14:paraId="24C68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）法定代表人及授权人身份证复印件加盖公章。</w:t>
      </w:r>
    </w:p>
    <w:p w14:paraId="357EFA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）报价明细表（含人员单价、服务期报价）；</w:t>
      </w:r>
    </w:p>
    <w:p w14:paraId="71F7C8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提供在“信用中国”网站（www.creditchina.gov.cn）和中国政府采购网（www.ccgp.gov.cn）查询到的主体信用记录结果。</w:t>
      </w:r>
    </w:p>
    <w:p w14:paraId="12F221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（八）报价文件递交</w:t>
      </w:r>
    </w:p>
    <w:p w14:paraId="74797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w w:val="95"/>
          <w:sz w:val="32"/>
          <w:szCs w:val="32"/>
          <w:lang w:val="en-US" w:eastAsia="zh-CN"/>
        </w:rPr>
      </w:pPr>
      <w:r>
        <w:rPr>
          <w:rFonts w:hint="eastAsia" w:ascii="仿宋_GB2312" w:hAnsi="仿宋_GB2312" w:eastAsia="仿宋_GB2312" w:cs="仿宋_GB2312"/>
          <w:color w:val="000000"/>
          <w:sz w:val="32"/>
          <w:szCs w:val="32"/>
        </w:rPr>
        <w:t>请供应商于2025年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下午6时</w:t>
      </w:r>
      <w:r>
        <w:rPr>
          <w:rFonts w:hint="eastAsia" w:ascii="仿宋_GB2312" w:hAnsi="仿宋_GB2312" w:eastAsia="仿宋_GB2312" w:cs="仿宋_GB2312"/>
          <w:color w:val="000000"/>
          <w:sz w:val="32"/>
          <w:szCs w:val="32"/>
        </w:rPr>
        <w:t>前将装订成册的报价文件（一式</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份）以信封密封好，送至我局（南宁市滨湖路66号公路大厦808室）。如需邮寄送达，请用信封密封好并在邮寄封面注明投标资料和投标单位。联系人：张微，联系电话：0771-2115929；项目联系人：梁毅，联系电话：0771-2115456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现场勘验联系人：陈国强，联系电话0771-2115286</w:t>
      </w:r>
      <w:r>
        <w:rPr>
          <w:rFonts w:hint="eastAsia" w:ascii="仿宋_GB2312" w:hAnsi="Calibri" w:eastAsia="仿宋_GB2312" w:cs="Times New Roman"/>
          <w:w w:val="95"/>
          <w:sz w:val="32"/>
          <w:szCs w:val="32"/>
          <w:lang w:val="en-US" w:eastAsia="zh-CN"/>
        </w:rPr>
        <w:t xml:space="preserve"> 。</w:t>
      </w:r>
    </w:p>
    <w:p w14:paraId="257C03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（九）评审办法</w:t>
      </w:r>
    </w:p>
    <w:p w14:paraId="48BC5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color w:val="000000"/>
          <w:kern w:val="2"/>
          <w:sz w:val="32"/>
          <w:szCs w:val="32"/>
          <w:lang w:val="en-US" w:eastAsia="zh-CN" w:bidi="ar-SA"/>
        </w:rPr>
        <w:t>我局按内部控制制度的规定组织评审小组进行评审，</w:t>
      </w:r>
      <w:r>
        <w:rPr>
          <w:rFonts w:hint="eastAsia" w:ascii="仿宋_GB2312" w:hAnsi="Calibri" w:eastAsia="仿宋_GB2312" w:cs="Times New Roman"/>
          <w:sz w:val="32"/>
          <w:szCs w:val="32"/>
          <w:lang w:val="en-US" w:eastAsia="zh-CN"/>
        </w:rPr>
        <w:t>将根据各公司所报的价格在符合采购需求、质量和服务的前提下，以报价最低的原则确定成交供应商。</w:t>
      </w:r>
    </w:p>
    <w:p w14:paraId="0CF0D3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ascii="仿宋_GB2312" w:hAnsi="仿宋_GB2312" w:eastAsia="仿宋_GB2312" w:cs="仿宋_GB2312"/>
          <w:sz w:val="30"/>
          <w:szCs w:val="30"/>
          <w:lang w:val="en-US" w:eastAsia="zh-CN"/>
        </w:rPr>
        <w:t xml:space="preserve"> </w:t>
      </w:r>
    </w:p>
    <w:p w14:paraId="4E15321B">
      <w:pPr>
        <w:keepNext w:val="0"/>
        <w:keepLines w:val="0"/>
        <w:pageBreakBefore w:val="0"/>
        <w:widowControl w:val="0"/>
        <w:kinsoku/>
        <w:wordWrap/>
        <w:overflowPunct/>
        <w:topLinePunct w:val="0"/>
        <w:autoSpaceDE/>
        <w:autoSpaceDN/>
        <w:bidi w:val="0"/>
        <w:adjustRightInd/>
        <w:snapToGrid/>
        <w:spacing w:line="560" w:lineRule="exact"/>
        <w:ind w:left="1550" w:leftChars="304" w:hanging="912" w:hangingChars="300"/>
        <w:textAlignment w:val="auto"/>
        <w:rPr>
          <w:rFonts w:hint="eastAsia" w:ascii="仿宋_GB2312" w:hAnsi="Calibri" w:eastAsia="仿宋_GB2312" w:cs="Times New Roman"/>
          <w:w w:val="95"/>
          <w:sz w:val="32"/>
          <w:szCs w:val="32"/>
          <w:lang w:val="en-US" w:eastAsia="zh-CN"/>
        </w:rPr>
      </w:pPr>
      <w:r>
        <w:rPr>
          <w:rFonts w:hint="eastAsia" w:ascii="仿宋_GB2312" w:hAnsi="Calibri" w:eastAsia="仿宋_GB2312" w:cs="Times New Roman"/>
          <w:w w:val="95"/>
          <w:sz w:val="32"/>
          <w:szCs w:val="32"/>
          <w:lang w:val="en-US" w:eastAsia="zh-CN"/>
        </w:rPr>
        <w:t>附件：自治区交通运输综合行政执法局公路大厦用电功率统计技术服务项目清单</w:t>
      </w:r>
    </w:p>
    <w:p w14:paraId="6265CE4C">
      <w:pPr>
        <w:pStyle w:val="14"/>
        <w:rPr>
          <w:rFonts w:hint="eastAsia" w:ascii="仿宋_GB2312" w:hAnsi="Calibri" w:eastAsia="仿宋_GB2312" w:cs="Times New Roman"/>
          <w:w w:val="95"/>
          <w:sz w:val="32"/>
          <w:szCs w:val="32"/>
          <w:lang w:val="en-US" w:eastAsia="zh-CN"/>
        </w:rPr>
      </w:pPr>
    </w:p>
    <w:p w14:paraId="486D01B9">
      <w:pPr>
        <w:pStyle w:val="14"/>
        <w:rPr>
          <w:rFonts w:hint="eastAsia" w:ascii="仿宋_GB2312" w:hAnsi="Calibri" w:eastAsia="仿宋_GB2312" w:cs="Times New Roman"/>
          <w:w w:val="95"/>
          <w:sz w:val="32"/>
          <w:szCs w:val="32"/>
          <w:lang w:val="en-US" w:eastAsia="zh-CN"/>
        </w:rPr>
      </w:pPr>
    </w:p>
    <w:p w14:paraId="4208C147">
      <w:pPr>
        <w:pStyle w:val="14"/>
        <w:rPr>
          <w:rFonts w:hint="eastAsia" w:ascii="仿宋_GB2312" w:hAnsi="Calibri" w:eastAsia="仿宋_GB2312" w:cs="Times New Roman"/>
          <w:w w:val="95"/>
          <w:sz w:val="32"/>
          <w:szCs w:val="32"/>
          <w:lang w:val="en-US" w:eastAsia="zh-CN"/>
        </w:rPr>
      </w:pPr>
    </w:p>
    <w:p w14:paraId="6C4409A3">
      <w:pPr>
        <w:pStyle w:val="14"/>
        <w:rPr>
          <w:rFonts w:hint="eastAsia" w:ascii="仿宋_GB2312" w:hAnsi="Calibri" w:eastAsia="仿宋_GB2312" w:cs="Times New Roman"/>
          <w:w w:val="95"/>
          <w:sz w:val="32"/>
          <w:szCs w:val="32"/>
          <w:lang w:val="en-US" w:eastAsia="zh-CN"/>
        </w:rPr>
      </w:pPr>
    </w:p>
    <w:p w14:paraId="0C1E264B">
      <w:pPr>
        <w:pStyle w:val="14"/>
        <w:rPr>
          <w:rFonts w:hint="eastAsia" w:ascii="仿宋_GB2312" w:hAnsi="Calibri" w:eastAsia="仿宋_GB2312" w:cs="Times New Roman"/>
          <w:w w:val="95"/>
          <w:sz w:val="32"/>
          <w:szCs w:val="32"/>
          <w:lang w:val="en-US" w:eastAsia="zh-CN"/>
        </w:rPr>
      </w:pPr>
    </w:p>
    <w:p w14:paraId="3424EA95">
      <w:pPr>
        <w:pStyle w:val="14"/>
        <w:rPr>
          <w:rFonts w:hint="eastAsia" w:ascii="仿宋_GB2312" w:hAnsi="Calibri" w:eastAsia="仿宋_GB2312" w:cs="Times New Roman"/>
          <w:w w:val="95"/>
          <w:sz w:val="32"/>
          <w:szCs w:val="32"/>
          <w:lang w:val="en-US" w:eastAsia="zh-CN"/>
        </w:rPr>
      </w:pPr>
    </w:p>
    <w:p w14:paraId="4D3D699E">
      <w:pPr>
        <w:pStyle w:val="14"/>
        <w:rPr>
          <w:rFonts w:hint="eastAsia" w:ascii="仿宋_GB2312" w:hAnsi="Calibri" w:eastAsia="仿宋_GB2312" w:cs="Times New Roman"/>
          <w:w w:val="95"/>
          <w:sz w:val="32"/>
          <w:szCs w:val="32"/>
          <w:lang w:val="en-US" w:eastAsia="zh-CN"/>
        </w:rPr>
      </w:pPr>
    </w:p>
    <w:p w14:paraId="2112BD4F">
      <w:pPr>
        <w:pStyle w:val="14"/>
        <w:rPr>
          <w:rFonts w:hint="eastAsia" w:ascii="仿宋_GB2312" w:hAnsi="Calibri" w:eastAsia="仿宋_GB2312" w:cs="Times New Roman"/>
          <w:w w:val="95"/>
          <w:sz w:val="32"/>
          <w:szCs w:val="32"/>
          <w:lang w:val="en-US" w:eastAsia="zh-CN"/>
        </w:rPr>
      </w:pPr>
    </w:p>
    <w:p w14:paraId="2D2FD6EA">
      <w:pPr>
        <w:pStyle w:val="14"/>
        <w:rPr>
          <w:rFonts w:hint="eastAsia" w:ascii="仿宋_GB2312" w:hAnsi="Calibri" w:eastAsia="仿宋_GB2312" w:cs="Times New Roman"/>
          <w:w w:val="95"/>
          <w:sz w:val="32"/>
          <w:szCs w:val="32"/>
          <w:lang w:val="en-US" w:eastAsia="zh-CN"/>
        </w:rPr>
      </w:pPr>
    </w:p>
    <w:p w14:paraId="7B4B2A48">
      <w:pPr>
        <w:pStyle w:val="14"/>
        <w:rPr>
          <w:rFonts w:hint="eastAsia" w:ascii="仿宋_GB2312" w:hAnsi="Calibri" w:eastAsia="仿宋_GB2312" w:cs="Times New Roman"/>
          <w:w w:val="95"/>
          <w:sz w:val="32"/>
          <w:szCs w:val="32"/>
          <w:lang w:val="en-US" w:eastAsia="zh-CN"/>
        </w:rPr>
      </w:pPr>
    </w:p>
    <w:p w14:paraId="6763303A">
      <w:pPr>
        <w:pStyle w:val="14"/>
        <w:rPr>
          <w:rFonts w:hint="eastAsia" w:ascii="仿宋_GB2312" w:hAnsi="Calibri" w:eastAsia="仿宋_GB2312" w:cs="Times New Roman"/>
          <w:w w:val="95"/>
          <w:sz w:val="32"/>
          <w:szCs w:val="32"/>
          <w:lang w:val="en-US" w:eastAsia="zh-CN"/>
        </w:rPr>
      </w:pPr>
    </w:p>
    <w:p w14:paraId="29EEDDA8">
      <w:pPr>
        <w:pStyle w:val="14"/>
        <w:rPr>
          <w:rFonts w:hint="eastAsia" w:ascii="仿宋_GB2312" w:hAnsi="Calibri" w:eastAsia="仿宋_GB2312" w:cs="Times New Roman"/>
          <w:w w:val="95"/>
          <w:sz w:val="32"/>
          <w:szCs w:val="32"/>
          <w:lang w:val="en-US" w:eastAsia="zh-CN"/>
        </w:rPr>
      </w:pPr>
    </w:p>
    <w:p w14:paraId="0C92521D">
      <w:pPr>
        <w:pStyle w:val="14"/>
        <w:rPr>
          <w:rFonts w:hint="eastAsia" w:ascii="仿宋_GB2312" w:hAnsi="Calibri" w:eastAsia="仿宋_GB2312" w:cs="Times New Roman"/>
          <w:w w:val="95"/>
          <w:sz w:val="32"/>
          <w:szCs w:val="32"/>
          <w:lang w:val="en-US" w:eastAsia="zh-CN"/>
        </w:rPr>
      </w:pPr>
    </w:p>
    <w:p w14:paraId="48819D7D">
      <w:pPr>
        <w:pStyle w:val="14"/>
        <w:rPr>
          <w:rFonts w:hint="eastAsia" w:ascii="仿宋_GB2312" w:hAnsi="Calibri" w:eastAsia="仿宋_GB2312" w:cs="Times New Roman"/>
          <w:w w:val="95"/>
          <w:sz w:val="32"/>
          <w:szCs w:val="32"/>
          <w:lang w:val="en-US" w:eastAsia="zh-CN"/>
        </w:rPr>
      </w:pPr>
    </w:p>
    <w:p w14:paraId="74ABF924">
      <w:pPr>
        <w:pStyle w:val="14"/>
        <w:rPr>
          <w:rFonts w:hint="eastAsia" w:ascii="仿宋_GB2312" w:hAnsi="Calibri" w:eastAsia="仿宋_GB2312" w:cs="Times New Roman"/>
          <w:w w:val="95"/>
          <w:sz w:val="32"/>
          <w:szCs w:val="32"/>
          <w:lang w:val="en-US" w:eastAsia="zh-CN"/>
        </w:rPr>
      </w:pPr>
    </w:p>
    <w:p w14:paraId="0B704E6A">
      <w:pPr>
        <w:pStyle w:val="14"/>
        <w:rPr>
          <w:rFonts w:hint="eastAsia" w:ascii="仿宋_GB2312" w:hAnsi="Calibri" w:eastAsia="仿宋_GB2312" w:cs="Times New Roman"/>
          <w:w w:val="95"/>
          <w:sz w:val="32"/>
          <w:szCs w:val="32"/>
          <w:lang w:val="en-US" w:eastAsia="zh-CN"/>
        </w:rPr>
      </w:pPr>
    </w:p>
    <w:p w14:paraId="0D01336A">
      <w:pPr>
        <w:pStyle w:val="14"/>
        <w:rPr>
          <w:rFonts w:hint="eastAsia" w:ascii="仿宋_GB2312" w:hAnsi="Calibri" w:eastAsia="仿宋_GB2312" w:cs="Times New Roman"/>
          <w:w w:val="95"/>
          <w:sz w:val="32"/>
          <w:szCs w:val="32"/>
          <w:lang w:val="en-US" w:eastAsia="zh-CN"/>
        </w:rPr>
      </w:pPr>
    </w:p>
    <w:p w14:paraId="2A680375">
      <w:pPr>
        <w:pStyle w:val="14"/>
        <w:ind w:left="0" w:leftChars="0" w:firstLine="0" w:firstLineChars="0"/>
        <w:rPr>
          <w:rFonts w:hint="eastAsia" w:ascii="仿宋_GB2312" w:hAnsi="Calibri" w:eastAsia="仿宋_GB2312" w:cs="Times New Roman"/>
          <w:w w:val="95"/>
          <w:sz w:val="32"/>
          <w:szCs w:val="32"/>
          <w:lang w:val="en-US" w:eastAsia="zh-CN"/>
        </w:rPr>
      </w:pPr>
      <w:r>
        <w:rPr>
          <w:rFonts w:hint="eastAsia" w:ascii="仿宋_GB2312" w:hAnsi="Calibri" w:eastAsia="仿宋_GB2312" w:cs="Times New Roman"/>
          <w:w w:val="95"/>
          <w:sz w:val="32"/>
          <w:szCs w:val="32"/>
          <w:lang w:val="en-US" w:eastAsia="zh-CN"/>
        </w:rPr>
        <w:t>附件：</w:t>
      </w:r>
    </w:p>
    <w:p w14:paraId="2419550E">
      <w:pPr>
        <w:pStyle w:val="14"/>
        <w:ind w:left="0" w:leftChars="0" w:firstLine="0" w:firstLineChars="0"/>
        <w:jc w:val="center"/>
        <w:rPr>
          <w:rFonts w:hint="eastAsia" w:ascii="黑体" w:hAnsi="黑体" w:eastAsia="黑体" w:cs="黑体"/>
          <w:w w:val="95"/>
          <w:sz w:val="44"/>
          <w:szCs w:val="44"/>
          <w:lang w:val="en-US" w:eastAsia="zh-CN"/>
        </w:rPr>
      </w:pPr>
      <w:r>
        <w:rPr>
          <w:rFonts w:hint="eastAsia" w:ascii="黑体" w:hAnsi="黑体" w:eastAsia="黑体" w:cs="黑体"/>
          <w:w w:val="95"/>
          <w:sz w:val="44"/>
          <w:szCs w:val="44"/>
          <w:lang w:val="en-US" w:eastAsia="zh-CN"/>
        </w:rPr>
        <w:t>自治区交通运输综合行政执法局公路大厦</w:t>
      </w:r>
    </w:p>
    <w:p w14:paraId="3A7ABC24">
      <w:pPr>
        <w:pStyle w:val="14"/>
        <w:ind w:left="0" w:leftChars="0" w:firstLine="0" w:firstLineChars="0"/>
        <w:jc w:val="center"/>
        <w:rPr>
          <w:rFonts w:hint="eastAsia" w:ascii="黑体" w:hAnsi="黑体" w:eastAsia="黑体" w:cs="黑体"/>
          <w:w w:val="95"/>
          <w:sz w:val="44"/>
          <w:szCs w:val="44"/>
          <w:lang w:val="en-US" w:eastAsia="zh-CN"/>
        </w:rPr>
      </w:pPr>
      <w:r>
        <w:rPr>
          <w:rFonts w:hint="eastAsia" w:ascii="黑体" w:hAnsi="黑体" w:eastAsia="黑体" w:cs="黑体"/>
          <w:w w:val="95"/>
          <w:sz w:val="44"/>
          <w:szCs w:val="44"/>
          <w:lang w:val="en-US" w:eastAsia="zh-CN"/>
        </w:rPr>
        <w:t>用电功率统计技术服务项目清单</w:t>
      </w:r>
    </w:p>
    <w:p w14:paraId="56304879">
      <w:pPr>
        <w:pStyle w:val="14"/>
        <w:rPr>
          <w:rFonts w:hint="eastAsia" w:ascii="仿宋_GB2312" w:hAnsi="Calibri" w:eastAsia="仿宋_GB2312" w:cs="Times New Roman"/>
          <w:w w:val="95"/>
          <w:sz w:val="32"/>
          <w:szCs w:val="32"/>
          <w:lang w:val="en-US" w:eastAsia="zh-CN"/>
        </w:rPr>
      </w:pPr>
    </w:p>
    <w:tbl>
      <w:tblPr>
        <w:tblStyle w:val="10"/>
        <w:tblpPr w:leftFromText="180" w:rightFromText="180" w:vertAnchor="text" w:horzAnchor="page" w:tblpXSpec="center" w:tblpY="312"/>
        <w:tblOverlap w:val="never"/>
        <w:tblW w:w="3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4791"/>
        <w:gridCol w:w="914"/>
      </w:tblGrid>
      <w:tr w14:paraId="147B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Pr>
          <w:p w14:paraId="13AFBCB7">
            <w:pPr>
              <w:pStyle w:val="14"/>
              <w:ind w:left="0" w:leftChars="0" w:firstLine="0" w:firstLineChars="0"/>
              <w:jc w:val="left"/>
              <w:rPr>
                <w:rFonts w:hint="default" w:ascii="仿宋_GB2312" w:hAnsi="仿宋_GB2312" w:eastAsia="仿宋_GB2312" w:cs="仿宋_GB2312"/>
                <w:color w:val="000000"/>
                <w:kern w:val="2"/>
                <w:sz w:val="28"/>
                <w:szCs w:val="28"/>
                <w:vertAlign w:val="baseline"/>
                <w:lang w:val="en-US" w:eastAsia="zh-CN" w:bidi="ar-SA"/>
              </w:rPr>
            </w:pPr>
            <w:r>
              <w:rPr>
                <w:rFonts w:hint="eastAsia" w:ascii="黑体" w:hAnsi="黑体" w:eastAsia="黑体" w:cs="黑体"/>
                <w:color w:val="000000"/>
                <w:kern w:val="2"/>
                <w:sz w:val="28"/>
                <w:szCs w:val="28"/>
                <w:vertAlign w:val="baseline"/>
                <w:lang w:val="en-US" w:eastAsia="zh-CN" w:bidi="ar-SA"/>
              </w:rPr>
              <w:t>序列</w:t>
            </w:r>
          </w:p>
        </w:tc>
        <w:tc>
          <w:tcPr>
            <w:tcW w:w="3554" w:type="pct"/>
          </w:tcPr>
          <w:p w14:paraId="70C9C097">
            <w:pPr>
              <w:pStyle w:val="14"/>
              <w:ind w:left="0" w:leftChars="0" w:firstLine="0" w:firstLineChars="0"/>
              <w:jc w:val="both"/>
              <w:rPr>
                <w:rFonts w:hint="eastAsia" w:ascii="仿宋_GB2312" w:hAnsi="仿宋_GB2312" w:eastAsia="仿宋_GB2312" w:cs="仿宋_GB2312"/>
                <w:color w:val="000000"/>
                <w:kern w:val="2"/>
                <w:sz w:val="28"/>
                <w:szCs w:val="28"/>
                <w:vertAlign w:val="baseline"/>
                <w:lang w:val="en-US" w:eastAsia="zh-CN" w:bidi="ar-SA"/>
              </w:rPr>
            </w:pPr>
            <w:r>
              <w:rPr>
                <w:rFonts w:hint="eastAsia" w:ascii="黑体" w:hAnsi="黑体" w:eastAsia="黑体" w:cs="黑体"/>
                <w:color w:val="000000"/>
                <w:kern w:val="2"/>
                <w:sz w:val="28"/>
                <w:szCs w:val="28"/>
                <w:vertAlign w:val="baseline"/>
                <w:lang w:val="en-US" w:eastAsia="zh-CN" w:bidi="ar-SA"/>
              </w:rPr>
              <w:t>项目名称</w:t>
            </w:r>
          </w:p>
        </w:tc>
        <w:tc>
          <w:tcPr>
            <w:tcW w:w="678" w:type="pct"/>
          </w:tcPr>
          <w:p w14:paraId="6367E24B">
            <w:pPr>
              <w:pStyle w:val="14"/>
              <w:ind w:left="0" w:leftChars="0" w:firstLine="0" w:firstLineChars="0"/>
              <w:jc w:val="both"/>
              <w:rPr>
                <w:rFonts w:hint="default" w:ascii="仿宋_GB2312" w:hAnsi="仿宋_GB2312" w:eastAsia="仿宋_GB2312" w:cs="仿宋_GB2312"/>
                <w:color w:val="000000"/>
                <w:kern w:val="2"/>
                <w:sz w:val="28"/>
                <w:szCs w:val="28"/>
                <w:vertAlign w:val="baseline"/>
                <w:lang w:val="en-US" w:eastAsia="zh-CN" w:bidi="ar-SA"/>
              </w:rPr>
            </w:pPr>
            <w:r>
              <w:rPr>
                <w:rFonts w:hint="eastAsia" w:ascii="黑体" w:hAnsi="黑体" w:eastAsia="黑体" w:cs="黑体"/>
                <w:color w:val="000000"/>
                <w:kern w:val="2"/>
                <w:sz w:val="28"/>
                <w:szCs w:val="28"/>
                <w:vertAlign w:val="baseline"/>
                <w:lang w:val="en-US" w:eastAsia="zh-CN" w:bidi="ar-SA"/>
              </w:rPr>
              <w:t>备注</w:t>
            </w:r>
          </w:p>
        </w:tc>
      </w:tr>
      <w:tr w14:paraId="4629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66" w:type="pct"/>
          </w:tcPr>
          <w:p w14:paraId="72E4FEAE">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1</w:t>
            </w:r>
          </w:p>
        </w:tc>
        <w:tc>
          <w:tcPr>
            <w:tcW w:w="3554" w:type="pct"/>
          </w:tcPr>
          <w:p w14:paraId="404CFDD9">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检查配电室的回路走向及楼层分配</w:t>
            </w:r>
          </w:p>
        </w:tc>
        <w:tc>
          <w:tcPr>
            <w:tcW w:w="678" w:type="pct"/>
          </w:tcPr>
          <w:p w14:paraId="71FA072B">
            <w:pPr>
              <w:pStyle w:val="14"/>
              <w:rPr>
                <w:rFonts w:hint="eastAsia" w:ascii="仿宋_GB2312" w:hAnsi="仿宋_GB2312" w:eastAsia="仿宋_GB2312" w:cs="仿宋_GB2312"/>
                <w:color w:val="000000"/>
                <w:kern w:val="2"/>
                <w:sz w:val="28"/>
                <w:szCs w:val="28"/>
                <w:vertAlign w:val="baseline"/>
                <w:lang w:val="en-US" w:eastAsia="zh-CN" w:bidi="ar-SA"/>
              </w:rPr>
            </w:pPr>
          </w:p>
        </w:tc>
      </w:tr>
      <w:tr w14:paraId="3C6C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66" w:type="pct"/>
          </w:tcPr>
          <w:p w14:paraId="234DBAB3">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2</w:t>
            </w:r>
          </w:p>
        </w:tc>
        <w:tc>
          <w:tcPr>
            <w:tcW w:w="3554" w:type="pct"/>
          </w:tcPr>
          <w:p w14:paraId="1D17C255">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测算公路大厦各楼层（地上19层、地下1层）的用电功率及线路回路</w:t>
            </w:r>
          </w:p>
        </w:tc>
        <w:tc>
          <w:tcPr>
            <w:tcW w:w="678" w:type="pct"/>
          </w:tcPr>
          <w:p w14:paraId="77AABC5C">
            <w:pPr>
              <w:pStyle w:val="14"/>
              <w:rPr>
                <w:rFonts w:hint="eastAsia" w:ascii="仿宋_GB2312" w:hAnsi="仿宋_GB2312" w:eastAsia="仿宋_GB2312" w:cs="仿宋_GB2312"/>
                <w:color w:val="000000"/>
                <w:kern w:val="2"/>
                <w:sz w:val="28"/>
                <w:szCs w:val="28"/>
                <w:vertAlign w:val="baseline"/>
                <w:lang w:val="en-US" w:eastAsia="zh-CN" w:bidi="ar-SA"/>
              </w:rPr>
            </w:pPr>
          </w:p>
        </w:tc>
      </w:tr>
      <w:tr w14:paraId="06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6" w:type="pct"/>
          </w:tcPr>
          <w:p w14:paraId="0EC09F1A">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3</w:t>
            </w:r>
          </w:p>
        </w:tc>
        <w:tc>
          <w:tcPr>
            <w:tcW w:w="3554" w:type="pct"/>
          </w:tcPr>
          <w:p w14:paraId="717FCC15">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汇总回路功率及负载开关</w:t>
            </w:r>
          </w:p>
        </w:tc>
        <w:tc>
          <w:tcPr>
            <w:tcW w:w="678" w:type="pct"/>
          </w:tcPr>
          <w:p w14:paraId="71F7F30E">
            <w:pPr>
              <w:pStyle w:val="14"/>
              <w:rPr>
                <w:rFonts w:hint="eastAsia" w:ascii="仿宋_GB2312" w:hAnsi="仿宋_GB2312" w:eastAsia="仿宋_GB2312" w:cs="仿宋_GB2312"/>
                <w:color w:val="000000"/>
                <w:kern w:val="2"/>
                <w:sz w:val="28"/>
                <w:szCs w:val="28"/>
                <w:vertAlign w:val="baseline"/>
                <w:lang w:val="en-US" w:eastAsia="zh-CN" w:bidi="ar-SA"/>
              </w:rPr>
            </w:pPr>
          </w:p>
        </w:tc>
      </w:tr>
      <w:tr w14:paraId="5A8F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Pr>
          <w:p w14:paraId="501F9C9D">
            <w:pPr>
              <w:pStyle w:val="14"/>
              <w:ind w:left="0" w:leftChars="0" w:firstLine="0" w:firstLineChars="0"/>
              <w:jc w:val="center"/>
              <w:rPr>
                <w:rFonts w:hint="eastAsia" w:asciiTheme="majorEastAsia" w:hAnsiTheme="majorEastAsia" w:eastAsiaTheme="majorEastAsia" w:cstheme="majorEastAsia"/>
                <w:color w:val="000000"/>
                <w:kern w:val="2"/>
                <w:sz w:val="30"/>
                <w:szCs w:val="30"/>
                <w:vertAlign w:val="baseline"/>
                <w:lang w:val="en-US" w:eastAsia="zh-CN" w:bidi="ar-SA"/>
              </w:rPr>
            </w:pPr>
            <w:r>
              <w:rPr>
                <w:rFonts w:hint="eastAsia" w:asciiTheme="majorEastAsia" w:hAnsiTheme="majorEastAsia" w:eastAsiaTheme="majorEastAsia" w:cstheme="majorEastAsia"/>
                <w:color w:val="000000"/>
                <w:kern w:val="2"/>
                <w:sz w:val="30"/>
                <w:szCs w:val="30"/>
                <w:vertAlign w:val="baseline"/>
                <w:lang w:val="en-US" w:eastAsia="zh-CN" w:bidi="ar-SA"/>
              </w:rPr>
              <w:t>4</w:t>
            </w:r>
          </w:p>
        </w:tc>
        <w:tc>
          <w:tcPr>
            <w:tcW w:w="3554" w:type="pct"/>
          </w:tcPr>
          <w:p w14:paraId="574C4E7E">
            <w:pPr>
              <w:pStyle w:val="14"/>
              <w:ind w:left="0" w:leftChars="0" w:firstLine="0" w:firstLineChars="0"/>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汇总功率测算、变压器的负载</w:t>
            </w:r>
          </w:p>
        </w:tc>
        <w:tc>
          <w:tcPr>
            <w:tcW w:w="678" w:type="pct"/>
          </w:tcPr>
          <w:p w14:paraId="601B4D90">
            <w:pPr>
              <w:pStyle w:val="14"/>
              <w:rPr>
                <w:rFonts w:hint="eastAsia" w:ascii="仿宋_GB2312" w:hAnsi="仿宋_GB2312" w:eastAsia="仿宋_GB2312" w:cs="仿宋_GB2312"/>
                <w:color w:val="000000"/>
                <w:kern w:val="2"/>
                <w:sz w:val="28"/>
                <w:szCs w:val="28"/>
                <w:vertAlign w:val="baseline"/>
                <w:lang w:val="en-US" w:eastAsia="zh-CN" w:bidi="ar-SA"/>
              </w:rPr>
            </w:pPr>
          </w:p>
        </w:tc>
      </w:tr>
    </w:tbl>
    <w:p w14:paraId="0D41391C">
      <w:pPr>
        <w:pStyle w:val="14"/>
        <w:rPr>
          <w:rFonts w:hint="default"/>
          <w:lang w:val="en-US" w:eastAsia="zh-CN"/>
        </w:rPr>
      </w:pPr>
    </w:p>
    <w:p w14:paraId="55777E98">
      <w:pPr>
        <w:pStyle w:val="14"/>
        <w:rPr>
          <w:rFonts w:hint="default"/>
          <w:lang w:val="en-US" w:eastAsia="zh-CN"/>
        </w:rPr>
      </w:pPr>
    </w:p>
    <w:p w14:paraId="25C1C06E">
      <w:pPr>
        <w:pStyle w:val="14"/>
        <w:rPr>
          <w:rFonts w:hint="default"/>
          <w:lang w:val="en-US" w:eastAsia="zh-CN"/>
        </w:rPr>
      </w:pPr>
    </w:p>
    <w:p w14:paraId="3DFA4545">
      <w:pPr>
        <w:pStyle w:val="14"/>
        <w:rPr>
          <w:rFonts w:hint="default"/>
          <w:lang w:val="en-US" w:eastAsia="zh-CN"/>
        </w:rPr>
      </w:pPr>
    </w:p>
    <w:p w14:paraId="2E8D4596">
      <w:pPr>
        <w:pStyle w:val="14"/>
        <w:ind w:left="0" w:leftChars="0" w:firstLine="0" w:firstLineChars="0"/>
        <w:rPr>
          <w:rFonts w:hint="eastAsia" w:ascii="仿宋_GB2312" w:hAnsi="仿宋_GB2312" w:eastAsia="仿宋_GB2312" w:cs="仿宋_GB2312"/>
          <w:color w:val="000000"/>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14:paraId="58F038C2">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14:paraId="2B91CDE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NzU4MjViZjdkMWVlYzRlOGUwNzkxM2E2MTMxYWE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5263C65"/>
    <w:rsid w:val="0A190B04"/>
    <w:rsid w:val="0A550018"/>
    <w:rsid w:val="0AC2092E"/>
    <w:rsid w:val="0C215FF4"/>
    <w:rsid w:val="0E586FE7"/>
    <w:rsid w:val="0F804E22"/>
    <w:rsid w:val="12E254A5"/>
    <w:rsid w:val="146466F8"/>
    <w:rsid w:val="15040250"/>
    <w:rsid w:val="172613C3"/>
    <w:rsid w:val="18133E44"/>
    <w:rsid w:val="18A847B7"/>
    <w:rsid w:val="1C1F3978"/>
    <w:rsid w:val="1C7A62B4"/>
    <w:rsid w:val="1ED84CDF"/>
    <w:rsid w:val="24507394"/>
    <w:rsid w:val="2A8449D0"/>
    <w:rsid w:val="2B7413D5"/>
    <w:rsid w:val="2E733FAC"/>
    <w:rsid w:val="2F7F5B30"/>
    <w:rsid w:val="38BE60B5"/>
    <w:rsid w:val="3DCC1EB9"/>
    <w:rsid w:val="3E6C0C83"/>
    <w:rsid w:val="44000AFA"/>
    <w:rsid w:val="48134D47"/>
    <w:rsid w:val="49F927E9"/>
    <w:rsid w:val="4A600C76"/>
    <w:rsid w:val="4FF24EEF"/>
    <w:rsid w:val="5193023F"/>
    <w:rsid w:val="52DD7994"/>
    <w:rsid w:val="54180DA0"/>
    <w:rsid w:val="54A8422D"/>
    <w:rsid w:val="558D1E46"/>
    <w:rsid w:val="56DB0803"/>
    <w:rsid w:val="59654A62"/>
    <w:rsid w:val="5E95712C"/>
    <w:rsid w:val="5F16521D"/>
    <w:rsid w:val="60153C15"/>
    <w:rsid w:val="62C93456"/>
    <w:rsid w:val="656C44BC"/>
    <w:rsid w:val="65B12BD8"/>
    <w:rsid w:val="66244E2E"/>
    <w:rsid w:val="67976B83"/>
    <w:rsid w:val="70FE340A"/>
    <w:rsid w:val="73EF7FB3"/>
    <w:rsid w:val="757D4185"/>
    <w:rsid w:val="765A342A"/>
    <w:rsid w:val="7719513F"/>
    <w:rsid w:val="7CAB52BF"/>
    <w:rsid w:val="7E231D63"/>
    <w:rsid w:val="7FFA1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0"/>
    <w:autoRedefine/>
    <w:qFormat/>
    <w:uiPriority w:val="1"/>
    <w:pPr>
      <w:spacing w:before="161"/>
      <w:ind w:left="120"/>
    </w:pPr>
    <w:rPr>
      <w:rFonts w:ascii="宋体" w:hAnsi="宋体" w:eastAsia="宋体" w:cs="宋体"/>
      <w:sz w:val="24"/>
      <w:szCs w:val="24"/>
      <w:lang w:val="zh-CN" w:bidi="zh-CN"/>
    </w:rPr>
  </w:style>
  <w:style w:type="paragraph" w:styleId="4">
    <w:name w:val="Plain Text"/>
    <w:basedOn w:val="1"/>
    <w:link w:val="18"/>
    <w:autoRedefine/>
    <w:qFormat/>
    <w:uiPriority w:val="0"/>
    <w:rPr>
      <w:rFonts w:ascii="宋体" w:hAnsi="Courier New"/>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8">
    <w:name w:val="Normal (Web)"/>
    <w:basedOn w:val="1"/>
    <w:semiHidden/>
    <w:unhideWhenUsed/>
    <w:qFormat/>
    <w:uiPriority w:val="99"/>
    <w:rPr>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paragraph" w:customStyle="1" w:styleId="14">
    <w:name w:val="首行缩进"/>
    <w:basedOn w:val="1"/>
    <w:autoRedefine/>
    <w:qFormat/>
    <w:uiPriority w:val="0"/>
    <w:pPr>
      <w:ind w:firstLine="480" w:firstLineChars="200"/>
    </w:pPr>
  </w:style>
  <w:style w:type="character" w:customStyle="1" w:styleId="15">
    <w:name w:val="页眉 Char"/>
    <w:basedOn w:val="11"/>
    <w:link w:val="6"/>
    <w:autoRedefine/>
    <w:qFormat/>
    <w:uiPriority w:val="0"/>
    <w:rPr>
      <w:sz w:val="18"/>
      <w:szCs w:val="18"/>
    </w:rPr>
  </w:style>
  <w:style w:type="character" w:customStyle="1" w:styleId="16">
    <w:name w:val="页脚 Char"/>
    <w:basedOn w:val="11"/>
    <w:link w:val="5"/>
    <w:autoRedefine/>
    <w:qFormat/>
    <w:uiPriority w:val="99"/>
    <w:rPr>
      <w:sz w:val="18"/>
      <w:szCs w:val="18"/>
    </w:rPr>
  </w:style>
  <w:style w:type="character" w:customStyle="1" w:styleId="17">
    <w:name w:val="纯文本 Char"/>
    <w:link w:val="4"/>
    <w:autoRedefine/>
    <w:qFormat/>
    <w:uiPriority w:val="0"/>
    <w:rPr>
      <w:rFonts w:ascii="宋体" w:hAnsi="Courier New"/>
    </w:rPr>
  </w:style>
  <w:style w:type="character" w:customStyle="1" w:styleId="18">
    <w:name w:val="纯文本 Char1"/>
    <w:basedOn w:val="11"/>
    <w:link w:val="4"/>
    <w:autoRedefine/>
    <w:semiHidden/>
    <w:qFormat/>
    <w:uiPriority w:val="99"/>
    <w:rPr>
      <w:rFonts w:ascii="宋体" w:hAnsi="Courier New" w:eastAsia="宋体" w:cs="Courier New"/>
      <w:szCs w:val="21"/>
    </w:rPr>
  </w:style>
  <w:style w:type="paragraph" w:customStyle="1" w:styleId="19">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20">
    <w:name w:val="正文文本 Char"/>
    <w:basedOn w:val="11"/>
    <w:link w:val="3"/>
    <w:autoRedefine/>
    <w:qFormat/>
    <w:uiPriority w:val="1"/>
    <w:rPr>
      <w:rFonts w:ascii="宋体" w:hAnsi="宋体" w:eastAsia="宋体" w:cs="宋体"/>
      <w:kern w:val="2"/>
      <w:sz w:val="24"/>
      <w:szCs w:val="24"/>
      <w:lang w:val="zh-CN" w:bidi="zh-CN"/>
    </w:rPr>
  </w:style>
  <w:style w:type="character" w:customStyle="1" w:styleId="21">
    <w:name w:val="font61"/>
    <w:basedOn w:val="11"/>
    <w:autoRedefine/>
    <w:qFormat/>
    <w:uiPriority w:val="0"/>
    <w:rPr>
      <w:rFonts w:hint="eastAsia" w:ascii="宋体" w:hAnsi="宋体" w:eastAsia="宋体" w:cs="宋体"/>
      <w:color w:val="000000"/>
      <w:sz w:val="18"/>
      <w:szCs w:val="18"/>
      <w:u w:val="none"/>
    </w:rPr>
  </w:style>
  <w:style w:type="character" w:customStyle="1" w:styleId="22">
    <w:name w:val="font91"/>
    <w:basedOn w:val="11"/>
    <w:autoRedefine/>
    <w:qFormat/>
    <w:uiPriority w:val="0"/>
    <w:rPr>
      <w:rFonts w:ascii="Arial" w:hAnsi="Arial" w:cs="Arial"/>
      <w:color w:val="000000"/>
      <w:sz w:val="18"/>
      <w:szCs w:val="18"/>
      <w:u w:val="none"/>
    </w:rPr>
  </w:style>
  <w:style w:type="character" w:customStyle="1" w:styleId="23">
    <w:name w:val="font101"/>
    <w:basedOn w:val="11"/>
    <w:autoRedefine/>
    <w:qFormat/>
    <w:uiPriority w:val="0"/>
    <w:rPr>
      <w:rFonts w:hint="eastAsia" w:ascii="宋体" w:hAnsi="宋体" w:eastAsia="宋体" w:cs="宋体"/>
      <w:b/>
      <w:bCs/>
      <w:color w:val="000000"/>
      <w:sz w:val="18"/>
      <w:szCs w:val="18"/>
      <w:u w:val="none"/>
    </w:rPr>
  </w:style>
  <w:style w:type="character" w:customStyle="1" w:styleId="24">
    <w:name w:val="font112"/>
    <w:basedOn w:val="11"/>
    <w:autoRedefine/>
    <w:qFormat/>
    <w:uiPriority w:val="0"/>
    <w:rPr>
      <w:rFonts w:hint="eastAsia" w:ascii="宋体" w:hAnsi="宋体" w:eastAsia="宋体" w:cs="宋体"/>
      <w:color w:val="000000"/>
      <w:sz w:val="18"/>
      <w:szCs w:val="18"/>
      <w:u w:val="none"/>
      <w:vertAlign w:val="superscript"/>
    </w:rPr>
  </w:style>
  <w:style w:type="character" w:customStyle="1" w:styleId="25">
    <w:name w:val="font2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1959</Words>
  <Characters>2205</Characters>
  <Lines>46</Lines>
  <Paragraphs>13</Paragraphs>
  <TotalTime>210</TotalTime>
  <ScaleCrop>false</ScaleCrop>
  <LinksUpToDate>false</LinksUpToDate>
  <CharactersWithSpaces>2210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蚂蚁</cp:lastModifiedBy>
  <cp:lastPrinted>2025-05-27T02:19:05Z</cp:lastPrinted>
  <dcterms:modified xsi:type="dcterms:W3CDTF">2025-05-27T08:51:49Z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880B52492B20478AB821BED3F7E77D2B_13</vt:lpwstr>
  </property>
  <property fmtid="{D5CDD505-2E9C-101B-9397-08002B2CF9AE}" pid="4" name="KSOTemplateDocerSaveRecord">
    <vt:lpwstr>eyJoZGlkIjoiMjZlNzBiZDk4YzBkOTg5YzRmNWI3MmQ1YjQwMjM4ZmMiLCJ1c2VySWQiOiI0MTgwNTU0NDIifQ==</vt:lpwstr>
  </property>
</Properties>
</file>