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8407F"/>
    <w:p w14:paraId="1F13CBDD">
      <w:pPr>
        <w:spacing w:line="560" w:lineRule="exact"/>
        <w:jc w:val="center"/>
        <w:rPr>
          <w:rFonts w:hint="eastAsia" w:ascii="方正公文小标宋" w:hAnsi="方正公文小标宋" w:eastAsia="方正公文小标宋" w:cs="方正公文小标宋"/>
          <w:b/>
          <w:sz w:val="52"/>
          <w:szCs w:val="52"/>
        </w:rPr>
      </w:pPr>
    </w:p>
    <w:p w14:paraId="7EF768B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广西壮族自治区交通运输综合行政执法局</w:t>
      </w:r>
    </w:p>
    <w:p w14:paraId="0A0965B2">
      <w:pPr>
        <w:spacing w:line="560" w:lineRule="exact"/>
        <w:jc w:val="center"/>
        <w:rPr>
          <w:rFonts w:hint="eastAsia" w:ascii="方正小标宋简体" w:hAnsi="方正小标宋简体" w:eastAsia="方正小标宋简体" w:cs="方正小标宋简体"/>
          <w:sz w:val="44"/>
          <w:szCs w:val="44"/>
        </w:rPr>
      </w:pPr>
      <w:r>
        <w:rPr>
          <w:rFonts w:hint="eastAsia" w:ascii="方正小标宋_GBK" w:hAnsi="宋体" w:eastAsia="方正小标宋_GBK" w:cs="宋体"/>
          <w:sz w:val="44"/>
          <w:szCs w:val="44"/>
        </w:rPr>
        <w:t>无人机</w:t>
      </w:r>
      <w:r>
        <w:rPr>
          <w:rFonts w:hint="eastAsia" w:ascii="方正小标宋_GBK" w:hAnsi="宋体" w:eastAsia="方正小标宋_GBK" w:cs="宋体"/>
          <w:sz w:val="44"/>
          <w:szCs w:val="44"/>
          <w:lang w:eastAsia="zh-CN"/>
        </w:rPr>
        <w:t>辅助</w:t>
      </w:r>
      <w:r>
        <w:rPr>
          <w:rFonts w:hint="eastAsia" w:ascii="方正小标宋_GBK" w:hAnsi="___WRD_EMBED_SUB_45" w:eastAsia="方正小标宋_GBK" w:cs="___WRD_EMBED_SUB_45"/>
          <w:sz w:val="44"/>
          <w:szCs w:val="44"/>
        </w:rPr>
        <w:t>执法</w:t>
      </w:r>
      <w:r>
        <w:rPr>
          <w:rFonts w:hint="eastAsia" w:ascii="方正小标宋_GBK" w:hAnsi="宋体" w:eastAsia="方正小标宋_GBK" w:cs="宋体"/>
          <w:sz w:val="44"/>
          <w:szCs w:val="44"/>
        </w:rPr>
        <w:t>操作规程编制</w:t>
      </w:r>
      <w:r>
        <w:rPr>
          <w:rFonts w:hint="eastAsia" w:ascii="方正小标宋简体" w:hAnsi="方正小标宋简体" w:eastAsia="方正小标宋简体" w:cs="方正小标宋简体"/>
          <w:sz w:val="44"/>
          <w:szCs w:val="44"/>
        </w:rPr>
        <w:t>服务</w:t>
      </w:r>
    </w:p>
    <w:p w14:paraId="66101A8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询价采购文件</w:t>
      </w:r>
    </w:p>
    <w:p w14:paraId="1A057F62">
      <w:pPr>
        <w:rPr>
          <w:sz w:val="44"/>
          <w:szCs w:val="44"/>
        </w:rPr>
      </w:pPr>
    </w:p>
    <w:p w14:paraId="7CE6EA98"/>
    <w:p w14:paraId="65916A19"/>
    <w:p w14:paraId="6F083CC1"/>
    <w:p w14:paraId="493B2CA8"/>
    <w:p w14:paraId="3620ACFC">
      <w:pPr>
        <w:rPr>
          <w:b/>
          <w:sz w:val="84"/>
          <w:szCs w:val="84"/>
        </w:rPr>
      </w:pPr>
    </w:p>
    <w:p w14:paraId="14C2598D"/>
    <w:p w14:paraId="536E4286"/>
    <w:p w14:paraId="60B60809"/>
    <w:p w14:paraId="0B96C700"/>
    <w:p w14:paraId="47F10C85"/>
    <w:p w14:paraId="23D08EFE">
      <w:pPr>
        <w:rPr>
          <w:b/>
          <w:sz w:val="36"/>
          <w:szCs w:val="36"/>
        </w:rPr>
      </w:pPr>
    </w:p>
    <w:p w14:paraId="08467821">
      <w:pPr>
        <w:rPr>
          <w:b/>
          <w:sz w:val="36"/>
          <w:szCs w:val="36"/>
        </w:rPr>
      </w:pPr>
    </w:p>
    <w:p w14:paraId="14A4667A">
      <w:pPr>
        <w:rPr>
          <w:b/>
          <w:sz w:val="36"/>
          <w:szCs w:val="36"/>
        </w:rPr>
      </w:pPr>
    </w:p>
    <w:p w14:paraId="75EB9C59">
      <w:pPr>
        <w:rPr>
          <w:b/>
          <w:sz w:val="36"/>
          <w:szCs w:val="36"/>
        </w:rPr>
      </w:pPr>
    </w:p>
    <w:p w14:paraId="26B71F66">
      <w:pPr>
        <w:jc w:val="center"/>
        <w:rPr>
          <w:rFonts w:hint="eastAsia" w:ascii="黑体" w:hAnsi="黑体" w:eastAsia="黑体" w:cs="黑体"/>
          <w:b/>
          <w:sz w:val="36"/>
          <w:szCs w:val="36"/>
        </w:rPr>
      </w:pPr>
    </w:p>
    <w:p w14:paraId="4E0F79B0">
      <w:pPr>
        <w:rPr>
          <w:rFonts w:hint="eastAsia" w:ascii="黑体" w:hAnsi="黑体" w:eastAsia="黑体" w:cs="黑体"/>
          <w:b/>
          <w:sz w:val="36"/>
          <w:szCs w:val="36"/>
        </w:rPr>
      </w:pPr>
    </w:p>
    <w:p w14:paraId="2D147F86">
      <w:pPr>
        <w:pStyle w:val="16"/>
      </w:pPr>
    </w:p>
    <w:p w14:paraId="14A892A0">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采购单位：自治区交通运输综合行政执法局</w:t>
      </w:r>
    </w:p>
    <w:p w14:paraId="3D67B184">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日期：2025年</w: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sz w:val="36"/>
          <w:szCs w:val="36"/>
        </w:rPr>
        <w:t>月</w:t>
      </w: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日</w:t>
      </w:r>
    </w:p>
    <w:p w14:paraId="0D2D08C6">
      <w:pPr>
        <w:rPr>
          <w:rFonts w:ascii="仿宋_GB2312" w:eastAsia="仿宋_GB2312"/>
          <w:b/>
          <w:sz w:val="48"/>
          <w:szCs w:val="48"/>
        </w:rPr>
      </w:pPr>
    </w:p>
    <w:p w14:paraId="69E78C71">
      <w:pPr>
        <w:spacing w:line="56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广西壮族自治区交通运输综合行政执法局</w:t>
      </w:r>
    </w:p>
    <w:p w14:paraId="69CCB73F">
      <w:pPr>
        <w:spacing w:line="560" w:lineRule="exact"/>
        <w:jc w:val="center"/>
        <w:rPr>
          <w:rFonts w:hint="eastAsia" w:ascii="方正小标宋简体" w:hAnsi="方正小标宋简体" w:eastAsia="方正小标宋简体" w:cs="方正小标宋简体"/>
          <w:sz w:val="44"/>
          <w:szCs w:val="44"/>
        </w:rPr>
      </w:pPr>
      <w:bookmarkStart w:id="0" w:name="_Hlk203635967"/>
      <w:bookmarkStart w:id="1" w:name="_Hlk203636004"/>
      <w:bookmarkStart w:id="2" w:name="_Hlk203636030"/>
      <w:r>
        <w:rPr>
          <w:rFonts w:hint="eastAsia" w:ascii="方正小标宋_GBK" w:hAnsi="宋体" w:eastAsia="方正小标宋_GBK" w:cs="宋体"/>
          <w:sz w:val="44"/>
          <w:szCs w:val="44"/>
        </w:rPr>
        <w:t>无人机</w:t>
      </w:r>
      <w:r>
        <w:rPr>
          <w:rFonts w:hint="eastAsia" w:ascii="方正小标宋_GBK" w:hAnsi="宋体" w:eastAsia="方正小标宋_GBK" w:cs="宋体"/>
          <w:sz w:val="44"/>
          <w:szCs w:val="44"/>
          <w:lang w:eastAsia="zh-CN"/>
        </w:rPr>
        <w:t>辅助</w:t>
      </w:r>
      <w:r>
        <w:rPr>
          <w:rFonts w:hint="eastAsia" w:ascii="方正小标宋_GBK" w:hAnsi="___WRD_EMBED_SUB_45" w:eastAsia="方正小标宋_GBK" w:cs="___WRD_EMBED_SUB_45"/>
          <w:sz w:val="44"/>
          <w:szCs w:val="44"/>
        </w:rPr>
        <w:t>执法</w:t>
      </w:r>
      <w:r>
        <w:rPr>
          <w:rFonts w:hint="eastAsia" w:ascii="方正小标宋_GBK" w:hAnsi="宋体" w:eastAsia="方正小标宋_GBK" w:cs="宋体"/>
          <w:sz w:val="44"/>
          <w:szCs w:val="44"/>
        </w:rPr>
        <w:t>操作规程</w:t>
      </w:r>
      <w:bookmarkEnd w:id="0"/>
      <w:r>
        <w:rPr>
          <w:rFonts w:hint="eastAsia" w:ascii="方正小标宋_GBK" w:hAnsi="宋体" w:eastAsia="方正小标宋_GBK" w:cs="宋体"/>
          <w:sz w:val="44"/>
          <w:szCs w:val="44"/>
        </w:rPr>
        <w:t>编制</w:t>
      </w:r>
      <w:bookmarkEnd w:id="1"/>
      <w:r>
        <w:rPr>
          <w:rFonts w:hint="eastAsia" w:ascii="方正小标宋简体" w:hAnsi="方正小标宋简体" w:eastAsia="方正小标宋简体" w:cs="方正小标宋简体"/>
          <w:sz w:val="44"/>
          <w:szCs w:val="44"/>
        </w:rPr>
        <w:t>服务</w:t>
      </w:r>
      <w:bookmarkEnd w:id="2"/>
    </w:p>
    <w:p w14:paraId="20F96D6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供应商需知</w:t>
      </w:r>
    </w:p>
    <w:p w14:paraId="1FCECC93">
      <w:pPr>
        <w:rPr>
          <w:rFonts w:hint="eastAsia" w:ascii="仿宋_GB2312" w:hAnsi="仿宋_GB2312" w:eastAsia="仿宋_GB2312" w:cs="仿宋_GB2312"/>
        </w:rPr>
      </w:pPr>
    </w:p>
    <w:p w14:paraId="4417080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w:t>
      </w:r>
      <w:r>
        <w:rPr>
          <w:rFonts w:hint="eastAsia" w:ascii="仿宋_GB2312" w:hAnsi="仿宋_GB2312" w:eastAsia="仿宋_GB2312" w:cs="仿宋_GB2312"/>
          <w:sz w:val="28"/>
          <w:szCs w:val="28"/>
          <w:lang w:eastAsia="zh-CN"/>
        </w:rPr>
        <w:t>我区交通运输</w:t>
      </w:r>
      <w:r>
        <w:rPr>
          <w:rFonts w:hint="eastAsia" w:ascii="仿宋_GB2312" w:hAnsi="仿宋_GB2312" w:eastAsia="仿宋_GB2312" w:cs="仿宋_GB2312"/>
          <w:sz w:val="28"/>
          <w:szCs w:val="28"/>
        </w:rPr>
        <w:t>无人机</w:t>
      </w:r>
      <w:r>
        <w:rPr>
          <w:rFonts w:hint="eastAsia" w:ascii="仿宋_GB2312" w:hAnsi="仿宋_GB2312" w:eastAsia="仿宋_GB2312" w:cs="仿宋_GB2312"/>
          <w:sz w:val="28"/>
          <w:szCs w:val="28"/>
          <w:lang w:eastAsia="zh-CN"/>
        </w:rPr>
        <w:t>辅助</w:t>
      </w:r>
      <w:r>
        <w:rPr>
          <w:rFonts w:hint="eastAsia" w:ascii="仿宋_GB2312" w:hAnsi="仿宋_GB2312" w:eastAsia="仿宋_GB2312" w:cs="仿宋_GB2312"/>
          <w:sz w:val="28"/>
          <w:szCs w:val="28"/>
        </w:rPr>
        <w:t>执法操作规程，按照自治区交通运输厅的年度标准化工作部署，结合我局实际，现邀请贵单位参与无人机</w:t>
      </w:r>
      <w:r>
        <w:rPr>
          <w:rFonts w:hint="eastAsia" w:ascii="仿宋_GB2312" w:hAnsi="仿宋_GB2312" w:eastAsia="仿宋_GB2312" w:cs="仿宋_GB2312"/>
          <w:sz w:val="28"/>
          <w:szCs w:val="28"/>
          <w:lang w:eastAsia="zh-CN"/>
        </w:rPr>
        <w:t>辅助</w:t>
      </w:r>
      <w:r>
        <w:rPr>
          <w:rFonts w:hint="eastAsia" w:ascii="仿宋_GB2312" w:hAnsi="仿宋_GB2312" w:eastAsia="仿宋_GB2312" w:cs="仿宋_GB2312"/>
          <w:sz w:val="28"/>
          <w:szCs w:val="28"/>
        </w:rPr>
        <w:t>执法操作规程编制服务报</w:t>
      </w:r>
      <w:r>
        <w:rPr>
          <w:rFonts w:hint="eastAsia" w:ascii="仿宋_GB2312" w:hAnsi="仿宋_GB2312" w:eastAsia="仿宋_GB2312" w:cs="仿宋_GB2312"/>
          <w:color w:val="000000"/>
          <w:sz w:val="28"/>
          <w:szCs w:val="28"/>
        </w:rPr>
        <w:t>价，</w:t>
      </w:r>
      <w:r>
        <w:rPr>
          <w:rFonts w:hint="eastAsia" w:ascii="仿宋_GB2312" w:hAnsi="仿宋_GB2312" w:eastAsia="仿宋_GB2312" w:cs="仿宋_GB2312"/>
          <w:sz w:val="28"/>
          <w:szCs w:val="28"/>
        </w:rPr>
        <w:t>我局将根据各单位所报文件通过</w:t>
      </w:r>
      <w:r>
        <w:rPr>
          <w:rFonts w:hint="eastAsia" w:ascii="仿宋_GB2312" w:hAnsi="仿宋_GB2312" w:eastAsia="仿宋_GB2312" w:cs="仿宋_GB2312"/>
          <w:color w:val="000000" w:themeColor="text1"/>
          <w:sz w:val="28"/>
          <w:szCs w:val="28"/>
          <w14:textFill>
            <w14:solidFill>
              <w14:schemeClr w14:val="tx1"/>
            </w14:solidFill>
          </w14:textFill>
        </w:rPr>
        <w:t>综合评分,分高者中标的方式</w:t>
      </w:r>
      <w:r>
        <w:rPr>
          <w:rFonts w:hint="eastAsia" w:ascii="仿宋_GB2312" w:hAnsi="仿宋_GB2312" w:eastAsia="仿宋_GB2312" w:cs="仿宋_GB2312"/>
          <w:sz w:val="28"/>
          <w:szCs w:val="28"/>
        </w:rPr>
        <w:t>确定成交供应商，并与成交供应商</w:t>
      </w:r>
      <w:r>
        <w:rPr>
          <w:rFonts w:hint="eastAsia" w:ascii="仿宋_GB2312" w:hAnsi="仿宋_GB2312" w:eastAsia="仿宋_GB2312" w:cs="仿宋_GB2312"/>
          <w:color w:val="000000"/>
          <w:sz w:val="28"/>
          <w:szCs w:val="28"/>
        </w:rPr>
        <w:t>通过线下签订合同</w:t>
      </w:r>
      <w:r>
        <w:rPr>
          <w:rFonts w:hint="eastAsia" w:ascii="仿宋_GB2312" w:hAnsi="仿宋_GB2312" w:eastAsia="仿宋_GB2312" w:cs="仿宋_GB2312"/>
          <w:sz w:val="28"/>
          <w:szCs w:val="28"/>
        </w:rPr>
        <w:t>实施采购。</w:t>
      </w:r>
    </w:p>
    <w:p w14:paraId="64F2EDFC">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一、项目概况</w:t>
      </w:r>
    </w:p>
    <w:p w14:paraId="437096D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（一）项目名称：无人机执法操作规程编制服务</w:t>
      </w:r>
    </w:p>
    <w:p w14:paraId="38B874A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（二）采购方式：询价采购</w:t>
      </w:r>
    </w:p>
    <w:p w14:paraId="44C1FA11">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（三）预算金额：人民币25万元</w:t>
      </w:r>
    </w:p>
    <w:p w14:paraId="4B34718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（四）最高限价：同采购预算金额</w:t>
      </w:r>
    </w:p>
    <w:p w14:paraId="12EEE4BA">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二、服务要求</w:t>
      </w:r>
    </w:p>
    <w:p w14:paraId="484734B8">
      <w:pPr>
        <w:spacing w:line="480" w:lineRule="exact"/>
        <w:ind w:left="559" w:leftChars="26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（一）报价人应承诺投入本项目团队不少于3人。</w:t>
      </w:r>
    </w:p>
    <w:p w14:paraId="35C92B8C">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报价人需指定具备相关项目咨询经验的人员作为项目负责人。咨询服务团队的成员应熟悉交通运输行业、了解交通运输综合执法相关文件要求和标准规范。同时根据咨询服务不同阶段的工作需求，服务单位应及时增配具备相应经验和能力的人员。</w:t>
      </w:r>
    </w:p>
    <w:p w14:paraId="4D2C1C0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（三）报价人必须在报价文件中提供完整的服务方案。自合同签订之日</w:t>
      </w:r>
      <w:r>
        <w:rPr>
          <w:rFonts w:hint="eastAsia" w:ascii="仿宋_GB2312" w:hAnsi="仿宋_GB2312" w:eastAsia="仿宋_GB2312" w:cs="仿宋_GB2312"/>
          <w:sz w:val="28"/>
          <w:szCs w:val="28"/>
          <w:lang w:eastAsia="zh-CN"/>
        </w:rPr>
        <w:t>起在规定时间内完成《</w:t>
      </w:r>
      <w:r>
        <w:rPr>
          <w:rFonts w:hint="eastAsia" w:ascii="仿宋_GB2312" w:hAnsi="仿宋_GB2312" w:eastAsia="仿宋_GB2312" w:cs="仿宋_GB2312"/>
          <w:sz w:val="28"/>
          <w:szCs w:val="28"/>
        </w:rPr>
        <w:t>无人机</w:t>
      </w:r>
      <w:r>
        <w:rPr>
          <w:rFonts w:hint="eastAsia" w:ascii="仿宋_GB2312" w:hAnsi="仿宋_GB2312" w:eastAsia="仿宋_GB2312" w:cs="仿宋_GB2312"/>
          <w:sz w:val="28"/>
          <w:szCs w:val="28"/>
          <w:lang w:eastAsia="zh-CN"/>
        </w:rPr>
        <w:t>辅助</w:t>
      </w:r>
      <w:r>
        <w:rPr>
          <w:rFonts w:hint="eastAsia" w:ascii="仿宋_GB2312" w:hAnsi="仿宋_GB2312" w:eastAsia="仿宋_GB2312" w:cs="仿宋_GB2312"/>
          <w:sz w:val="28"/>
          <w:szCs w:val="28"/>
        </w:rPr>
        <w:t>执法操作规程</w:t>
      </w:r>
      <w:r>
        <w:rPr>
          <w:rFonts w:hint="eastAsia" w:ascii="仿宋_GB2312" w:hAnsi="仿宋_GB2312" w:eastAsia="仿宋_GB2312" w:cs="仿宋_GB2312"/>
          <w:sz w:val="28"/>
          <w:szCs w:val="28"/>
          <w:lang w:eastAsia="zh-CN"/>
        </w:rPr>
        <w:t>》地方标准的立项申请和编制工作</w:t>
      </w:r>
      <w:r>
        <w:rPr>
          <w:rFonts w:hint="eastAsia" w:ascii="仿宋_GB2312" w:hAnsi="仿宋_GB2312" w:eastAsia="仿宋_GB2312" w:cs="仿宋_GB2312"/>
          <w:sz w:val="28"/>
          <w:szCs w:val="28"/>
        </w:rPr>
        <w:t>，并做好自治区交通运输综合行政执法局安排的与此项目相关的其他工作。</w:t>
      </w:r>
    </w:p>
    <w:p w14:paraId="7BE5D31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（四）本次服务全部通过验收后，报价人按采购单位要求提供相关的成果资料和电子文档。</w:t>
      </w:r>
    </w:p>
    <w:p w14:paraId="7C6ABAB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（五）成交方必须严格遵守协议及有关保密要求。</w:t>
      </w:r>
    </w:p>
    <w:p w14:paraId="144963B1">
      <w:pPr>
        <w:spacing w:line="4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三、服务时间</w:t>
      </w:r>
    </w:p>
    <w:p w14:paraId="45EA227B">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自签订合同之日起至服务结束。</w:t>
      </w:r>
    </w:p>
    <w:p w14:paraId="13566D9B">
      <w:pPr>
        <w:spacing w:line="480" w:lineRule="exact"/>
        <w:ind w:firstLine="560" w:firstLineChars="200"/>
        <w:rPr>
          <w:rFonts w:hint="eastAsia" w:ascii="仿宋_GB2312" w:hAnsi="仿宋_GB2312" w:eastAsia="仿宋_GB2312" w:cs="仿宋_GB2312"/>
          <w:sz w:val="28"/>
          <w:szCs w:val="28"/>
        </w:rPr>
      </w:pPr>
    </w:p>
    <w:p w14:paraId="58CD29E5">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四、报价文件组成内容</w:t>
      </w:r>
    </w:p>
    <w:p w14:paraId="76AF052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（一）声明书（加盖单位公章）</w:t>
      </w:r>
    </w:p>
    <w:p w14:paraId="64879395">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（二）报价表（加盖单位公章）</w:t>
      </w:r>
    </w:p>
    <w:p w14:paraId="49C5A73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（三）营业执照及法定代表人身份证复印件（加盖单位公章）</w:t>
      </w:r>
    </w:p>
    <w:p w14:paraId="325B0FF6">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（四）法定代表人授权书（加盖单位公章）</w:t>
      </w:r>
    </w:p>
    <w:p w14:paraId="136281E4">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（五）资质证明材料（加盖单位公章）</w:t>
      </w:r>
    </w:p>
    <w:p w14:paraId="6C0920AA">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（六）具体实施方案等其他需要提供的材料</w:t>
      </w:r>
    </w:p>
    <w:p w14:paraId="02DC7EC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报价方提供的相关材料复印件需签“与原件相符”并盖单位公章。</w:t>
      </w:r>
    </w:p>
    <w:p w14:paraId="437EE40F">
      <w:pPr>
        <w:spacing w:line="4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五、评审方法</w:t>
      </w:r>
    </w:p>
    <w:p w14:paraId="5E2A8965">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sz w:val="28"/>
          <w:szCs w:val="28"/>
        </w:rPr>
        <w:t>评审采用综合评分法，即报价方的报价文件完全响</w:t>
      </w:r>
      <w:bookmarkStart w:id="4" w:name="_GoBack"/>
      <w:bookmarkEnd w:id="4"/>
      <w:r>
        <w:rPr>
          <w:rFonts w:hint="eastAsia" w:ascii="仿宋_GB2312" w:hAnsi="仿宋_GB2312" w:eastAsia="仿宋_GB2312" w:cs="仿宋_GB2312"/>
          <w:color w:val="000000"/>
          <w:sz w:val="28"/>
          <w:szCs w:val="28"/>
        </w:rPr>
        <w:t>应采购文件的前提下，综合评分最高者推荐为第一成交候选人。</w:t>
      </w:r>
    </w:p>
    <w:p w14:paraId="22ADC0B7">
      <w:pPr>
        <w:spacing w:line="480" w:lineRule="exact"/>
        <w:ind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六、报价文件递交</w:t>
      </w:r>
    </w:p>
    <w:p w14:paraId="752D5FA8">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请于2025年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时前，将响应报价文件送达南宁市滨湖路66号广西公路大厦，联系人：张微，联系电话：0771-2115929。</w:t>
      </w:r>
    </w:p>
    <w:p w14:paraId="3BDFBAD3">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附件：综合评分标准</w:t>
      </w:r>
    </w:p>
    <w:p w14:paraId="7E655401">
      <w:pPr>
        <w:spacing w:line="480" w:lineRule="exact"/>
        <w:ind w:firstLine="560" w:firstLineChars="200"/>
        <w:jc w:val="center"/>
        <w:rPr>
          <w:rFonts w:hint="eastAsia" w:ascii="仿宋_GB2312" w:hAnsi="仿宋_GB2312" w:eastAsia="仿宋_GB2312" w:cs="仿宋_GB2312"/>
          <w:sz w:val="28"/>
          <w:szCs w:val="28"/>
        </w:rPr>
      </w:pPr>
    </w:p>
    <w:p w14:paraId="73710A4C">
      <w:pPr>
        <w:spacing w:line="480" w:lineRule="exact"/>
        <w:ind w:firstLine="560" w:firstLineChars="200"/>
        <w:jc w:val="right"/>
        <w:rPr>
          <w:rFonts w:hint="eastAsia" w:ascii="仿宋_GB2312" w:hAnsi="仿宋_GB2312" w:eastAsia="仿宋_GB2312" w:cs="仿宋_GB2312"/>
          <w:sz w:val="28"/>
          <w:szCs w:val="28"/>
        </w:rPr>
      </w:pPr>
    </w:p>
    <w:p w14:paraId="673DF0B0">
      <w:pPr>
        <w:pStyle w:val="16"/>
        <w:rPr>
          <w:rFonts w:hint="eastAsia" w:ascii="仿宋_GB2312" w:hAnsi="仿宋_GB2312" w:eastAsia="仿宋_GB2312" w:cs="仿宋_GB2312"/>
          <w:b w:val="0"/>
          <w:bCs w:val="0"/>
          <w:kern w:val="2"/>
          <w:sz w:val="28"/>
          <w:szCs w:val="28"/>
        </w:rPr>
      </w:pPr>
    </w:p>
    <w:p w14:paraId="7B7C0B84">
      <w:pPr>
        <w:spacing w:line="48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广西壮族自治区交通运输综合行政执法局</w:t>
      </w:r>
    </w:p>
    <w:p w14:paraId="238108CB">
      <w:pPr>
        <w:pStyle w:val="16"/>
        <w:ind w:firstLine="5320" w:firstLineChars="1900"/>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28"/>
          <w:szCs w:val="28"/>
        </w:rPr>
        <w:t>2025年</w:t>
      </w:r>
      <w:r>
        <w:rPr>
          <w:rFonts w:hint="eastAsia" w:ascii="仿宋_GB2312" w:hAnsi="仿宋_GB2312" w:eastAsia="仿宋_GB2312" w:cs="仿宋_GB2312"/>
          <w:b w:val="0"/>
          <w:bCs w:val="0"/>
          <w:kern w:val="2"/>
          <w:sz w:val="28"/>
          <w:szCs w:val="28"/>
          <w:lang w:val="en-US" w:eastAsia="zh-CN"/>
        </w:rPr>
        <w:t>8</w:t>
      </w:r>
      <w:r>
        <w:rPr>
          <w:rFonts w:hint="eastAsia" w:ascii="仿宋_GB2312" w:hAnsi="仿宋_GB2312" w:eastAsia="仿宋_GB2312" w:cs="仿宋_GB2312"/>
          <w:b w:val="0"/>
          <w:bCs w:val="0"/>
          <w:kern w:val="2"/>
          <w:sz w:val="28"/>
          <w:szCs w:val="28"/>
        </w:rPr>
        <w:t>月</w:t>
      </w:r>
      <w:r>
        <w:rPr>
          <w:rFonts w:hint="eastAsia" w:ascii="仿宋_GB2312" w:hAnsi="仿宋_GB2312" w:eastAsia="仿宋_GB2312" w:cs="仿宋_GB2312"/>
          <w:b w:val="0"/>
          <w:bCs w:val="0"/>
          <w:kern w:val="2"/>
          <w:sz w:val="28"/>
          <w:szCs w:val="28"/>
          <w:lang w:val="en-US" w:eastAsia="zh-CN"/>
        </w:rPr>
        <w:t>13</w:t>
      </w:r>
      <w:r>
        <w:rPr>
          <w:rFonts w:hint="eastAsia" w:ascii="仿宋_GB2312" w:hAnsi="仿宋_GB2312" w:eastAsia="仿宋_GB2312" w:cs="仿宋_GB2312"/>
          <w:b w:val="0"/>
          <w:bCs w:val="0"/>
          <w:kern w:val="2"/>
          <w:sz w:val="28"/>
          <w:szCs w:val="28"/>
        </w:rPr>
        <w:t>日</w:t>
      </w:r>
    </w:p>
    <w:p w14:paraId="630DE845">
      <w:pPr>
        <w:pStyle w:val="16"/>
        <w:rPr>
          <w:rFonts w:hint="eastAsia" w:ascii="仿宋_GB2312" w:hAnsi="仿宋_GB2312" w:eastAsia="仿宋_GB2312" w:cs="仿宋_GB2312"/>
        </w:rPr>
      </w:pPr>
    </w:p>
    <w:p w14:paraId="7764D776">
      <w:pPr>
        <w:spacing w:line="480" w:lineRule="exact"/>
        <w:ind w:firstLine="560" w:firstLineChars="200"/>
        <w:jc w:val="right"/>
        <w:rPr>
          <w:rFonts w:hint="eastAsia" w:ascii="仿宋_GB2312" w:hAnsi="仿宋_GB2312" w:eastAsia="仿宋_GB2312" w:cs="仿宋_GB2312"/>
          <w:sz w:val="28"/>
          <w:szCs w:val="28"/>
        </w:rPr>
      </w:pPr>
    </w:p>
    <w:p w14:paraId="4113F6EC">
      <w:pPr>
        <w:pStyle w:val="7"/>
        <w:spacing w:line="480" w:lineRule="exact"/>
        <w:ind w:firstLine="315" w:firstLineChars="150"/>
        <w:jc w:val="right"/>
        <w:rPr>
          <w:rFonts w:hint="eastAsia" w:ascii="仿宋_GB2312" w:hAnsi="仿宋_GB2312" w:eastAsia="仿宋_GB2312" w:cs="仿宋_GB2312"/>
          <w:color w:val="000000"/>
        </w:rPr>
      </w:pPr>
    </w:p>
    <w:p w14:paraId="7713FBD0">
      <w:pPr>
        <w:rPr>
          <w:rFonts w:hint="eastAsia" w:ascii="仿宋_GB2312" w:hAnsi="仿宋_GB2312" w:eastAsia="仿宋_GB2312" w:cs="仿宋_GB2312"/>
          <w:sz w:val="30"/>
          <w:szCs w:val="30"/>
        </w:rPr>
      </w:pPr>
    </w:p>
    <w:p w14:paraId="67EF59FB">
      <w:pPr>
        <w:rPr>
          <w:rFonts w:hint="eastAsia" w:ascii="仿宋_GB2312" w:hAnsi="仿宋_GB2312" w:eastAsia="仿宋_GB2312" w:cs="仿宋_GB2312"/>
        </w:rPr>
        <w:sectPr>
          <w:footerReference r:id="rId4" w:type="first"/>
          <w:footerReference r:id="rId3" w:type="default"/>
          <w:pgSz w:w="11906" w:h="16838"/>
          <w:pgMar w:top="1440" w:right="1440" w:bottom="1440" w:left="1587" w:header="851" w:footer="992" w:gutter="0"/>
          <w:cols w:space="720" w:num="1"/>
          <w:titlePg/>
          <w:docGrid w:type="lines" w:linePitch="312" w:charSpace="0"/>
        </w:sectPr>
      </w:pPr>
    </w:p>
    <w:p w14:paraId="6E98F9A1">
      <w:pPr>
        <w:pStyle w:val="7"/>
        <w:spacing w:line="52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14:textFill>
            <w14:solidFill>
              <w14:schemeClr w14:val="tx1"/>
            </w14:solidFill>
          </w14:textFill>
        </w:rPr>
        <w:t>综合</w:t>
      </w:r>
      <w:r>
        <w:rPr>
          <w:rFonts w:hint="eastAsia" w:ascii="仿宋_GB2312" w:hAnsi="仿宋_GB2312" w:eastAsia="仿宋_GB2312" w:cs="仿宋_GB2312"/>
          <w:b/>
          <w:sz w:val="44"/>
          <w:szCs w:val="44"/>
        </w:rPr>
        <w:t>评分标准</w:t>
      </w:r>
    </w:p>
    <w:p w14:paraId="22528E01">
      <w:pPr>
        <w:pStyle w:val="7"/>
        <w:spacing w:line="520" w:lineRule="exact"/>
        <w:jc w:val="center"/>
        <w:rPr>
          <w:rFonts w:hint="eastAsia" w:ascii="仿宋_GB2312" w:hAnsi="仿宋_GB2312" w:eastAsia="仿宋_GB2312" w:cs="仿宋_GB2312"/>
          <w:b/>
          <w:sz w:val="44"/>
          <w:szCs w:val="44"/>
        </w:rPr>
      </w:pPr>
    </w:p>
    <w:tbl>
      <w:tblPr>
        <w:tblStyle w:val="1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51"/>
        <w:gridCol w:w="6361"/>
        <w:gridCol w:w="18"/>
        <w:gridCol w:w="760"/>
      </w:tblGrid>
      <w:tr w14:paraId="3E4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4A12EB1F">
            <w:pPr>
              <w:widowControl/>
              <w:spacing w:line="360" w:lineRule="auto"/>
              <w:jc w:val="center"/>
              <w:rPr>
                <w:rFonts w:hint="eastAsia" w:ascii="仿宋_GB2312" w:hAnsi="宋体" w:eastAsia="仿宋_GB2312" w:cs="Tahoma"/>
                <w:b/>
                <w:bCs/>
                <w:kern w:val="0"/>
                <w:sz w:val="24"/>
                <w:szCs w:val="24"/>
              </w:rPr>
            </w:pPr>
            <w:bookmarkStart w:id="3" w:name="PO_TDCUS_ITEM_SM_TABLE_1"/>
            <w:r>
              <w:rPr>
                <w:rFonts w:hint="eastAsia" w:ascii="仿宋_GB2312" w:hAnsi="宋体" w:eastAsia="仿宋_GB2312" w:cs="Tahoma"/>
                <w:b/>
                <w:bCs/>
                <w:kern w:val="0"/>
                <w:sz w:val="24"/>
                <w:szCs w:val="24"/>
              </w:rPr>
              <w:t>序号</w:t>
            </w:r>
          </w:p>
        </w:tc>
        <w:tc>
          <w:tcPr>
            <w:tcW w:w="1251" w:type="dxa"/>
            <w:tcBorders>
              <w:top w:val="single" w:color="auto" w:sz="4" w:space="0"/>
              <w:left w:val="single" w:color="auto" w:sz="4" w:space="0"/>
              <w:bottom w:val="single" w:color="auto" w:sz="4" w:space="0"/>
              <w:right w:val="single" w:color="auto" w:sz="4" w:space="0"/>
            </w:tcBorders>
            <w:noWrap/>
            <w:vAlign w:val="center"/>
          </w:tcPr>
          <w:p w14:paraId="5AD4650F">
            <w:pPr>
              <w:widowControl/>
              <w:spacing w:line="360" w:lineRule="auto"/>
              <w:jc w:val="center"/>
              <w:rPr>
                <w:rFonts w:hint="eastAsia" w:ascii="仿宋_GB2312" w:hAnsi="宋体" w:eastAsia="仿宋_GB2312" w:cs="Tahoma"/>
                <w:b/>
                <w:bCs/>
                <w:kern w:val="0"/>
                <w:sz w:val="24"/>
                <w:szCs w:val="24"/>
              </w:rPr>
            </w:pPr>
            <w:r>
              <w:rPr>
                <w:rFonts w:hint="eastAsia" w:ascii="仿宋_GB2312" w:hAnsi="宋体" w:eastAsia="仿宋_GB2312" w:cs="Tahoma"/>
                <w:b/>
                <w:bCs/>
                <w:kern w:val="0"/>
                <w:sz w:val="24"/>
                <w:szCs w:val="24"/>
              </w:rPr>
              <w:t>评审因素</w:t>
            </w:r>
          </w:p>
        </w:tc>
        <w:tc>
          <w:tcPr>
            <w:tcW w:w="6361" w:type="dxa"/>
            <w:tcBorders>
              <w:top w:val="single" w:color="auto" w:sz="4" w:space="0"/>
              <w:left w:val="single" w:color="auto" w:sz="4" w:space="0"/>
              <w:bottom w:val="single" w:color="auto" w:sz="4" w:space="0"/>
              <w:right w:val="single" w:color="auto" w:sz="4" w:space="0"/>
            </w:tcBorders>
            <w:noWrap/>
            <w:vAlign w:val="center"/>
          </w:tcPr>
          <w:p w14:paraId="1110A790">
            <w:pPr>
              <w:widowControl/>
              <w:spacing w:line="360" w:lineRule="auto"/>
              <w:jc w:val="center"/>
              <w:rPr>
                <w:rFonts w:hint="eastAsia" w:ascii="仿宋_GB2312" w:hAnsi="宋体" w:eastAsia="仿宋_GB2312" w:cs="Tahoma"/>
                <w:b/>
                <w:bCs/>
                <w:kern w:val="0"/>
                <w:sz w:val="24"/>
                <w:szCs w:val="24"/>
              </w:rPr>
            </w:pPr>
            <w:r>
              <w:rPr>
                <w:rFonts w:hint="eastAsia" w:ascii="仿宋_GB2312" w:hAnsi="宋体" w:eastAsia="仿宋_GB2312" w:cs="Tahoma"/>
                <w:b/>
                <w:bCs/>
                <w:kern w:val="0"/>
                <w:sz w:val="24"/>
                <w:szCs w:val="24"/>
              </w:rPr>
              <w:t>评审因素具体内容</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67323C29">
            <w:pPr>
              <w:widowControl/>
              <w:spacing w:line="360" w:lineRule="auto"/>
              <w:jc w:val="center"/>
              <w:rPr>
                <w:rFonts w:hint="eastAsia" w:ascii="仿宋_GB2312" w:hAnsi="宋体" w:eastAsia="仿宋_GB2312" w:cs="Tahoma"/>
                <w:b/>
                <w:bCs/>
                <w:kern w:val="0"/>
                <w:sz w:val="24"/>
                <w:szCs w:val="24"/>
              </w:rPr>
            </w:pPr>
            <w:r>
              <w:rPr>
                <w:rFonts w:hint="eastAsia" w:ascii="仿宋_GB2312" w:hAnsi="宋体" w:eastAsia="仿宋_GB2312" w:cs="Tahoma"/>
                <w:b/>
                <w:bCs/>
                <w:kern w:val="0"/>
                <w:sz w:val="24"/>
                <w:szCs w:val="24"/>
              </w:rPr>
              <w:t>分值</w:t>
            </w:r>
          </w:p>
        </w:tc>
      </w:tr>
      <w:tr w14:paraId="1A24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1F597C18">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ahoma"/>
                <w:kern w:val="0"/>
                <w:sz w:val="24"/>
                <w:szCs w:val="24"/>
              </w:rPr>
              <w:t>1</w:t>
            </w:r>
          </w:p>
        </w:tc>
        <w:tc>
          <w:tcPr>
            <w:tcW w:w="1251" w:type="dxa"/>
            <w:tcBorders>
              <w:top w:val="single" w:color="auto" w:sz="4" w:space="0"/>
              <w:left w:val="single" w:color="auto" w:sz="4" w:space="0"/>
              <w:bottom w:val="single" w:color="auto" w:sz="4" w:space="0"/>
              <w:right w:val="single" w:color="auto" w:sz="4" w:space="0"/>
            </w:tcBorders>
            <w:noWrap/>
            <w:vAlign w:val="center"/>
          </w:tcPr>
          <w:p w14:paraId="56062267">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价格分</w:t>
            </w:r>
          </w:p>
        </w:tc>
        <w:tc>
          <w:tcPr>
            <w:tcW w:w="6361" w:type="dxa"/>
            <w:tcBorders>
              <w:top w:val="single" w:color="auto" w:sz="4" w:space="0"/>
              <w:left w:val="single" w:color="auto" w:sz="4" w:space="0"/>
              <w:bottom w:val="single" w:color="auto" w:sz="4" w:space="0"/>
              <w:right w:val="single" w:color="auto" w:sz="4" w:space="0"/>
            </w:tcBorders>
            <w:noWrap/>
          </w:tcPr>
          <w:p w14:paraId="4730FF6B">
            <w:pPr>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w:t xml:space="preserve">计算公式：　     </w:t>
            </w:r>
          </w:p>
          <w:p w14:paraId="116D3955">
            <w:pPr>
              <w:spacing w:line="360" w:lineRule="auto"/>
              <w:ind w:firstLine="2520" w:firstLineChars="1200"/>
              <w:jc w:val="left"/>
              <w:rPr>
                <w:rFonts w:hint="eastAsia" w:ascii="宋体" w:hAnsi="宋体" w:eastAsia="宋体" w:cs="宋体"/>
                <w:bCs/>
                <w:szCs w:val="21"/>
              </w:rPr>
            </w:pPr>
            <w:r>
              <w:rPr>
                <w:rFonts w:hint="eastAsia" w:ascii="宋体" w:hAnsi="宋体" w:eastAsia="宋体" w:cs="宋体"/>
                <w:bCs/>
                <w:szCs w:val="21"/>
              </w:rPr>
              <w:t>供应商最低评标价金额</w:t>
            </w:r>
          </w:p>
          <w:p w14:paraId="65A290F8">
            <w:pPr>
              <w:spacing w:line="360" w:lineRule="auto"/>
              <w:ind w:firstLine="420" w:firstLineChars="200"/>
              <w:jc w:val="left"/>
              <w:rPr>
                <w:rFonts w:hint="eastAsia" w:ascii="宋体" w:hAnsi="宋体" w:eastAsia="宋体" w:cs="宋体"/>
                <w:bCs/>
                <w:szCs w:val="21"/>
              </w:rPr>
            </w:pPr>
            <w:r>
              <w:rPr>
                <w:rFonts w:hint="eastAsia" w:ascii="宋体" w:hAnsi="宋体" w:eastAsia="宋体" w:cs="宋体"/>
                <w:bCs/>
                <w:szCs w:val="21"/>
              </w:rPr>
              <mc:AlternateContent>
                <mc:Choice Requires="wps">
                  <w:drawing>
                    <wp:anchor distT="0" distB="0" distL="114300" distR="114300" simplePos="0" relativeHeight="251661312" behindDoc="0" locked="0" layoutInCell="1" allowOverlap="1">
                      <wp:simplePos x="0" y="0"/>
                      <wp:positionH relativeFrom="column">
                        <wp:posOffset>1400175</wp:posOffset>
                      </wp:positionH>
                      <wp:positionV relativeFrom="paragraph">
                        <wp:posOffset>105410</wp:posOffset>
                      </wp:positionV>
                      <wp:extent cx="1600200" cy="0"/>
                      <wp:effectExtent l="0" t="0" r="0" b="0"/>
                      <wp:wrapNone/>
                      <wp:docPr id="1657118791" name="直接连接符 3"/>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110.25pt;margin-top:8.3pt;height:0pt;width:126pt;z-index:251661312;mso-width-relative:page;mso-height-relative:page;" filled="f" stroked="t" coordsize="21600,21600" o:gfxdata="UEsDBAoAAAAAAIdO4kAAAAAAAAAAAAAAAAAEAAAAZHJzL1BLAwQUAAAACACHTuJAUAAqnNUAAAAJ&#10;AQAADwAAAGRycy9kb3ducmV2LnhtbE2PzU7DMBCE70i8g7VIXCpqN0BAIU4PQG5cKCCu23hJIuJ1&#10;Grs/8PQs6gGOO/NpdqZcHvygdjTFPrCFxdyAIm6C67m18PpSX9yCignZ4RCYLHxRhGV1elJi4cKe&#10;n2m3Sq2SEI4FWuhSGgutY9ORxzgPI7F4H2HymOScWu0m3Eu4H3RmTK499iwfOhzpvqPmc7X1FmL9&#10;Rpv6e9bMzPtlGyjbPDw9orXnZwtzByrRIf3B8FtfqkMlndZhyy6qwUKWmWtBxchzUAJc3WQirI+C&#10;rkr9f0H1A1BLAwQUAAAACACHTuJAQLXESPkBAADvAwAADgAAAGRycy9lMm9Eb2MueG1srVPNbhMx&#10;EL4j8Q6W72R3g5K2q2x6aCgXBJWAB5h4vVlL/pPHzSYvwQsgcYMTR+68TctjMPamoZRLDuTgjO2Z&#10;b+b79vPicmc028qAytmGV5OSM2mFa5XdNPzjh+sX55xhBNuCdlY2fC+RXy6fP1sMvpZT1zvdysAI&#10;xGI9+Ib3Mfq6KFD00gBOnJeWLjsXDETahk3RBhgI3ehiWpbzYnCh9cEJiUinq/GSHxDDKYCu65SQ&#10;KydujbRxRA1SQyRK2CuPfJmn7Top4ruuQxmZbjgxjXmlJhSv01osF1BvAvheicMIcMoITzgZUJaa&#10;HqFWEIHdBvUPlFEiOHRdnAhnipFIVoRYVOUTbd734GXmQlKjP4qO/w9WvN3eBKZacsJ8dlZV52cX&#10;FWcWDH35+88/7j59/fXzC63337+xl0mtwWNNRVf2Jhx26G9Cor7rgkn/RIrtssL7o8JyF5mgw2pe&#10;lmQCzsTDXfGn0AeMr6UzLAUN18om8lDD9g1GakapDynpWFs2NPxiNp0RHJATO3IAhcYTG7SbXItO&#10;q/ZaaZ0qMGzWVzqwLSQ35F+iRLh/paUmK8B+zMtXo096Ce0r27K49ySPpefB0whGtpxpSa8pRQQI&#10;dQSlT8mk1tqmApm9euCZNB5VTdHatfssdpF25IM88cGzyWiP9xQ/fqf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AKpzVAAAACQEAAA8AAAAAAAAAAQAgAAAAIgAAAGRycy9kb3ducmV2LnhtbFBL&#10;AQIUABQAAAAIAIdO4kBAtcRI+QEAAO8DAAAOAAAAAAAAAAEAIAAAACQ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Cs/>
                <w:szCs w:val="21"/>
              </w:rPr>
              <w:t>某供应商价格分 =                          ×　10分</w:t>
            </w:r>
          </w:p>
          <w:p w14:paraId="2B66B511">
            <w:pPr>
              <w:spacing w:line="360" w:lineRule="auto"/>
              <w:ind w:firstLine="420" w:firstLineChars="200"/>
              <w:jc w:val="left"/>
              <w:rPr>
                <w:rFonts w:hint="eastAsia" w:ascii="宋体" w:hAnsi="宋体" w:eastAsia="宋体" w:cs="宋体"/>
                <w:color w:val="000000"/>
                <w:spacing w:val="-4"/>
                <w:szCs w:val="21"/>
              </w:rPr>
            </w:pPr>
            <w:r>
              <w:rPr>
                <w:rFonts w:hint="eastAsia" w:ascii="宋体" w:hAnsi="宋体" w:eastAsia="宋体" w:cs="宋体"/>
                <w:bCs/>
                <w:szCs w:val="21"/>
              </w:rPr>
              <w:t xml:space="preserve">                   　某供应商评标价金额</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4EAD395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10分</w:t>
            </w:r>
          </w:p>
        </w:tc>
      </w:tr>
      <w:tr w14:paraId="4DC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4392A68A">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imes New Roman"/>
                <w:bCs/>
                <w:kern w:val="0"/>
                <w:sz w:val="24"/>
                <w:szCs w:val="24"/>
              </w:rPr>
              <w:t>2</w:t>
            </w:r>
          </w:p>
        </w:tc>
        <w:tc>
          <w:tcPr>
            <w:tcW w:w="1251" w:type="dxa"/>
            <w:tcBorders>
              <w:top w:val="single" w:color="auto" w:sz="4" w:space="0"/>
              <w:left w:val="single" w:color="auto" w:sz="4" w:space="0"/>
              <w:bottom w:val="single" w:color="auto" w:sz="4" w:space="0"/>
              <w:right w:val="single" w:color="auto" w:sz="4" w:space="0"/>
            </w:tcBorders>
            <w:noWrap/>
            <w:vAlign w:val="center"/>
          </w:tcPr>
          <w:p w14:paraId="7D65D651">
            <w:pPr>
              <w:widowControl/>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技术分</w:t>
            </w:r>
          </w:p>
        </w:tc>
        <w:tc>
          <w:tcPr>
            <w:tcW w:w="6379" w:type="dxa"/>
            <w:gridSpan w:val="2"/>
            <w:tcBorders>
              <w:top w:val="single" w:color="auto" w:sz="4" w:space="0"/>
              <w:left w:val="single" w:color="auto" w:sz="4" w:space="0"/>
              <w:bottom w:val="single" w:color="auto" w:sz="4" w:space="0"/>
              <w:right w:val="single" w:color="auto" w:sz="4" w:space="0"/>
            </w:tcBorders>
            <w:noWrap/>
            <w:vAlign w:val="center"/>
          </w:tcPr>
          <w:p w14:paraId="32774136">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评审因素</w:t>
            </w:r>
          </w:p>
        </w:tc>
        <w:tc>
          <w:tcPr>
            <w:tcW w:w="760" w:type="dxa"/>
            <w:tcBorders>
              <w:top w:val="single" w:color="auto" w:sz="4" w:space="0"/>
              <w:left w:val="single" w:color="auto" w:sz="4" w:space="0"/>
              <w:bottom w:val="single" w:color="auto" w:sz="4" w:space="0"/>
              <w:right w:val="single" w:color="auto" w:sz="4" w:space="0"/>
            </w:tcBorders>
            <w:vAlign w:val="center"/>
          </w:tcPr>
          <w:p w14:paraId="0197F802">
            <w:pPr>
              <w:widowControl/>
              <w:spacing w:line="360" w:lineRule="auto"/>
              <w:jc w:val="center"/>
              <w:rPr>
                <w:rFonts w:hint="eastAsia" w:ascii="宋体" w:hAnsi="宋体" w:eastAsia="宋体" w:cs="宋体"/>
                <w:kern w:val="0"/>
                <w:szCs w:val="21"/>
              </w:rPr>
            </w:pPr>
            <w:r>
              <w:rPr>
                <w:rFonts w:hint="eastAsia" w:ascii="宋体" w:hAnsi="宋体" w:cs="宋体"/>
                <w:bCs/>
                <w:kern w:val="0"/>
                <w:szCs w:val="21"/>
              </w:rPr>
              <w:t>60</w:t>
            </w:r>
            <w:r>
              <w:rPr>
                <w:rFonts w:hint="eastAsia" w:ascii="宋体" w:hAnsi="宋体" w:eastAsia="宋体" w:cs="宋体"/>
                <w:bCs/>
                <w:kern w:val="0"/>
                <w:szCs w:val="21"/>
              </w:rPr>
              <w:t>分</w:t>
            </w:r>
          </w:p>
        </w:tc>
      </w:tr>
      <w:tr w14:paraId="05B5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71E98858">
            <w:pPr>
              <w:adjustRightInd w:val="0"/>
              <w:spacing w:line="360" w:lineRule="auto"/>
              <w:ind w:left="-105" w:leftChars="-50" w:right="-105" w:rightChars="-50"/>
              <w:jc w:val="center"/>
              <w:textAlignment w:val="baseline"/>
              <w:rPr>
                <w:rFonts w:hint="eastAsia"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2.1</w:t>
            </w:r>
          </w:p>
        </w:tc>
        <w:tc>
          <w:tcPr>
            <w:tcW w:w="1251" w:type="dxa"/>
            <w:tcBorders>
              <w:top w:val="single" w:color="auto" w:sz="4" w:space="0"/>
              <w:left w:val="single" w:color="auto" w:sz="4" w:space="0"/>
              <w:bottom w:val="single" w:color="auto" w:sz="4" w:space="0"/>
              <w:right w:val="single" w:color="auto" w:sz="4" w:space="0"/>
            </w:tcBorders>
            <w:noWrap/>
            <w:vAlign w:val="center"/>
          </w:tcPr>
          <w:p w14:paraId="6AAC0290">
            <w:pPr>
              <w:spacing w:line="360" w:lineRule="auto"/>
              <w:jc w:val="left"/>
              <w:rPr>
                <w:rFonts w:hint="eastAsia" w:ascii="宋体" w:hAnsi="宋体" w:eastAsia="宋体" w:cs="宋体"/>
                <w:bCs/>
                <w:szCs w:val="21"/>
              </w:rPr>
            </w:pPr>
            <w:r>
              <w:rPr>
                <w:rFonts w:hint="eastAsia" w:ascii="宋体" w:hAnsi="宋体" w:cs="宋体"/>
                <w:bCs/>
                <w:szCs w:val="21"/>
              </w:rPr>
              <w:t>对</w:t>
            </w:r>
            <w:r>
              <w:rPr>
                <w:rFonts w:hint="eastAsia" w:ascii="宋体" w:hAnsi="宋体" w:eastAsia="宋体" w:cs="宋体"/>
                <w:bCs/>
                <w:szCs w:val="21"/>
              </w:rPr>
              <w:t>项目理解和</w:t>
            </w:r>
            <w:r>
              <w:rPr>
                <w:rFonts w:hint="eastAsia" w:ascii="宋体" w:hAnsi="宋体" w:cs="宋体"/>
                <w:bCs/>
                <w:szCs w:val="21"/>
              </w:rPr>
              <w:t>认识</w:t>
            </w:r>
          </w:p>
        </w:tc>
        <w:tc>
          <w:tcPr>
            <w:tcW w:w="6361" w:type="dxa"/>
            <w:tcBorders>
              <w:top w:val="single" w:color="auto" w:sz="4" w:space="0"/>
              <w:left w:val="single" w:color="auto" w:sz="4" w:space="0"/>
              <w:bottom w:val="single" w:color="auto" w:sz="4" w:space="0"/>
              <w:right w:val="single" w:color="auto" w:sz="4" w:space="0"/>
            </w:tcBorders>
            <w:noWrap/>
            <w:vAlign w:val="center"/>
          </w:tcPr>
          <w:p w14:paraId="50139D4A">
            <w:pPr>
              <w:adjustRightInd w:val="0"/>
              <w:snapToGrid w:val="0"/>
              <w:spacing w:line="360" w:lineRule="exact"/>
              <w:ind w:firstLine="420" w:firstLineChars="200"/>
              <w:rPr>
                <w:rFonts w:ascii="Times New Roman" w:hAnsi="Times New Roman"/>
                <w:szCs w:val="21"/>
              </w:rPr>
            </w:pPr>
            <w:r>
              <w:rPr>
                <w:rFonts w:ascii="Times New Roman" w:hAnsi="Times New Roman"/>
                <w:szCs w:val="21"/>
              </w:rPr>
              <w:t>一档：能够紧扣本项目任务要求，有对</w:t>
            </w:r>
            <w:r>
              <w:rPr>
                <w:rFonts w:hint="eastAsia" w:ascii="Times New Roman" w:hAnsi="Times New Roman"/>
                <w:szCs w:val="21"/>
              </w:rPr>
              <w:t>使用无人机开展广西交通运输综合行政执法</w:t>
            </w:r>
            <w:r>
              <w:rPr>
                <w:rFonts w:ascii="Times New Roman" w:hAnsi="Times New Roman"/>
                <w:szCs w:val="21"/>
              </w:rPr>
              <w:t>的理解性描述，对具体任务进行详细分解，能提出具体内容及初步预期成果，描述内容详细、清晰、合理、全面，得</w:t>
            </w:r>
            <w:r>
              <w:rPr>
                <w:rFonts w:hint="eastAsia" w:ascii="Times New Roman" w:hAnsi="Times New Roman"/>
                <w:szCs w:val="21"/>
              </w:rPr>
              <w:t>3</w:t>
            </w:r>
            <w:r>
              <w:rPr>
                <w:rFonts w:ascii="Times New Roman" w:hAnsi="Times New Roman"/>
                <w:szCs w:val="21"/>
              </w:rPr>
              <w:t>0分。</w:t>
            </w:r>
          </w:p>
          <w:p w14:paraId="7D140144">
            <w:pPr>
              <w:adjustRightInd w:val="0"/>
              <w:snapToGrid w:val="0"/>
              <w:spacing w:line="360" w:lineRule="exact"/>
              <w:ind w:firstLine="420" w:firstLineChars="200"/>
              <w:rPr>
                <w:rFonts w:ascii="Times New Roman" w:hAnsi="Times New Roman"/>
                <w:szCs w:val="21"/>
              </w:rPr>
            </w:pPr>
            <w:r>
              <w:rPr>
                <w:rFonts w:ascii="Times New Roman" w:hAnsi="Times New Roman"/>
                <w:szCs w:val="21"/>
              </w:rPr>
              <w:t>二档：能够理解本项目任务要求，对具体任务进行简单分解，能提出具体内容及初步预期成果，描述内容较详细、较清晰、较合理，得</w:t>
            </w:r>
            <w:r>
              <w:rPr>
                <w:rFonts w:hint="eastAsia" w:ascii="Times New Roman" w:hAnsi="Times New Roman"/>
                <w:szCs w:val="21"/>
              </w:rPr>
              <w:t>20</w:t>
            </w:r>
            <w:r>
              <w:rPr>
                <w:rFonts w:ascii="Times New Roman" w:hAnsi="Times New Roman"/>
                <w:szCs w:val="21"/>
              </w:rPr>
              <w:t>分。</w:t>
            </w:r>
          </w:p>
          <w:p w14:paraId="3FBB25F1">
            <w:pPr>
              <w:spacing w:line="360" w:lineRule="auto"/>
              <w:ind w:firstLine="420" w:firstLineChars="200"/>
              <w:jc w:val="left"/>
              <w:rPr>
                <w:rFonts w:hint="eastAsia" w:ascii="宋体" w:hAnsi="宋体" w:eastAsia="宋体" w:cs="宋体"/>
                <w:bCs/>
                <w:szCs w:val="21"/>
              </w:rPr>
            </w:pPr>
            <w:r>
              <w:rPr>
                <w:rFonts w:ascii="Times New Roman" w:hAnsi="Times New Roman"/>
                <w:szCs w:val="21"/>
              </w:rPr>
              <w:t>三档：对本项目任务要求不了解，对各项任务内容进行粗略分解，能提出内容及初步预期成果，得</w:t>
            </w:r>
            <w:r>
              <w:rPr>
                <w:rFonts w:hint="eastAsia" w:ascii="Times New Roman" w:hAnsi="Times New Roman"/>
                <w:szCs w:val="21"/>
              </w:rPr>
              <w:t>10</w:t>
            </w:r>
            <w:r>
              <w:rPr>
                <w:rFonts w:ascii="Times New Roman" w:hAnsi="Times New Roman"/>
                <w:szCs w:val="21"/>
              </w:rPr>
              <w:t>分</w:t>
            </w:r>
            <w:r>
              <w:rPr>
                <w:rFonts w:hint="eastAsia" w:ascii="Times New Roman" w:hAnsi="Times New Roman"/>
                <w:szCs w:val="21"/>
              </w:rPr>
              <w:t>。</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6C353B56">
            <w:pPr>
              <w:spacing w:line="360" w:lineRule="auto"/>
              <w:jc w:val="center"/>
              <w:rPr>
                <w:rFonts w:hint="eastAsia" w:ascii="宋体" w:hAnsi="宋体" w:eastAsia="宋体" w:cs="宋体"/>
                <w:kern w:val="0"/>
                <w:szCs w:val="21"/>
              </w:rPr>
            </w:pPr>
            <w:r>
              <w:rPr>
                <w:rFonts w:hint="eastAsia" w:ascii="宋体" w:hAnsi="宋体" w:cs="宋体"/>
                <w:kern w:val="0"/>
                <w:szCs w:val="21"/>
              </w:rPr>
              <w:t>30</w:t>
            </w:r>
            <w:r>
              <w:rPr>
                <w:rFonts w:hint="eastAsia" w:ascii="宋体" w:hAnsi="宋体" w:eastAsia="宋体" w:cs="宋体"/>
                <w:kern w:val="0"/>
                <w:szCs w:val="21"/>
              </w:rPr>
              <w:t>分</w:t>
            </w:r>
          </w:p>
        </w:tc>
      </w:tr>
      <w:tr w14:paraId="6ED6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69FADCEA">
            <w:pPr>
              <w:adjustRightInd w:val="0"/>
              <w:spacing w:line="360" w:lineRule="auto"/>
              <w:ind w:left="-105" w:leftChars="-50" w:right="-105" w:rightChars="-50"/>
              <w:jc w:val="center"/>
              <w:textAlignment w:val="baseline"/>
              <w:rPr>
                <w:rFonts w:hint="eastAsia"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2.2</w:t>
            </w:r>
          </w:p>
        </w:tc>
        <w:tc>
          <w:tcPr>
            <w:tcW w:w="1251" w:type="dxa"/>
            <w:tcBorders>
              <w:top w:val="single" w:color="auto" w:sz="4" w:space="0"/>
              <w:left w:val="single" w:color="auto" w:sz="4" w:space="0"/>
              <w:bottom w:val="single" w:color="auto" w:sz="4" w:space="0"/>
              <w:right w:val="single" w:color="auto" w:sz="4" w:space="0"/>
            </w:tcBorders>
            <w:noWrap/>
            <w:vAlign w:val="center"/>
          </w:tcPr>
          <w:p w14:paraId="3F212507">
            <w:pPr>
              <w:spacing w:line="360" w:lineRule="auto"/>
              <w:jc w:val="left"/>
              <w:rPr>
                <w:rFonts w:hint="eastAsia" w:ascii="宋体" w:hAnsi="宋体" w:eastAsia="宋体" w:cs="宋体"/>
                <w:bCs/>
                <w:szCs w:val="21"/>
              </w:rPr>
            </w:pPr>
            <w:r>
              <w:rPr>
                <w:rFonts w:hint="eastAsia" w:ascii="宋体" w:hAnsi="宋体" w:cs="宋体"/>
                <w:bCs/>
                <w:szCs w:val="21"/>
              </w:rPr>
              <w:t>实施计划安排</w:t>
            </w:r>
          </w:p>
        </w:tc>
        <w:tc>
          <w:tcPr>
            <w:tcW w:w="6361" w:type="dxa"/>
            <w:tcBorders>
              <w:top w:val="single" w:color="auto" w:sz="4" w:space="0"/>
              <w:left w:val="single" w:color="auto" w:sz="4" w:space="0"/>
              <w:bottom w:val="single" w:color="auto" w:sz="4" w:space="0"/>
              <w:right w:val="single" w:color="auto" w:sz="4" w:space="0"/>
            </w:tcBorders>
            <w:noWrap/>
            <w:vAlign w:val="center"/>
          </w:tcPr>
          <w:p w14:paraId="310C6B0F">
            <w:pPr>
              <w:widowControl/>
              <w:tabs>
                <w:tab w:val="left" w:pos="8460"/>
              </w:tabs>
              <w:spacing w:line="400" w:lineRule="exact"/>
              <w:ind w:firstLine="420" w:firstLineChars="200"/>
              <w:jc w:val="left"/>
              <w:textAlignment w:val="baseline"/>
              <w:rPr>
                <w:rFonts w:hint="eastAsia" w:ascii="宋体" w:hAnsi="宋体"/>
                <w:szCs w:val="21"/>
              </w:rPr>
            </w:pPr>
            <w:r>
              <w:rPr>
                <w:rFonts w:hint="eastAsia" w:ascii="宋体" w:hAnsi="宋体"/>
                <w:szCs w:val="21"/>
              </w:rPr>
              <w:t>一档：有详细的实施计划安排，有合理可行的人员安排，有合理可行的进度安排，得10分；</w:t>
            </w:r>
          </w:p>
          <w:p w14:paraId="1C8B7702">
            <w:pPr>
              <w:widowControl/>
              <w:tabs>
                <w:tab w:val="left" w:pos="8460"/>
              </w:tabs>
              <w:spacing w:line="400" w:lineRule="exact"/>
              <w:ind w:firstLine="420" w:firstLineChars="200"/>
              <w:jc w:val="left"/>
              <w:textAlignment w:val="baseline"/>
              <w:rPr>
                <w:rFonts w:hint="eastAsia" w:ascii="宋体" w:hAnsi="宋体"/>
                <w:szCs w:val="21"/>
              </w:rPr>
            </w:pPr>
            <w:r>
              <w:rPr>
                <w:rFonts w:hint="eastAsia" w:ascii="宋体" w:hAnsi="宋体"/>
                <w:szCs w:val="21"/>
              </w:rPr>
              <w:t>二档：有详细的实施计划安排，有人员安排、进度安排等方面的描述，得7分；</w:t>
            </w:r>
          </w:p>
          <w:p w14:paraId="43BB7697">
            <w:pPr>
              <w:ind w:firstLine="420" w:firstLineChars="200"/>
              <w:jc w:val="left"/>
              <w:rPr>
                <w:rFonts w:hint="eastAsia" w:ascii="宋体" w:hAnsi="宋体" w:eastAsia="宋体" w:cs="宋体"/>
                <w:bCs/>
                <w:szCs w:val="21"/>
              </w:rPr>
            </w:pPr>
            <w:r>
              <w:rPr>
                <w:rFonts w:hint="eastAsia" w:ascii="宋体" w:hAnsi="宋体"/>
                <w:szCs w:val="21"/>
              </w:rPr>
              <w:t>三档：有实施计划安排，但不全面、不详细，得4分。</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667386E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kern w:val="0"/>
                <w:szCs w:val="21"/>
              </w:rPr>
              <w:t>0</w:t>
            </w:r>
            <w:r>
              <w:rPr>
                <w:rFonts w:hint="eastAsia" w:ascii="宋体" w:hAnsi="宋体" w:eastAsia="宋体" w:cs="宋体"/>
                <w:kern w:val="0"/>
                <w:szCs w:val="21"/>
              </w:rPr>
              <w:t>分</w:t>
            </w:r>
          </w:p>
        </w:tc>
      </w:tr>
      <w:tr w14:paraId="4259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1CD9C97D">
            <w:pPr>
              <w:adjustRightInd w:val="0"/>
              <w:spacing w:line="360" w:lineRule="auto"/>
              <w:ind w:left="-105" w:leftChars="-50" w:right="-105" w:rightChars="-50"/>
              <w:jc w:val="center"/>
              <w:textAlignment w:val="baseline"/>
              <w:rPr>
                <w:rFonts w:hint="eastAsia"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2.3</w:t>
            </w:r>
          </w:p>
        </w:tc>
        <w:tc>
          <w:tcPr>
            <w:tcW w:w="1251" w:type="dxa"/>
            <w:tcBorders>
              <w:top w:val="single" w:color="auto" w:sz="4" w:space="0"/>
              <w:left w:val="single" w:color="auto" w:sz="4" w:space="0"/>
              <w:bottom w:val="single" w:color="auto" w:sz="4" w:space="0"/>
              <w:right w:val="single" w:color="auto" w:sz="4" w:space="0"/>
            </w:tcBorders>
            <w:noWrap/>
            <w:vAlign w:val="center"/>
          </w:tcPr>
          <w:p w14:paraId="0BF5E40B">
            <w:pPr>
              <w:widowControl/>
              <w:spacing w:line="360" w:lineRule="auto"/>
              <w:jc w:val="left"/>
              <w:rPr>
                <w:rFonts w:hint="eastAsia" w:ascii="宋体" w:hAnsi="宋体" w:eastAsia="宋体" w:cs="宋体"/>
                <w:bCs/>
                <w:szCs w:val="21"/>
              </w:rPr>
            </w:pPr>
            <w:r>
              <w:rPr>
                <w:rFonts w:hint="eastAsia" w:ascii="宋体" w:hAnsi="宋体" w:cs="宋体"/>
                <w:bCs/>
                <w:szCs w:val="21"/>
              </w:rPr>
              <w:t>进度和质量保障措施</w:t>
            </w:r>
          </w:p>
        </w:tc>
        <w:tc>
          <w:tcPr>
            <w:tcW w:w="6361" w:type="dxa"/>
            <w:tcBorders>
              <w:top w:val="single" w:color="auto" w:sz="4" w:space="0"/>
              <w:left w:val="single" w:color="auto" w:sz="4" w:space="0"/>
              <w:bottom w:val="single" w:color="auto" w:sz="4" w:space="0"/>
              <w:right w:val="single" w:color="auto" w:sz="4" w:space="0"/>
            </w:tcBorders>
            <w:noWrap/>
            <w:vAlign w:val="center"/>
          </w:tcPr>
          <w:p w14:paraId="787EC638">
            <w:pPr>
              <w:adjustRightInd w:val="0"/>
              <w:spacing w:line="400" w:lineRule="exact"/>
              <w:ind w:firstLine="420" w:firstLineChars="200"/>
              <w:textAlignment w:val="baseline"/>
              <w:rPr>
                <w:rFonts w:hint="eastAsia" w:ascii="宋体" w:hAnsi="宋体"/>
                <w:bCs/>
                <w:szCs w:val="21"/>
              </w:rPr>
            </w:pPr>
            <w:r>
              <w:rPr>
                <w:rFonts w:hint="eastAsia" w:ascii="宋体" w:hAnsi="宋体"/>
                <w:bCs/>
                <w:szCs w:val="21"/>
              </w:rPr>
              <w:t>一档：对项目的计划进度管理表述清晰合理，措施科学可行，质量控制措施科学，质量承诺和违约责任承诺科学合理，得10分；</w:t>
            </w:r>
          </w:p>
          <w:p w14:paraId="1104C264">
            <w:pPr>
              <w:adjustRightInd w:val="0"/>
              <w:spacing w:line="400" w:lineRule="exact"/>
              <w:ind w:firstLine="420" w:firstLineChars="200"/>
              <w:textAlignment w:val="baseline"/>
              <w:rPr>
                <w:rFonts w:hint="eastAsia" w:ascii="宋体" w:hAnsi="宋体"/>
                <w:bCs/>
                <w:szCs w:val="21"/>
              </w:rPr>
            </w:pPr>
            <w:r>
              <w:rPr>
                <w:rFonts w:hint="eastAsia" w:ascii="宋体" w:hAnsi="宋体"/>
                <w:bCs/>
                <w:szCs w:val="21"/>
              </w:rPr>
              <w:t>二档：对项目的计划进度管理表述较清晰，有相关措施内容但可操作性较差，有质量控制相关描述，质量承诺和违约责任承诺不明确，得7分；</w:t>
            </w:r>
          </w:p>
          <w:p w14:paraId="40C5E3C4">
            <w:pPr>
              <w:spacing w:line="360" w:lineRule="auto"/>
              <w:ind w:firstLine="420" w:firstLineChars="200"/>
              <w:jc w:val="left"/>
              <w:rPr>
                <w:rFonts w:hint="eastAsia" w:ascii="宋体" w:hAnsi="宋体" w:eastAsia="宋体" w:cs="宋体"/>
                <w:bCs/>
                <w:szCs w:val="21"/>
              </w:rPr>
            </w:pPr>
            <w:r>
              <w:rPr>
                <w:rFonts w:hint="eastAsia" w:ascii="宋体" w:hAnsi="宋体"/>
                <w:bCs/>
                <w:szCs w:val="21"/>
              </w:rPr>
              <w:t>三档：对项目的计划进度管理表述不清晰，无相关措施内容，质量控制不科学，无质量承诺和违约责任承诺，得4分。</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463B211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kern w:val="0"/>
                <w:szCs w:val="21"/>
              </w:rPr>
              <w:t>0</w:t>
            </w:r>
            <w:r>
              <w:rPr>
                <w:rFonts w:hint="eastAsia" w:ascii="宋体" w:hAnsi="宋体" w:eastAsia="宋体" w:cs="宋体"/>
                <w:kern w:val="0"/>
                <w:szCs w:val="21"/>
              </w:rPr>
              <w:t>分</w:t>
            </w:r>
          </w:p>
        </w:tc>
      </w:tr>
      <w:tr w14:paraId="415A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755D24F7">
            <w:pPr>
              <w:adjustRightInd w:val="0"/>
              <w:spacing w:line="360" w:lineRule="auto"/>
              <w:ind w:left="-105" w:leftChars="-50" w:right="-105" w:rightChars="-50"/>
              <w:jc w:val="center"/>
              <w:textAlignment w:val="baseline"/>
              <w:rPr>
                <w:rFonts w:hint="eastAsia"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2.4</w:t>
            </w:r>
          </w:p>
        </w:tc>
        <w:tc>
          <w:tcPr>
            <w:tcW w:w="1251" w:type="dxa"/>
            <w:tcBorders>
              <w:top w:val="single" w:color="auto" w:sz="4" w:space="0"/>
              <w:left w:val="single" w:color="auto" w:sz="4" w:space="0"/>
              <w:bottom w:val="single" w:color="auto" w:sz="4" w:space="0"/>
              <w:right w:val="single" w:color="auto" w:sz="4" w:space="0"/>
            </w:tcBorders>
            <w:noWrap/>
            <w:vAlign w:val="center"/>
          </w:tcPr>
          <w:p w14:paraId="457FDF28">
            <w:pPr>
              <w:spacing w:line="360" w:lineRule="auto"/>
              <w:jc w:val="left"/>
              <w:rPr>
                <w:rFonts w:hint="eastAsia" w:ascii="宋体" w:hAnsi="宋体" w:eastAsia="宋体" w:cs="宋体"/>
                <w:bCs/>
                <w:szCs w:val="21"/>
              </w:rPr>
            </w:pPr>
            <w:r>
              <w:rPr>
                <w:rFonts w:ascii="Times New Roman" w:hAnsi="Times New Roman"/>
                <w:bCs/>
                <w:szCs w:val="21"/>
              </w:rPr>
              <w:t>服务承诺</w:t>
            </w:r>
          </w:p>
        </w:tc>
        <w:tc>
          <w:tcPr>
            <w:tcW w:w="6361" w:type="dxa"/>
            <w:tcBorders>
              <w:top w:val="single" w:color="auto" w:sz="4" w:space="0"/>
              <w:left w:val="single" w:color="auto" w:sz="4" w:space="0"/>
              <w:bottom w:val="single" w:color="auto" w:sz="4" w:space="0"/>
              <w:right w:val="single" w:color="auto" w:sz="4" w:space="0"/>
            </w:tcBorders>
            <w:noWrap/>
            <w:vAlign w:val="center"/>
          </w:tcPr>
          <w:p w14:paraId="5387ACD2">
            <w:pPr>
              <w:pStyle w:val="3"/>
              <w:spacing w:line="400" w:lineRule="exact"/>
              <w:ind w:firstLine="420" w:firstLineChars="200"/>
              <w:rPr>
                <w:rFonts w:hint="eastAsia" w:ascii="宋体" w:hAnsi="宋体"/>
                <w:szCs w:val="21"/>
              </w:rPr>
            </w:pPr>
            <w:r>
              <w:rPr>
                <w:rFonts w:hint="eastAsia" w:ascii="宋体" w:hAnsi="宋体"/>
                <w:szCs w:val="21"/>
              </w:rPr>
              <w:t>一档：针对项目工作内容的情况，服务宗旨明确、服务效率高，承诺按时保质完成指南编制，后续跟踪服务具体到位的。提出有利于项目完成的措施并承诺实行，得10分；</w:t>
            </w:r>
          </w:p>
          <w:p w14:paraId="16C955D8">
            <w:pPr>
              <w:pStyle w:val="3"/>
              <w:spacing w:line="400" w:lineRule="exact"/>
              <w:ind w:firstLine="420" w:firstLineChars="200"/>
              <w:rPr>
                <w:rFonts w:hint="eastAsia" w:ascii="宋体" w:hAnsi="宋体"/>
                <w:szCs w:val="21"/>
              </w:rPr>
            </w:pPr>
            <w:r>
              <w:rPr>
                <w:rFonts w:hint="eastAsia" w:ascii="宋体" w:hAnsi="宋体"/>
                <w:szCs w:val="21"/>
              </w:rPr>
              <w:t>二档：针对项目工作内容的情况，服务宗旨明确，项目完成后，有后期跟踪服务，得7分；</w:t>
            </w:r>
          </w:p>
          <w:p w14:paraId="74BA9C76">
            <w:pPr>
              <w:spacing w:line="360" w:lineRule="auto"/>
              <w:ind w:firstLine="420" w:firstLineChars="200"/>
              <w:jc w:val="left"/>
              <w:rPr>
                <w:rFonts w:hint="eastAsia" w:ascii="宋体" w:hAnsi="宋体" w:eastAsia="宋体" w:cs="宋体"/>
                <w:bCs/>
                <w:szCs w:val="21"/>
              </w:rPr>
            </w:pPr>
            <w:r>
              <w:rPr>
                <w:rFonts w:hint="eastAsia" w:ascii="宋体" w:hAnsi="宋体"/>
                <w:szCs w:val="21"/>
              </w:rPr>
              <w:t>三档：了解项目工作内容的情况，有后期跟踪服务，得4分。</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38C9040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10分</w:t>
            </w:r>
          </w:p>
        </w:tc>
      </w:tr>
      <w:tr w14:paraId="632B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06E86E58">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ahoma"/>
                <w:kern w:val="0"/>
                <w:sz w:val="24"/>
                <w:szCs w:val="24"/>
              </w:rPr>
              <w:t>3</w:t>
            </w:r>
          </w:p>
        </w:tc>
        <w:tc>
          <w:tcPr>
            <w:tcW w:w="1251" w:type="dxa"/>
            <w:tcBorders>
              <w:top w:val="single" w:color="auto" w:sz="4" w:space="0"/>
              <w:left w:val="single" w:color="auto" w:sz="4" w:space="0"/>
              <w:bottom w:val="single" w:color="auto" w:sz="4" w:space="0"/>
              <w:right w:val="single" w:color="auto" w:sz="4" w:space="0"/>
            </w:tcBorders>
            <w:noWrap/>
            <w:vAlign w:val="center"/>
          </w:tcPr>
          <w:p w14:paraId="00AA476B">
            <w:pPr>
              <w:widowControl/>
              <w:spacing w:line="360" w:lineRule="auto"/>
              <w:jc w:val="center"/>
              <w:rPr>
                <w:rFonts w:hint="eastAsia" w:ascii="宋体" w:hAnsi="宋体" w:eastAsia="宋体" w:cs="宋体"/>
                <w:bCs/>
                <w:szCs w:val="21"/>
              </w:rPr>
            </w:pPr>
            <w:r>
              <w:rPr>
                <w:rFonts w:hint="eastAsia" w:ascii="宋体" w:hAnsi="宋体" w:eastAsia="宋体" w:cs="宋体"/>
                <w:bCs/>
                <w:szCs w:val="21"/>
              </w:rPr>
              <w:t>商务分</w:t>
            </w:r>
          </w:p>
        </w:tc>
        <w:tc>
          <w:tcPr>
            <w:tcW w:w="6379" w:type="dxa"/>
            <w:gridSpan w:val="2"/>
            <w:tcBorders>
              <w:top w:val="single" w:color="auto" w:sz="4" w:space="0"/>
              <w:left w:val="single" w:color="auto" w:sz="4" w:space="0"/>
              <w:bottom w:val="single" w:color="auto" w:sz="4" w:space="0"/>
              <w:right w:val="single" w:color="auto" w:sz="4" w:space="0"/>
            </w:tcBorders>
            <w:noWrap/>
            <w:vAlign w:val="center"/>
          </w:tcPr>
          <w:p w14:paraId="08AEE212">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评审因素</w:t>
            </w:r>
          </w:p>
        </w:tc>
        <w:tc>
          <w:tcPr>
            <w:tcW w:w="760" w:type="dxa"/>
            <w:tcBorders>
              <w:top w:val="single" w:color="auto" w:sz="4" w:space="0"/>
              <w:left w:val="single" w:color="auto" w:sz="4" w:space="0"/>
              <w:bottom w:val="single" w:color="auto" w:sz="4" w:space="0"/>
              <w:right w:val="single" w:color="auto" w:sz="4" w:space="0"/>
            </w:tcBorders>
            <w:vAlign w:val="center"/>
          </w:tcPr>
          <w:p w14:paraId="0A8356D9">
            <w:pPr>
              <w:widowControl/>
              <w:spacing w:line="360" w:lineRule="auto"/>
              <w:jc w:val="center"/>
              <w:rPr>
                <w:rFonts w:hint="eastAsia" w:ascii="宋体" w:hAnsi="宋体" w:eastAsia="宋体" w:cs="宋体"/>
                <w:kern w:val="0"/>
                <w:szCs w:val="21"/>
              </w:rPr>
            </w:pPr>
            <w:r>
              <w:rPr>
                <w:rFonts w:hint="eastAsia" w:ascii="宋体" w:hAnsi="宋体" w:cs="宋体"/>
                <w:bCs/>
                <w:szCs w:val="21"/>
              </w:rPr>
              <w:t>3</w:t>
            </w:r>
            <w:r>
              <w:rPr>
                <w:rFonts w:hint="eastAsia" w:ascii="宋体" w:hAnsi="宋体" w:eastAsia="宋体" w:cs="宋体"/>
                <w:bCs/>
                <w:szCs w:val="21"/>
              </w:rPr>
              <w:t>0分</w:t>
            </w:r>
          </w:p>
        </w:tc>
      </w:tr>
      <w:tr w14:paraId="4B33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3392785F">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ahoma"/>
                <w:kern w:val="0"/>
                <w:sz w:val="24"/>
                <w:szCs w:val="24"/>
              </w:rPr>
              <w:t>3.1</w:t>
            </w:r>
          </w:p>
        </w:tc>
        <w:tc>
          <w:tcPr>
            <w:tcW w:w="1251" w:type="dxa"/>
            <w:tcBorders>
              <w:top w:val="single" w:color="auto" w:sz="4" w:space="0"/>
              <w:left w:val="single" w:color="auto" w:sz="4" w:space="0"/>
              <w:bottom w:val="single" w:color="auto" w:sz="4" w:space="0"/>
              <w:right w:val="single" w:color="auto" w:sz="4" w:space="0"/>
            </w:tcBorders>
            <w:noWrap/>
            <w:vAlign w:val="center"/>
          </w:tcPr>
          <w:p w14:paraId="359FB27B">
            <w:pPr>
              <w:widowControl/>
              <w:jc w:val="center"/>
              <w:textAlignment w:val="center"/>
              <w:rPr>
                <w:rFonts w:hint="eastAsia" w:ascii="宋体" w:hAnsi="宋体" w:eastAsia="宋体" w:cs="宋体"/>
                <w:szCs w:val="21"/>
              </w:rPr>
            </w:pPr>
            <w:r>
              <w:rPr>
                <w:rFonts w:hint="eastAsia" w:ascii="宋体" w:hAnsi="宋体" w:eastAsia="宋体" w:cs="宋体"/>
                <w:bCs/>
                <w:szCs w:val="21"/>
              </w:rPr>
              <w:t>团队</w:t>
            </w:r>
          </w:p>
        </w:tc>
        <w:tc>
          <w:tcPr>
            <w:tcW w:w="6361" w:type="dxa"/>
            <w:tcBorders>
              <w:top w:val="single" w:color="auto" w:sz="4" w:space="0"/>
              <w:left w:val="single" w:color="auto" w:sz="4" w:space="0"/>
              <w:bottom w:val="single" w:color="auto" w:sz="4" w:space="0"/>
              <w:right w:val="single" w:color="auto" w:sz="4" w:space="0"/>
            </w:tcBorders>
            <w:noWrap/>
            <w:vAlign w:val="center"/>
          </w:tcPr>
          <w:p w14:paraId="34050D6A">
            <w:pPr>
              <w:pStyle w:val="3"/>
              <w:spacing w:line="400" w:lineRule="exact"/>
              <w:rPr>
                <w:rFonts w:hint="eastAsia" w:ascii="宋体" w:hAnsi="宋体" w:eastAsia="宋体"/>
                <w:szCs w:val="21"/>
              </w:rPr>
            </w:pPr>
            <w:r>
              <w:rPr>
                <w:rFonts w:hint="eastAsia" w:ascii="宋体" w:hAnsi="宋体" w:eastAsia="宋体"/>
                <w:szCs w:val="21"/>
              </w:rPr>
              <w:t>（1）项目负责人具有高级工程师职称证书的得4分；</w:t>
            </w:r>
          </w:p>
          <w:p w14:paraId="2C6AA036">
            <w:pPr>
              <w:pStyle w:val="3"/>
              <w:spacing w:line="400" w:lineRule="exact"/>
              <w:rPr>
                <w:rFonts w:hint="eastAsia" w:ascii="宋体" w:hAnsi="宋体" w:eastAsia="宋体"/>
                <w:szCs w:val="21"/>
              </w:rPr>
            </w:pPr>
            <w:r>
              <w:rPr>
                <w:rFonts w:hint="eastAsia" w:ascii="宋体" w:hAnsi="宋体" w:eastAsia="宋体"/>
                <w:szCs w:val="21"/>
              </w:rPr>
              <w:t>（2）项目团队成员（项目负责人除外）具有工程师及以上职称证书的，每人得2分，最多得6分。</w:t>
            </w:r>
          </w:p>
          <w:p w14:paraId="57D1F85F">
            <w:pPr>
              <w:pStyle w:val="3"/>
              <w:spacing w:line="400" w:lineRule="exact"/>
              <w:ind w:firstLine="420" w:firstLineChars="200"/>
              <w:rPr>
                <w:rFonts w:hint="eastAsia" w:ascii="宋体" w:hAnsi="宋体" w:eastAsia="宋体" w:cs="宋体"/>
                <w:bCs/>
                <w:kern w:val="0"/>
                <w:szCs w:val="21"/>
              </w:rPr>
            </w:pPr>
            <w:r>
              <w:rPr>
                <w:rFonts w:hint="eastAsia" w:ascii="宋体" w:hAnsi="宋体" w:eastAsia="宋体"/>
                <w:szCs w:val="21"/>
              </w:rPr>
              <w:t>注：本项满分10分。须提供相应证书扫描件并加盖公章。</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3CB09391">
            <w:pPr>
              <w:widowControl/>
              <w:spacing w:line="360" w:lineRule="auto"/>
              <w:jc w:val="center"/>
              <w:rPr>
                <w:rFonts w:hint="eastAsia" w:ascii="宋体" w:hAnsi="宋体" w:eastAsia="宋体" w:cs="宋体"/>
                <w:kern w:val="0"/>
                <w:szCs w:val="21"/>
              </w:rPr>
            </w:pPr>
            <w:r>
              <w:rPr>
                <w:rFonts w:hint="eastAsia" w:ascii="宋体" w:hAnsi="宋体" w:cs="宋体"/>
                <w:kern w:val="0"/>
                <w:szCs w:val="21"/>
              </w:rPr>
              <w:t>10</w:t>
            </w:r>
            <w:r>
              <w:rPr>
                <w:rFonts w:hint="eastAsia" w:ascii="宋体" w:hAnsi="宋体" w:eastAsia="宋体" w:cs="宋体"/>
                <w:kern w:val="0"/>
                <w:szCs w:val="21"/>
              </w:rPr>
              <w:t>分</w:t>
            </w:r>
          </w:p>
        </w:tc>
      </w:tr>
      <w:tr w14:paraId="7E87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3B258503">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ahoma"/>
                <w:kern w:val="0"/>
                <w:sz w:val="24"/>
                <w:szCs w:val="24"/>
              </w:rPr>
              <w:t>3.2</w:t>
            </w:r>
          </w:p>
        </w:tc>
        <w:tc>
          <w:tcPr>
            <w:tcW w:w="1251" w:type="dxa"/>
            <w:tcBorders>
              <w:top w:val="single" w:color="auto" w:sz="4" w:space="0"/>
              <w:left w:val="single" w:color="auto" w:sz="4" w:space="0"/>
              <w:bottom w:val="single" w:color="auto" w:sz="4" w:space="0"/>
              <w:right w:val="single" w:color="auto" w:sz="4" w:space="0"/>
            </w:tcBorders>
            <w:noWrap/>
            <w:vAlign w:val="center"/>
          </w:tcPr>
          <w:p w14:paraId="313678DB">
            <w:pPr>
              <w:widowControl/>
              <w:jc w:val="center"/>
              <w:textAlignment w:val="center"/>
              <w:rPr>
                <w:rFonts w:hint="eastAsia" w:ascii="宋体" w:hAnsi="宋体" w:eastAsia="宋体" w:cs="宋体"/>
                <w:szCs w:val="21"/>
              </w:rPr>
            </w:pPr>
            <w:r>
              <w:rPr>
                <w:rFonts w:hint="eastAsia" w:ascii="宋体" w:hAnsi="宋体" w:eastAsia="宋体" w:cs="宋体"/>
                <w:bCs/>
                <w:szCs w:val="21"/>
              </w:rPr>
              <w:t>项目业绩</w:t>
            </w:r>
          </w:p>
        </w:tc>
        <w:tc>
          <w:tcPr>
            <w:tcW w:w="6361" w:type="dxa"/>
            <w:tcBorders>
              <w:top w:val="single" w:color="auto" w:sz="4" w:space="0"/>
              <w:left w:val="single" w:color="auto" w:sz="4" w:space="0"/>
              <w:bottom w:val="single" w:color="auto" w:sz="4" w:space="0"/>
              <w:right w:val="single" w:color="auto" w:sz="4" w:space="0"/>
            </w:tcBorders>
            <w:noWrap/>
            <w:vAlign w:val="center"/>
          </w:tcPr>
          <w:p w14:paraId="0BAD502C">
            <w:pPr>
              <w:spacing w:line="380" w:lineRule="exact"/>
              <w:rPr>
                <w:rFonts w:hint="eastAsia" w:ascii="宋体" w:hAnsi="宋体" w:eastAsia="宋体" w:cs="宋体"/>
                <w:szCs w:val="21"/>
              </w:rPr>
            </w:pPr>
            <w:r>
              <w:rPr>
                <w:rFonts w:hint="eastAsia" w:ascii="宋体" w:hAnsi="宋体" w:eastAsia="宋体" w:cs="宋体"/>
                <w:szCs w:val="21"/>
              </w:rPr>
              <w:t>（1）自2022年1月1日（合同签订时间）以来，供应商具有交通运输咨询类业绩的，每个得2分，最多得</w:t>
            </w:r>
            <w:r>
              <w:rPr>
                <w:rFonts w:hint="eastAsia" w:ascii="宋体" w:hAnsi="宋体" w:cs="宋体"/>
                <w:szCs w:val="21"/>
              </w:rPr>
              <w:t>10</w:t>
            </w:r>
            <w:r>
              <w:rPr>
                <w:rFonts w:hint="eastAsia" w:ascii="宋体" w:hAnsi="宋体" w:eastAsia="宋体" w:cs="宋体"/>
                <w:szCs w:val="21"/>
              </w:rPr>
              <w:t>分。</w:t>
            </w:r>
          </w:p>
          <w:p w14:paraId="3FEAE1A2">
            <w:pPr>
              <w:spacing w:line="380" w:lineRule="exact"/>
              <w:rPr>
                <w:rFonts w:hint="eastAsia" w:ascii="宋体" w:hAnsi="宋体" w:eastAsia="宋体" w:cs="宋体"/>
                <w:szCs w:val="21"/>
              </w:rPr>
            </w:pPr>
            <w:r>
              <w:rPr>
                <w:rFonts w:hint="eastAsia" w:ascii="宋体" w:hAnsi="宋体" w:eastAsia="宋体" w:cs="宋体"/>
                <w:szCs w:val="21"/>
              </w:rPr>
              <w:t>注：须提供相应业绩的合同（包括封面页、合同内容关键页、签字盖章页）扫描件并加盖单位公章。</w:t>
            </w:r>
          </w:p>
          <w:p w14:paraId="608E2CCD">
            <w:pPr>
              <w:spacing w:line="380" w:lineRule="exact"/>
              <w:rPr>
                <w:rFonts w:hint="eastAsia" w:ascii="宋体" w:hAnsi="宋体" w:eastAsia="宋体" w:cs="宋体"/>
                <w:szCs w:val="21"/>
              </w:rPr>
            </w:pPr>
            <w:r>
              <w:rPr>
                <w:rFonts w:hint="eastAsia" w:ascii="宋体" w:hAnsi="宋体" w:eastAsia="宋体" w:cs="宋体"/>
                <w:szCs w:val="21"/>
              </w:rPr>
              <w:t>（2）自2022年1月1日（标准发布时间）以来，供应商参与起草标准发布实施的，每个得</w:t>
            </w:r>
            <w:r>
              <w:rPr>
                <w:rFonts w:hint="eastAsia" w:ascii="宋体" w:hAnsi="宋体" w:cs="宋体"/>
                <w:szCs w:val="21"/>
              </w:rPr>
              <w:t>2</w:t>
            </w:r>
            <w:r>
              <w:rPr>
                <w:rFonts w:hint="eastAsia" w:ascii="宋体" w:hAnsi="宋体" w:eastAsia="宋体" w:cs="宋体"/>
                <w:szCs w:val="21"/>
              </w:rPr>
              <w:t>分，最多得</w:t>
            </w:r>
            <w:r>
              <w:rPr>
                <w:rFonts w:hint="eastAsia" w:ascii="宋体" w:hAnsi="宋体" w:cs="宋体"/>
                <w:szCs w:val="21"/>
              </w:rPr>
              <w:t>4</w:t>
            </w:r>
            <w:r>
              <w:rPr>
                <w:rFonts w:hint="eastAsia" w:ascii="宋体" w:hAnsi="宋体" w:eastAsia="宋体" w:cs="宋体"/>
                <w:szCs w:val="21"/>
              </w:rPr>
              <w:t>分。</w:t>
            </w:r>
          </w:p>
          <w:p w14:paraId="3A7467D8">
            <w:pPr>
              <w:spacing w:line="380" w:lineRule="exact"/>
              <w:rPr>
                <w:rFonts w:hint="eastAsia" w:ascii="宋体" w:hAnsi="宋体" w:eastAsia="宋体" w:cs="宋体"/>
                <w:szCs w:val="21"/>
              </w:rPr>
            </w:pPr>
            <w:r>
              <w:rPr>
                <w:rFonts w:hint="eastAsia" w:ascii="宋体" w:hAnsi="宋体" w:eastAsia="宋体" w:cs="宋体"/>
                <w:szCs w:val="21"/>
              </w:rPr>
              <w:t>注：须提供标准（包括标准封面页、目次页、前言页）扫描件并加盖单位公章。</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0F17A9CC">
            <w:pPr>
              <w:widowControl/>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kern w:val="0"/>
                <w:szCs w:val="21"/>
              </w:rPr>
              <w:t>4</w:t>
            </w:r>
            <w:r>
              <w:rPr>
                <w:rFonts w:hint="eastAsia" w:ascii="宋体" w:hAnsi="宋体" w:eastAsia="宋体" w:cs="宋体"/>
                <w:kern w:val="0"/>
                <w:szCs w:val="21"/>
              </w:rPr>
              <w:t>分</w:t>
            </w:r>
          </w:p>
        </w:tc>
      </w:tr>
      <w:tr w14:paraId="1DA0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14:paraId="607BE4DC">
            <w:pPr>
              <w:widowControl/>
              <w:spacing w:line="360" w:lineRule="auto"/>
              <w:jc w:val="center"/>
              <w:rPr>
                <w:rFonts w:hint="eastAsia" w:ascii="仿宋_GB2312" w:hAnsi="宋体" w:eastAsia="仿宋_GB2312" w:cs="Tahoma"/>
                <w:kern w:val="0"/>
                <w:sz w:val="24"/>
                <w:szCs w:val="24"/>
              </w:rPr>
            </w:pPr>
            <w:r>
              <w:rPr>
                <w:rFonts w:hint="eastAsia" w:ascii="仿宋_GB2312" w:hAnsi="宋体" w:eastAsia="仿宋_GB2312" w:cs="Tahoma"/>
                <w:kern w:val="0"/>
                <w:sz w:val="24"/>
                <w:szCs w:val="24"/>
              </w:rPr>
              <w:t>3.3</w:t>
            </w:r>
          </w:p>
        </w:tc>
        <w:tc>
          <w:tcPr>
            <w:tcW w:w="1251" w:type="dxa"/>
            <w:tcBorders>
              <w:top w:val="single" w:color="auto" w:sz="4" w:space="0"/>
              <w:left w:val="single" w:color="auto" w:sz="4" w:space="0"/>
              <w:bottom w:val="single" w:color="auto" w:sz="4" w:space="0"/>
              <w:right w:val="single" w:color="auto" w:sz="4" w:space="0"/>
            </w:tcBorders>
            <w:noWrap/>
            <w:vAlign w:val="center"/>
          </w:tcPr>
          <w:p w14:paraId="1322E1B8">
            <w:pPr>
              <w:widowControl/>
              <w:jc w:val="center"/>
              <w:textAlignment w:val="center"/>
              <w:rPr>
                <w:rFonts w:hint="eastAsia" w:ascii="宋体" w:hAnsi="宋体" w:eastAsia="宋体" w:cs="宋体"/>
                <w:bCs/>
                <w:szCs w:val="21"/>
              </w:rPr>
            </w:pPr>
            <w:r>
              <w:rPr>
                <w:rFonts w:hint="eastAsia" w:ascii="宋体" w:hAnsi="宋体" w:eastAsia="宋体" w:cs="宋体"/>
                <w:bCs/>
                <w:szCs w:val="21"/>
              </w:rPr>
              <w:t>服务能力</w:t>
            </w:r>
          </w:p>
        </w:tc>
        <w:tc>
          <w:tcPr>
            <w:tcW w:w="6361" w:type="dxa"/>
            <w:tcBorders>
              <w:top w:val="single" w:color="auto" w:sz="4" w:space="0"/>
              <w:left w:val="single" w:color="auto" w:sz="4" w:space="0"/>
              <w:bottom w:val="single" w:color="auto" w:sz="4" w:space="0"/>
              <w:right w:val="single" w:color="auto" w:sz="4" w:space="0"/>
            </w:tcBorders>
            <w:noWrap/>
            <w:vAlign w:val="center"/>
          </w:tcPr>
          <w:p w14:paraId="64581EC2">
            <w:pPr>
              <w:spacing w:line="380" w:lineRule="exact"/>
              <w:rPr>
                <w:rFonts w:hint="eastAsia" w:ascii="宋体" w:hAnsi="宋体" w:eastAsia="宋体" w:cs="宋体"/>
                <w:szCs w:val="21"/>
              </w:rPr>
            </w:pPr>
            <w:r>
              <w:rPr>
                <w:rFonts w:hint="eastAsia" w:ascii="宋体" w:hAnsi="宋体" w:eastAsia="宋体" w:cs="宋体"/>
                <w:szCs w:val="21"/>
              </w:rPr>
              <w:t>供应商承担的交通运输相关项目获得过科学技术奖项的，每个得2分，满分6分。</w:t>
            </w:r>
          </w:p>
          <w:p w14:paraId="788AEC52">
            <w:pPr>
              <w:spacing w:line="380" w:lineRule="exact"/>
              <w:rPr>
                <w:rFonts w:hint="eastAsia" w:ascii="宋体" w:hAnsi="宋体" w:eastAsia="宋体" w:cs="宋体"/>
                <w:szCs w:val="21"/>
              </w:rPr>
            </w:pPr>
            <w:r>
              <w:rPr>
                <w:rFonts w:hint="eastAsia" w:ascii="宋体" w:hAnsi="宋体" w:eastAsia="宋体" w:cs="宋体"/>
                <w:szCs w:val="21"/>
              </w:rPr>
              <w:t>注：需提供获奖证书复印件并加盖公章，否则不得分。</w:t>
            </w:r>
          </w:p>
        </w:tc>
        <w:tc>
          <w:tcPr>
            <w:tcW w:w="778" w:type="dxa"/>
            <w:gridSpan w:val="2"/>
            <w:tcBorders>
              <w:top w:val="single" w:color="auto" w:sz="4" w:space="0"/>
              <w:left w:val="single" w:color="auto" w:sz="4" w:space="0"/>
              <w:bottom w:val="single" w:color="auto" w:sz="4" w:space="0"/>
              <w:right w:val="single" w:color="auto" w:sz="4" w:space="0"/>
            </w:tcBorders>
            <w:noWrap/>
            <w:vAlign w:val="center"/>
          </w:tcPr>
          <w:p w14:paraId="6F521791">
            <w:pPr>
              <w:widowControl/>
              <w:spacing w:line="360" w:lineRule="auto"/>
              <w:jc w:val="center"/>
              <w:rPr>
                <w:rFonts w:hint="eastAsia" w:ascii="宋体" w:hAnsi="宋体" w:eastAsia="宋体" w:cs="宋体"/>
                <w:kern w:val="0"/>
                <w:szCs w:val="21"/>
              </w:rPr>
            </w:pPr>
            <w:r>
              <w:rPr>
                <w:rFonts w:hint="eastAsia" w:ascii="宋体" w:hAnsi="宋体" w:cs="宋体"/>
                <w:kern w:val="0"/>
                <w:szCs w:val="21"/>
              </w:rPr>
              <w:t>6分</w:t>
            </w:r>
          </w:p>
        </w:tc>
      </w:tr>
      <w:tr w14:paraId="6577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90" w:type="dxa"/>
            <w:gridSpan w:val="5"/>
            <w:tcBorders>
              <w:top w:val="single" w:color="auto" w:sz="4" w:space="0"/>
              <w:left w:val="single" w:color="auto" w:sz="4" w:space="0"/>
              <w:bottom w:val="single" w:color="auto" w:sz="4" w:space="0"/>
              <w:right w:val="single" w:color="auto" w:sz="4" w:space="0"/>
            </w:tcBorders>
            <w:noWrap/>
          </w:tcPr>
          <w:p w14:paraId="61AFE8A0">
            <w:pPr>
              <w:widowControl/>
              <w:jc w:val="center"/>
              <w:rPr>
                <w:rFonts w:hint="eastAsia" w:ascii="仿宋_GB2312" w:hAnsi="宋体" w:eastAsia="仿宋_GB2312" w:cs="宋体"/>
                <w:kern w:val="0"/>
                <w:sz w:val="24"/>
                <w:szCs w:val="24"/>
              </w:rPr>
            </w:pPr>
            <w:r>
              <w:rPr>
                <w:rFonts w:hint="eastAsia" w:ascii="仿宋_GB2312" w:hAnsi="宋体" w:eastAsia="仿宋_GB2312" w:cs="宋体"/>
                <w:b/>
                <w:sz w:val="24"/>
                <w:szCs w:val="24"/>
              </w:rPr>
              <w:t>总得分＝1＋2＋3</w:t>
            </w:r>
          </w:p>
        </w:tc>
      </w:tr>
      <w:bookmarkEnd w:id="3"/>
    </w:tbl>
    <w:p w14:paraId="24BE1F5F">
      <w:pPr>
        <w:pStyle w:val="2"/>
        <w:rPr>
          <w:rFonts w:hint="eastAsia" w:ascii="仿宋" w:hAnsi="仿宋" w:eastAsia="仿宋" w:cs="仿宋"/>
          <w:color w:val="0000FF"/>
          <w:sz w:val="28"/>
          <w:szCs w:val="28"/>
        </w:rPr>
      </w:pPr>
    </w:p>
    <w:p w14:paraId="62054D3C">
      <w:pPr>
        <w:rPr>
          <w:rFonts w:hint="eastAsia" w:ascii="仿宋" w:hAnsi="仿宋" w:eastAsia="仿宋" w:cs="仿宋"/>
          <w:color w:val="0000FF"/>
          <w:sz w:val="28"/>
          <w:szCs w:val="28"/>
        </w:rPr>
      </w:pPr>
    </w:p>
    <w:p w14:paraId="11E1EF5C">
      <w:pPr>
        <w:pStyle w:val="2"/>
        <w:ind w:left="0"/>
        <w:rPr>
          <w:rFonts w:hint="eastAsia" w:ascii="仿宋" w:hAnsi="仿宋" w:eastAsia="仿宋" w:cs="仿宋"/>
          <w:color w:val="0000FF"/>
          <w:sz w:val="28"/>
          <w:szCs w:val="32"/>
        </w:rPr>
      </w:pPr>
    </w:p>
    <w:p w14:paraId="74F8B7A0">
      <w:pPr>
        <w:rPr>
          <w:rFonts w:hint="eastAsia" w:ascii="仿宋" w:hAnsi="仿宋" w:eastAsia="仿宋" w:cs="仿宋"/>
          <w:color w:val="0000FF"/>
          <w:sz w:val="28"/>
          <w:szCs w:val="32"/>
        </w:rPr>
      </w:pPr>
    </w:p>
    <w:p w14:paraId="46850BEE">
      <w:pPr>
        <w:rPr>
          <w:rFonts w:hint="eastAsia" w:ascii="仿宋" w:hAnsi="仿宋" w:eastAsia="仿宋" w:cs="仿宋"/>
          <w:color w:val="0000FF"/>
          <w:sz w:val="28"/>
          <w:szCs w:val="32"/>
        </w:rPr>
      </w:pPr>
    </w:p>
    <w:p w14:paraId="53045B3A">
      <w:pPr>
        <w:rPr>
          <w:rFonts w:hint="eastAsia" w:ascii="仿宋" w:hAnsi="仿宋" w:eastAsia="仿宋" w:cs="仿宋"/>
          <w:color w:val="0000FF"/>
          <w:sz w:val="28"/>
          <w:szCs w:val="32"/>
        </w:rPr>
      </w:pPr>
    </w:p>
    <w:p w14:paraId="79169126">
      <w:pPr>
        <w:rPr>
          <w:rFonts w:hint="eastAsia" w:ascii="仿宋" w:hAnsi="仿宋" w:eastAsia="仿宋" w:cs="仿宋"/>
          <w:color w:val="0000FF"/>
          <w:sz w:val="28"/>
          <w:szCs w:val="32"/>
        </w:rPr>
      </w:pPr>
    </w:p>
    <w:p w14:paraId="2310AD26">
      <w:pPr>
        <w:rPr>
          <w:rFonts w:hint="eastAsia" w:ascii="仿宋" w:hAnsi="仿宋" w:eastAsia="仿宋" w:cs="仿宋"/>
          <w:color w:val="0000FF"/>
          <w:sz w:val="28"/>
          <w:szCs w:val="32"/>
        </w:rPr>
      </w:pPr>
    </w:p>
    <w:p w14:paraId="55B04F1C">
      <w:pPr>
        <w:jc w:val="center"/>
        <w:rPr>
          <w:rFonts w:hint="eastAsia" w:ascii="仿宋_GB2312" w:eastAsia="仿宋_GB2312"/>
          <w:b/>
          <w:sz w:val="28"/>
          <w:szCs w:val="28"/>
        </w:rPr>
      </w:pPr>
      <w:r>
        <w:rPr>
          <w:rFonts w:hint="eastAsia" w:ascii="仿宋_GB2312" w:eastAsia="仿宋_GB2312"/>
          <w:b/>
          <w:sz w:val="28"/>
          <w:szCs w:val="28"/>
          <w:lang w:eastAsia="zh-CN"/>
        </w:rPr>
        <w:t>部分</w:t>
      </w:r>
      <w:r>
        <w:rPr>
          <w:rFonts w:hint="eastAsia" w:ascii="仿宋_GB2312" w:eastAsia="仿宋_GB2312"/>
          <w:b/>
          <w:sz w:val="28"/>
          <w:szCs w:val="28"/>
        </w:rPr>
        <w:t>报价文件</w:t>
      </w:r>
      <w:r>
        <w:rPr>
          <w:rFonts w:hint="eastAsia" w:ascii="仿宋_GB2312" w:eastAsia="仿宋_GB2312"/>
          <w:b/>
          <w:sz w:val="28"/>
          <w:szCs w:val="28"/>
          <w:lang w:eastAsia="zh-CN"/>
        </w:rPr>
        <w:t>参考</w:t>
      </w:r>
      <w:r>
        <w:rPr>
          <w:rFonts w:hint="eastAsia" w:ascii="仿宋_GB2312" w:eastAsia="仿宋_GB2312"/>
          <w:b/>
          <w:sz w:val="28"/>
          <w:szCs w:val="28"/>
        </w:rPr>
        <w:t>格式</w:t>
      </w:r>
    </w:p>
    <w:p w14:paraId="7C416027">
      <w:pPr>
        <w:spacing w:line="240" w:lineRule="atLeast"/>
        <w:ind w:right="-317" w:rightChars="-151"/>
        <w:jc w:val="center"/>
        <w:rPr>
          <w:rFonts w:hint="eastAsia" w:ascii="仿宋_GB2312" w:hAnsi="楷体" w:eastAsia="仿宋_GB2312"/>
          <w:b/>
          <w:sz w:val="32"/>
          <w:szCs w:val="32"/>
        </w:rPr>
      </w:pPr>
      <w:r>
        <w:rPr>
          <w:rFonts w:hint="eastAsia" w:ascii="仿宋_GB2312" w:hAnsi="楷体" w:eastAsia="仿宋_GB2312"/>
          <w:b/>
          <w:sz w:val="32"/>
          <w:szCs w:val="32"/>
        </w:rPr>
        <w:t>声明书</w:t>
      </w:r>
    </w:p>
    <w:p w14:paraId="54F96C1B">
      <w:pPr>
        <w:spacing w:line="360" w:lineRule="auto"/>
        <w:rPr>
          <w:rFonts w:hint="eastAsia" w:ascii="仿宋_GB2312" w:hAnsi="宋体" w:eastAsia="仿宋_GB2312"/>
          <w:sz w:val="24"/>
        </w:rPr>
      </w:pPr>
      <w:r>
        <w:rPr>
          <w:rFonts w:hint="eastAsia" w:ascii="仿宋_GB2312" w:hAnsi="宋体" w:eastAsia="仿宋_GB2312"/>
          <w:sz w:val="24"/>
        </w:rPr>
        <w:t>广西壮族自治区交通运输综合行政执法局：</w:t>
      </w:r>
    </w:p>
    <w:p w14:paraId="73D3F89D">
      <w:pPr>
        <w:spacing w:line="360" w:lineRule="auto"/>
        <w:ind w:firstLine="480" w:firstLineChars="200"/>
        <w:rPr>
          <w:rFonts w:hint="eastAsia" w:ascii="仿宋_GB2312" w:hAnsi="宋体" w:eastAsia="仿宋_GB2312" w:cs="仿宋_GB2312"/>
          <w:sz w:val="24"/>
          <w:u w:val="single"/>
        </w:rPr>
      </w:pPr>
      <w:r>
        <w:rPr>
          <w:rFonts w:hint="eastAsia" w:ascii="仿宋_GB2312" w:hAnsi="宋体" w:eastAsia="仿宋_GB2312" w:cs="仿宋_GB2312"/>
          <w:sz w:val="24"/>
        </w:rPr>
        <w:t>依据贵方</w:t>
      </w:r>
      <w:r>
        <w:rPr>
          <w:rFonts w:hint="eastAsia" w:ascii="仿宋_GB2312" w:hAnsi="宋体" w:eastAsia="仿宋_GB2312" w:cs="仿宋_GB2312"/>
          <w:sz w:val="24"/>
          <w:u w:val="single"/>
          <w:lang w:val="en-US" w:eastAsia="zh-CN"/>
        </w:rPr>
        <w:t xml:space="preserve">           </w:t>
      </w:r>
      <w:r>
        <w:rPr>
          <w:rFonts w:hint="eastAsia" w:ascii="仿宋_GB2312" w:hAnsi="宋体" w:eastAsia="仿宋_GB2312" w:cs="仿宋_GB2312"/>
          <w:sz w:val="24"/>
        </w:rPr>
        <w:t>的询价采购邀请，我方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经正式授权并代表报价方</w:t>
      </w:r>
      <w:r>
        <w:rPr>
          <w:rFonts w:hint="eastAsia" w:ascii="仿宋_GB2312" w:hAnsi="宋体" w:eastAsia="仿宋_GB2312" w:cs="仿宋_GB2312"/>
          <w:sz w:val="24"/>
          <w:u w:val="single"/>
        </w:rPr>
        <w:t xml:space="preserve">      （名称）</w:t>
      </w:r>
      <w:r>
        <w:rPr>
          <w:rFonts w:hint="eastAsia" w:ascii="仿宋_GB2312" w:hAnsi="宋体" w:eastAsia="仿宋_GB2312"/>
          <w:sz w:val="24"/>
        </w:rPr>
        <w:t>提交“报价文件”正本一份，副本一份。</w:t>
      </w:r>
    </w:p>
    <w:p w14:paraId="19C926DD">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在此，授权代表宣布同意如下：</w:t>
      </w:r>
    </w:p>
    <w:p w14:paraId="27013EBC">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1.报价方已详细审查“采购文件”，已经了解我方对于采购文件、采购过程、采购结果有依法进行询问、质疑、投诉的权利及相关渠道和要求。</w:t>
      </w:r>
    </w:p>
    <w:p w14:paraId="22BC12D1">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2.报价方在报价之前已经与采购方进行了充分的沟通，完全理解并接受采购文件的各项规定和要求，对采购文件的合理性、合法性不再有异议。</w:t>
      </w:r>
    </w:p>
    <w:p w14:paraId="0DDAD33C">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3.本报价有效期自开标日起</w:t>
      </w:r>
      <w:r>
        <w:rPr>
          <w:rFonts w:hint="eastAsia" w:ascii="仿宋_GB2312" w:hAnsi="宋体" w:eastAsia="仿宋_GB2312"/>
          <w:sz w:val="24"/>
          <w:u w:val="single"/>
        </w:rPr>
        <w:t xml:space="preserve">       </w:t>
      </w:r>
      <w:r>
        <w:rPr>
          <w:rFonts w:hint="eastAsia" w:ascii="仿宋_GB2312" w:hAnsi="宋体" w:eastAsia="仿宋_GB2312"/>
          <w:sz w:val="24"/>
        </w:rPr>
        <w:t>个自然日。</w:t>
      </w:r>
    </w:p>
    <w:p w14:paraId="07917F97">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4.如成交，本报价文件至本项目合同履行完毕止均保持有效，报价方将按“采购文件”及政府采购法律、法规的规定履行合同责任和义务。</w:t>
      </w:r>
    </w:p>
    <w:p w14:paraId="2E1E0D8E">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5.报价方同意按照采购方要求提供与报价有关的一切数据或资料。</w:t>
      </w:r>
    </w:p>
    <w:p w14:paraId="51756536">
      <w:pPr>
        <w:ind w:firstLine="5400" w:firstLineChars="2250"/>
        <w:rPr>
          <w:rFonts w:hint="eastAsia" w:ascii="仿宋_GB2312" w:hAnsi="宋体" w:eastAsia="仿宋_GB2312"/>
          <w:sz w:val="24"/>
        </w:rPr>
      </w:pPr>
    </w:p>
    <w:p w14:paraId="5407E382">
      <w:pPr>
        <w:ind w:firstLine="5400" w:firstLineChars="2250"/>
        <w:rPr>
          <w:rFonts w:hint="eastAsia" w:ascii="仿宋_GB2312" w:hAnsi="宋体" w:eastAsia="仿宋_GB2312"/>
          <w:sz w:val="24"/>
        </w:rPr>
      </w:pPr>
    </w:p>
    <w:p w14:paraId="75C04355">
      <w:pPr>
        <w:ind w:firstLine="5400" w:firstLineChars="2250"/>
        <w:rPr>
          <w:rFonts w:hint="eastAsia" w:ascii="仿宋_GB2312" w:hAnsi="宋体" w:eastAsia="仿宋_GB2312"/>
          <w:sz w:val="24"/>
        </w:rPr>
      </w:pPr>
    </w:p>
    <w:p w14:paraId="614A0E3B">
      <w:pPr>
        <w:ind w:firstLine="5400" w:firstLineChars="2250"/>
        <w:rPr>
          <w:rFonts w:hint="eastAsia" w:ascii="仿宋_GB2312" w:hAnsi="宋体" w:eastAsia="仿宋_GB2312"/>
          <w:sz w:val="24"/>
        </w:rPr>
      </w:pPr>
      <w:r>
        <w:rPr>
          <w:rFonts w:hint="eastAsia" w:ascii="仿宋_GB2312" w:hAnsi="宋体" w:eastAsia="仿宋_GB2312"/>
          <w:sz w:val="24"/>
        </w:rPr>
        <w:t>日期：        年   月  日</w:t>
      </w:r>
    </w:p>
    <w:p w14:paraId="67A74C57">
      <w:pPr>
        <w:spacing w:line="360" w:lineRule="auto"/>
        <w:rPr>
          <w:rFonts w:hint="eastAsia" w:ascii="仿宋_GB2312" w:hAnsi="宋体" w:eastAsia="仿宋_GB2312"/>
          <w:sz w:val="24"/>
        </w:rPr>
      </w:pPr>
    </w:p>
    <w:p w14:paraId="63065471">
      <w:pPr>
        <w:spacing w:line="360" w:lineRule="auto"/>
        <w:rPr>
          <w:rFonts w:hint="eastAsia" w:ascii="仿宋_GB2312" w:hAnsi="宋体" w:eastAsia="仿宋_GB2312"/>
          <w:sz w:val="24"/>
        </w:rPr>
      </w:pPr>
    </w:p>
    <w:p w14:paraId="5A297744">
      <w:pPr>
        <w:spacing w:line="360" w:lineRule="auto"/>
        <w:rPr>
          <w:rFonts w:hint="eastAsia" w:ascii="仿宋_GB2312" w:hAnsi="宋体" w:eastAsia="仿宋_GB2312"/>
          <w:sz w:val="24"/>
        </w:rPr>
      </w:pPr>
    </w:p>
    <w:p w14:paraId="7AAEF7F5">
      <w:pPr>
        <w:spacing w:line="360" w:lineRule="auto"/>
        <w:rPr>
          <w:rFonts w:hint="eastAsia" w:ascii="仿宋_GB2312" w:hAnsi="宋体" w:eastAsia="仿宋_GB2312"/>
          <w:sz w:val="24"/>
        </w:rPr>
      </w:pPr>
    </w:p>
    <w:p w14:paraId="1B583850">
      <w:pPr>
        <w:spacing w:line="360" w:lineRule="auto"/>
        <w:rPr>
          <w:rFonts w:hint="eastAsia" w:ascii="仿宋_GB2312" w:hAnsi="宋体" w:eastAsia="仿宋_GB2312"/>
          <w:sz w:val="24"/>
        </w:rPr>
      </w:pPr>
      <w:r>
        <w:rPr>
          <w:rFonts w:hint="eastAsia" w:ascii="仿宋_GB2312" w:hAnsi="宋体" w:eastAsia="仿宋_GB2312"/>
          <w:sz w:val="24"/>
        </w:rPr>
        <w:t>报价方法定代表人或委托代理人签字：</w:t>
      </w:r>
    </w:p>
    <w:p w14:paraId="71B6C8E8">
      <w:pPr>
        <w:spacing w:line="360" w:lineRule="auto"/>
        <w:rPr>
          <w:rFonts w:hint="eastAsia" w:ascii="仿宋_GB2312" w:hAnsi="宋体" w:eastAsia="仿宋_GB2312"/>
          <w:sz w:val="24"/>
          <w:u w:val="single"/>
        </w:rPr>
      </w:pPr>
      <w:r>
        <w:rPr>
          <w:rFonts w:hint="eastAsia" w:ascii="仿宋_GB2312" w:hAnsi="宋体" w:eastAsia="仿宋_GB2312"/>
          <w:sz w:val="24"/>
        </w:rPr>
        <w:t>报价方名称（公章）：</w:t>
      </w:r>
    </w:p>
    <w:p w14:paraId="3F5AD92B">
      <w:pPr>
        <w:spacing w:line="360" w:lineRule="auto"/>
        <w:rPr>
          <w:rFonts w:hint="eastAsia" w:ascii="仿宋_GB2312" w:hAnsi="宋体" w:eastAsia="仿宋_GB2312"/>
          <w:sz w:val="24"/>
          <w:u w:val="single"/>
        </w:rPr>
      </w:pPr>
      <w:r>
        <w:rPr>
          <w:rFonts w:hint="eastAsia" w:ascii="仿宋_GB2312" w:hAnsi="宋体" w:eastAsia="仿宋_GB2312"/>
          <w:sz w:val="24"/>
        </w:rPr>
        <w:t>开户名称：</w:t>
      </w:r>
    </w:p>
    <w:p w14:paraId="7FCF3BF7">
      <w:pPr>
        <w:pStyle w:val="7"/>
        <w:spacing w:line="360" w:lineRule="auto"/>
        <w:rPr>
          <w:rFonts w:hint="eastAsia" w:ascii="仿宋_GB2312" w:hAnsi="宋体" w:eastAsia="仿宋_GB2312" w:cs="宋体"/>
          <w:sz w:val="24"/>
          <w:szCs w:val="24"/>
          <w:u w:val="single"/>
        </w:rPr>
      </w:pPr>
      <w:r>
        <w:rPr>
          <w:rFonts w:hint="eastAsia" w:ascii="仿宋_GB2312" w:hAnsi="宋体" w:eastAsia="仿宋_GB2312"/>
          <w:sz w:val="24"/>
          <w:szCs w:val="24"/>
        </w:rPr>
        <w:t>开户银行：</w:t>
      </w:r>
    </w:p>
    <w:p w14:paraId="281A964A">
      <w:pPr>
        <w:spacing w:line="240" w:lineRule="atLeast"/>
        <w:ind w:right="-317" w:rightChars="-151"/>
        <w:rPr>
          <w:rFonts w:hint="eastAsia" w:ascii="仿宋_GB2312" w:hAnsi="宋体" w:eastAsia="仿宋_GB2312"/>
          <w:b/>
          <w:sz w:val="28"/>
          <w:szCs w:val="21"/>
        </w:rPr>
      </w:pPr>
      <w:r>
        <w:rPr>
          <w:rFonts w:hint="eastAsia" w:ascii="仿宋_GB2312" w:hAnsi="宋体" w:eastAsia="仿宋_GB2312"/>
          <w:sz w:val="24"/>
        </w:rPr>
        <w:t>账    号：</w:t>
      </w:r>
      <w:r>
        <w:rPr>
          <w:rFonts w:hint="eastAsia" w:ascii="仿宋_GB2312" w:hAnsi="宋体" w:eastAsia="仿宋_GB2312"/>
          <w:b/>
          <w:sz w:val="28"/>
          <w:szCs w:val="21"/>
        </w:rPr>
        <w:t xml:space="preserve"> </w:t>
      </w:r>
    </w:p>
    <w:p w14:paraId="2AD1DF73">
      <w:pPr>
        <w:spacing w:line="240" w:lineRule="atLeast"/>
        <w:ind w:right="-317" w:rightChars="-151"/>
        <w:jc w:val="center"/>
        <w:rPr>
          <w:rFonts w:hint="eastAsia" w:ascii="仿宋_GB2312" w:hAnsi="宋体" w:eastAsia="仿宋_GB2312"/>
          <w:b/>
          <w:sz w:val="28"/>
          <w:szCs w:val="21"/>
        </w:rPr>
      </w:pPr>
    </w:p>
    <w:p w14:paraId="20714155">
      <w:pPr>
        <w:jc w:val="center"/>
        <w:rPr>
          <w:rFonts w:hint="eastAsia" w:ascii="仿宋_GB2312" w:eastAsia="仿宋_GB2312"/>
          <w:b/>
          <w:sz w:val="28"/>
          <w:szCs w:val="28"/>
        </w:rPr>
      </w:pPr>
    </w:p>
    <w:p w14:paraId="37407CA3">
      <w:pPr>
        <w:rPr>
          <w:rFonts w:hint="eastAsia" w:ascii="仿宋" w:hAnsi="仿宋" w:eastAsia="仿宋" w:cs="仿宋"/>
          <w:color w:val="0000FF"/>
          <w:sz w:val="28"/>
          <w:szCs w:val="32"/>
        </w:rPr>
      </w:pPr>
    </w:p>
    <w:p w14:paraId="5C530FBE">
      <w:pPr>
        <w:spacing w:line="240" w:lineRule="atLeast"/>
        <w:ind w:right="-317" w:rightChars="-151"/>
        <w:jc w:val="center"/>
        <w:rPr>
          <w:rFonts w:hint="eastAsia" w:ascii="仿宋_GB2312" w:hAnsi="楷体" w:eastAsia="仿宋_GB2312"/>
          <w:sz w:val="32"/>
          <w:szCs w:val="32"/>
        </w:rPr>
      </w:pPr>
      <w:r>
        <w:rPr>
          <w:rFonts w:hint="eastAsia" w:ascii="仿宋_GB2312" w:hAnsi="楷体" w:eastAsia="仿宋_GB2312"/>
          <w:b/>
          <w:sz w:val="32"/>
          <w:szCs w:val="32"/>
        </w:rPr>
        <w:t>报价表</w:t>
      </w:r>
    </w:p>
    <w:p w14:paraId="7E0F6BDE">
      <w:pPr>
        <w:spacing w:line="240" w:lineRule="atLeast"/>
        <w:rPr>
          <w:rFonts w:hint="eastAsia" w:ascii="仿宋_GB2312" w:hAnsi="宋体" w:eastAsia="仿宋_GB2312"/>
          <w:szCs w:val="21"/>
        </w:rPr>
      </w:pPr>
    </w:p>
    <w:tbl>
      <w:tblPr>
        <w:tblStyle w:val="11"/>
        <w:tblW w:w="8287" w:type="dxa"/>
        <w:jc w:val="center"/>
        <w:tblLayout w:type="autofit"/>
        <w:tblCellMar>
          <w:top w:w="0" w:type="dxa"/>
          <w:left w:w="108" w:type="dxa"/>
          <w:bottom w:w="0" w:type="dxa"/>
          <w:right w:w="108" w:type="dxa"/>
        </w:tblCellMar>
      </w:tblPr>
      <w:tblGrid>
        <w:gridCol w:w="1088"/>
        <w:gridCol w:w="4356"/>
        <w:gridCol w:w="2843"/>
      </w:tblGrid>
      <w:tr w14:paraId="031649AC">
        <w:tblPrEx>
          <w:tblCellMar>
            <w:top w:w="0" w:type="dxa"/>
            <w:left w:w="108" w:type="dxa"/>
            <w:bottom w:w="0" w:type="dxa"/>
            <w:right w:w="108" w:type="dxa"/>
          </w:tblCellMar>
        </w:tblPrEx>
        <w:trPr>
          <w:trHeight w:val="113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14:paraId="7B917CF8">
            <w:pPr>
              <w:jc w:val="center"/>
              <w:rPr>
                <w:rFonts w:hint="eastAsia" w:ascii="宋体" w:hAnsi="宋体" w:cs="宋体"/>
                <w:sz w:val="24"/>
              </w:rPr>
            </w:pPr>
            <w:r>
              <w:rPr>
                <w:rFonts w:hint="eastAsia" w:ascii="宋体" w:hAnsi="宋体" w:cs="宋体"/>
                <w:sz w:val="24"/>
              </w:rPr>
              <w:t>序号</w:t>
            </w:r>
          </w:p>
        </w:tc>
        <w:tc>
          <w:tcPr>
            <w:tcW w:w="4356" w:type="dxa"/>
            <w:tcBorders>
              <w:top w:val="single" w:color="auto" w:sz="4" w:space="0"/>
              <w:left w:val="single" w:color="auto" w:sz="4" w:space="0"/>
              <w:bottom w:val="single" w:color="auto" w:sz="4" w:space="0"/>
              <w:right w:val="single" w:color="auto" w:sz="4" w:space="0"/>
            </w:tcBorders>
            <w:vAlign w:val="center"/>
          </w:tcPr>
          <w:p w14:paraId="6FE7F8C9">
            <w:pPr>
              <w:jc w:val="center"/>
              <w:rPr>
                <w:rFonts w:hint="eastAsia" w:ascii="宋体" w:hAnsi="宋体" w:cs="宋体"/>
                <w:sz w:val="24"/>
              </w:rPr>
            </w:pPr>
            <w:r>
              <w:rPr>
                <w:rFonts w:hint="eastAsia" w:ascii="宋体" w:hAnsi="宋体" w:cs="宋体"/>
                <w:sz w:val="24"/>
              </w:rPr>
              <w:t>项目名称</w:t>
            </w:r>
          </w:p>
        </w:tc>
        <w:tc>
          <w:tcPr>
            <w:tcW w:w="2843" w:type="dxa"/>
            <w:tcBorders>
              <w:top w:val="single" w:color="000000" w:sz="4" w:space="0"/>
              <w:left w:val="nil"/>
              <w:bottom w:val="single" w:color="000000" w:sz="4" w:space="0"/>
              <w:right w:val="single" w:color="000000" w:sz="4" w:space="0"/>
            </w:tcBorders>
            <w:vAlign w:val="center"/>
          </w:tcPr>
          <w:p w14:paraId="0B9091ED">
            <w:pPr>
              <w:widowControl/>
              <w:jc w:val="center"/>
              <w:rPr>
                <w:rFonts w:hint="eastAsia" w:ascii="宋体" w:hAnsi="宋体" w:cs="宋体"/>
                <w:color w:val="000000"/>
                <w:kern w:val="0"/>
                <w:sz w:val="20"/>
                <w:szCs w:val="20"/>
              </w:rPr>
            </w:pPr>
            <w:r>
              <w:rPr>
                <w:rFonts w:hint="eastAsia" w:ascii="宋体" w:hAnsi="宋体" w:cs="宋体"/>
                <w:color w:val="000000"/>
                <w:kern w:val="0"/>
                <w:sz w:val="24"/>
                <w:szCs w:val="20"/>
              </w:rPr>
              <w:t>合计（人民币，元）</w:t>
            </w:r>
          </w:p>
        </w:tc>
      </w:tr>
      <w:tr w14:paraId="2304358D">
        <w:tblPrEx>
          <w:tblCellMar>
            <w:top w:w="0" w:type="dxa"/>
            <w:left w:w="108" w:type="dxa"/>
            <w:bottom w:w="0" w:type="dxa"/>
            <w:right w:w="108" w:type="dxa"/>
          </w:tblCellMar>
        </w:tblPrEx>
        <w:trPr>
          <w:trHeight w:val="1980" w:hRule="atLeast"/>
          <w:jc w:val="center"/>
        </w:trPr>
        <w:tc>
          <w:tcPr>
            <w:tcW w:w="1088" w:type="dxa"/>
            <w:tcBorders>
              <w:top w:val="nil"/>
              <w:left w:val="single" w:color="auto" w:sz="4" w:space="0"/>
              <w:bottom w:val="single" w:color="auto" w:sz="4" w:space="0"/>
              <w:right w:val="single" w:color="auto" w:sz="4" w:space="0"/>
            </w:tcBorders>
            <w:vAlign w:val="center"/>
          </w:tcPr>
          <w:p w14:paraId="7098E636">
            <w:pPr>
              <w:jc w:val="center"/>
              <w:rPr>
                <w:rFonts w:hint="eastAsia" w:ascii="宋体" w:hAnsi="宋体" w:cs="宋体"/>
                <w:sz w:val="24"/>
              </w:rPr>
            </w:pPr>
            <w:r>
              <w:rPr>
                <w:rFonts w:hint="eastAsia" w:ascii="宋体" w:hAnsi="宋体" w:cs="宋体"/>
                <w:sz w:val="24"/>
              </w:rPr>
              <w:t>1</w:t>
            </w:r>
          </w:p>
        </w:tc>
        <w:tc>
          <w:tcPr>
            <w:tcW w:w="4356" w:type="dxa"/>
            <w:tcBorders>
              <w:top w:val="nil"/>
              <w:left w:val="single" w:color="auto" w:sz="4" w:space="0"/>
              <w:bottom w:val="single" w:color="auto" w:sz="4" w:space="0"/>
              <w:right w:val="single" w:color="auto" w:sz="4" w:space="0"/>
            </w:tcBorders>
            <w:vAlign w:val="center"/>
          </w:tcPr>
          <w:p w14:paraId="15283DD6">
            <w:pPr>
              <w:pStyle w:val="27"/>
              <w:spacing w:line="300" w:lineRule="exact"/>
              <w:ind w:left="0" w:leftChars="0"/>
              <w:jc w:val="left"/>
              <w:rPr>
                <w:rFonts w:hint="eastAsia" w:ascii="宋体" w:hAnsi="宋体" w:cs="宋体"/>
                <w:sz w:val="24"/>
              </w:rPr>
            </w:pPr>
          </w:p>
        </w:tc>
        <w:tc>
          <w:tcPr>
            <w:tcW w:w="2843" w:type="dxa"/>
            <w:tcBorders>
              <w:top w:val="nil"/>
              <w:left w:val="nil"/>
              <w:bottom w:val="single" w:color="auto" w:sz="4" w:space="0"/>
              <w:right w:val="single" w:color="auto" w:sz="4" w:space="0"/>
            </w:tcBorders>
            <w:vAlign w:val="center"/>
          </w:tcPr>
          <w:p w14:paraId="64F53B67">
            <w:pPr>
              <w:widowControl/>
              <w:jc w:val="center"/>
              <w:rPr>
                <w:rFonts w:hint="eastAsia" w:ascii="宋体" w:hAnsi="宋体" w:cs="宋体"/>
                <w:kern w:val="0"/>
                <w:sz w:val="24"/>
              </w:rPr>
            </w:pPr>
          </w:p>
        </w:tc>
      </w:tr>
    </w:tbl>
    <w:p w14:paraId="333D0327">
      <w:pPr>
        <w:spacing w:line="360" w:lineRule="auto"/>
        <w:rPr>
          <w:rFonts w:hint="eastAsia" w:ascii="仿宋_GB2312" w:hAnsi="宋体" w:eastAsia="仿宋_GB2312"/>
          <w:szCs w:val="21"/>
          <w:u w:val="single"/>
        </w:rPr>
      </w:pPr>
      <w:r>
        <w:rPr>
          <w:rFonts w:hint="eastAsia" w:ascii="仿宋_GB2312" w:hAnsi="宋体" w:eastAsia="仿宋_GB2312"/>
          <w:szCs w:val="21"/>
        </w:rPr>
        <w:t>法定代表人或委托代理人（签字）：</w:t>
      </w:r>
    </w:p>
    <w:p w14:paraId="6D4656E1">
      <w:pPr>
        <w:spacing w:line="360" w:lineRule="auto"/>
        <w:rPr>
          <w:rFonts w:hint="eastAsia" w:ascii="仿宋_GB2312" w:hAnsi="宋体" w:eastAsia="仿宋_GB2312"/>
          <w:szCs w:val="21"/>
        </w:rPr>
      </w:pPr>
      <w:r>
        <w:rPr>
          <w:rFonts w:hint="eastAsia" w:ascii="仿宋_GB2312" w:hAnsi="宋体" w:eastAsia="仿宋_GB2312"/>
          <w:szCs w:val="21"/>
        </w:rPr>
        <w:t>报价方（盖章）：</w:t>
      </w:r>
    </w:p>
    <w:p w14:paraId="65F06725">
      <w:pPr>
        <w:spacing w:line="360" w:lineRule="auto"/>
        <w:rPr>
          <w:rFonts w:hint="eastAsia" w:ascii="仿宋_GB2312" w:hAnsi="宋体" w:eastAsia="仿宋_GB2312"/>
          <w:szCs w:val="21"/>
        </w:rPr>
      </w:pPr>
      <w:r>
        <w:rPr>
          <w:rFonts w:hint="eastAsia" w:ascii="仿宋_GB2312" w:hAnsi="宋体" w:eastAsia="仿宋_GB2312"/>
          <w:szCs w:val="21"/>
        </w:rPr>
        <w:t>报价时间：     年    月   日</w:t>
      </w:r>
    </w:p>
    <w:p w14:paraId="5862D41B">
      <w:pPr>
        <w:pStyle w:val="16"/>
      </w:pPr>
    </w:p>
    <w:p w14:paraId="2FB6341F"/>
    <w:p w14:paraId="6408EF18"/>
    <w:p w14:paraId="6D041358"/>
    <w:p w14:paraId="67AFE74E"/>
    <w:p w14:paraId="54DE4147"/>
    <w:p w14:paraId="57F81194"/>
    <w:p w14:paraId="2F53AB56"/>
    <w:p w14:paraId="43E30526"/>
    <w:p w14:paraId="0D063EBF"/>
    <w:p w14:paraId="48DBAEAD"/>
    <w:p w14:paraId="54751406"/>
    <w:p w14:paraId="4CC8EC24"/>
    <w:p w14:paraId="41A082CD"/>
    <w:p w14:paraId="08C5E502"/>
    <w:p w14:paraId="79106FA1"/>
    <w:p w14:paraId="51DE603A"/>
    <w:p w14:paraId="0F159580"/>
    <w:p w14:paraId="2F938D70"/>
    <w:p w14:paraId="3E29EADC"/>
    <w:p w14:paraId="13534D43"/>
    <w:p w14:paraId="67F330B0"/>
    <w:p w14:paraId="4DC52389"/>
    <w:p w14:paraId="26C76F1A"/>
    <w:p w14:paraId="0A24CE05">
      <w:pPr>
        <w:jc w:val="center"/>
        <w:rPr>
          <w:rFonts w:hint="eastAsia" w:ascii="仿宋_GB2312" w:hAnsi="楷体" w:eastAsia="仿宋_GB2312"/>
          <w:b/>
          <w:sz w:val="32"/>
          <w:szCs w:val="32"/>
        </w:rPr>
      </w:pPr>
      <w:r>
        <w:rPr>
          <w:rFonts w:hint="eastAsia" w:ascii="仿宋_GB2312" w:hAnsi="楷体" w:eastAsia="仿宋_GB2312"/>
          <w:b/>
          <w:sz w:val="32"/>
          <w:szCs w:val="32"/>
        </w:rPr>
        <w:t>法定代表人授权书</w:t>
      </w:r>
    </w:p>
    <w:p w14:paraId="5CD38497">
      <w:pPr>
        <w:pStyle w:val="27"/>
        <w:spacing w:line="360" w:lineRule="auto"/>
        <w:rPr>
          <w:rFonts w:hint="eastAsia" w:ascii="仿宋_GB2312" w:hAnsi="宋体" w:eastAsia="仿宋_GB2312"/>
          <w:sz w:val="24"/>
        </w:rPr>
      </w:pPr>
    </w:p>
    <w:p w14:paraId="61851044">
      <w:pPr>
        <w:pStyle w:val="27"/>
        <w:spacing w:line="360" w:lineRule="auto"/>
        <w:rPr>
          <w:rFonts w:hint="eastAsia" w:ascii="仿宋_GB2312" w:hAnsi="宋体" w:eastAsia="仿宋_GB2312"/>
          <w:sz w:val="24"/>
        </w:rPr>
      </w:pPr>
      <w:r>
        <w:rPr>
          <w:rFonts w:hint="eastAsia" w:ascii="仿宋_GB2312" w:hAnsi="宋体" w:eastAsia="仿宋_GB2312"/>
          <w:sz w:val="24"/>
        </w:rPr>
        <w:t>广西壮族自治区交通运输综合行政执法局：</w:t>
      </w:r>
    </w:p>
    <w:p w14:paraId="6B2003D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sz w:val="24"/>
        </w:rPr>
        <w:t>兹授权</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同志为我公司参加贵单位组织的</w:t>
      </w:r>
      <w:r>
        <w:rPr>
          <w:rFonts w:hint="eastAsia" w:ascii="仿宋_GB2312" w:hAnsi="宋体" w:eastAsia="仿宋_GB2312"/>
          <w:sz w:val="24"/>
          <w:u w:val="single"/>
          <w:lang w:val="en-US" w:eastAsia="zh-CN"/>
        </w:rPr>
        <w:t xml:space="preserve">         </w:t>
      </w:r>
      <w:r>
        <w:rPr>
          <w:rFonts w:hint="eastAsia" w:ascii="仿宋_GB2312" w:hAnsi="宋体" w:eastAsia="仿宋_GB2312" w:cs="仿宋_GB2312"/>
          <w:sz w:val="24"/>
        </w:rPr>
        <w:t>采购</w:t>
      </w:r>
      <w:r>
        <w:rPr>
          <w:rFonts w:hint="eastAsia" w:ascii="仿宋_GB2312" w:hAnsi="宋体" w:eastAsia="仿宋_GB2312"/>
          <w:sz w:val="24"/>
        </w:rPr>
        <w:t>活动的委托代理人，全权代表我公司处理在该项目活动中的一切事宜。代理期限从   年  月  日起至   年  月  日止。</w:t>
      </w:r>
    </w:p>
    <w:p w14:paraId="6F9238C2">
      <w:pPr>
        <w:pStyle w:val="27"/>
        <w:spacing w:line="360" w:lineRule="auto"/>
        <w:ind w:firstLine="480"/>
        <w:rPr>
          <w:rFonts w:hint="eastAsia" w:ascii="仿宋_GB2312" w:hAnsi="宋体" w:eastAsia="仿宋_GB2312"/>
          <w:sz w:val="24"/>
          <w:u w:val="single"/>
        </w:rPr>
      </w:pPr>
      <w:r>
        <w:rPr>
          <w:rFonts w:hint="eastAsia" w:ascii="仿宋_GB2312" w:hAnsi="宋体" w:eastAsia="仿宋_GB2312"/>
          <w:sz w:val="24"/>
        </w:rPr>
        <w:t>授权单位（盖章）：</w:t>
      </w:r>
    </w:p>
    <w:p w14:paraId="54D64432">
      <w:pPr>
        <w:pStyle w:val="27"/>
        <w:spacing w:line="360" w:lineRule="auto"/>
        <w:ind w:firstLine="480"/>
        <w:rPr>
          <w:rFonts w:hint="eastAsia" w:ascii="仿宋_GB2312" w:hAnsi="宋体" w:eastAsia="仿宋_GB2312"/>
          <w:sz w:val="24"/>
          <w:u w:val="single"/>
        </w:rPr>
      </w:pPr>
      <w:r>
        <w:rPr>
          <w:rFonts w:hint="eastAsia" w:ascii="仿宋_GB2312" w:hAnsi="宋体" w:eastAsia="仿宋_GB2312"/>
          <w:sz w:val="24"/>
        </w:rPr>
        <w:t>法定代表人(签字或盖章)：</w:t>
      </w:r>
    </w:p>
    <w:p w14:paraId="206CA0BD">
      <w:pPr>
        <w:pStyle w:val="27"/>
        <w:spacing w:line="360" w:lineRule="auto"/>
        <w:ind w:firstLine="480"/>
        <w:rPr>
          <w:rFonts w:hint="eastAsia" w:ascii="仿宋_GB2312" w:hAnsi="宋体" w:eastAsia="仿宋_GB2312"/>
          <w:sz w:val="24"/>
        </w:rPr>
      </w:pPr>
      <w:r>
        <w:rPr>
          <w:rFonts w:hint="eastAsia" w:ascii="仿宋_GB2312" w:hAnsi="宋体" w:eastAsia="仿宋_GB2312"/>
          <w:sz w:val="24"/>
        </w:rPr>
        <w:t>签发日期：   年  月  日</w:t>
      </w:r>
    </w:p>
    <w:p w14:paraId="3257D98E">
      <w:pPr>
        <w:pStyle w:val="27"/>
        <w:spacing w:line="360" w:lineRule="auto"/>
        <w:ind w:firstLine="480"/>
        <w:rPr>
          <w:rFonts w:hint="eastAsia" w:ascii="仿宋_GB2312" w:hAnsi="宋体" w:eastAsia="仿宋_GB2312" w:cs="仿宋_GB2312"/>
          <w:sz w:val="24"/>
          <w:u w:val="single"/>
        </w:rPr>
      </w:pPr>
      <w:r>
        <w:rPr>
          <w:rFonts w:hint="eastAsia" w:ascii="仿宋_GB2312" w:hAnsi="宋体" w:eastAsia="仿宋_GB2312"/>
          <w:sz w:val="24"/>
        </w:rPr>
        <w:t>委托代理人工作单位：</w:t>
      </w:r>
    </w:p>
    <w:p w14:paraId="34688870">
      <w:pPr>
        <w:pStyle w:val="27"/>
        <w:spacing w:line="360" w:lineRule="auto"/>
        <w:ind w:firstLine="480"/>
        <w:rPr>
          <w:rFonts w:hint="eastAsia" w:ascii="仿宋_GB2312" w:hAnsi="宋体" w:eastAsia="仿宋_GB2312"/>
          <w:sz w:val="24"/>
          <w:u w:val="single"/>
        </w:rPr>
      </w:pPr>
      <w:r>
        <w:rPr>
          <w:rFonts w:hint="eastAsia" w:ascii="仿宋_GB2312" w:hAnsi="宋体" w:eastAsia="仿宋_GB2312"/>
          <w:sz w:val="24"/>
        </w:rPr>
        <w:t>职务：        性别：</w:t>
      </w:r>
    </w:p>
    <w:p w14:paraId="07A701CB">
      <w:pPr>
        <w:pStyle w:val="27"/>
        <w:spacing w:line="360" w:lineRule="auto"/>
        <w:ind w:firstLine="480"/>
        <w:rPr>
          <w:rFonts w:hint="eastAsia" w:ascii="仿宋_GB2312" w:hAnsi="宋体" w:eastAsia="仿宋_GB2312"/>
          <w:sz w:val="24"/>
          <w:u w:val="single"/>
        </w:rPr>
      </w:pPr>
      <w:r>
        <w:rPr>
          <w:rFonts w:hint="eastAsia" w:ascii="仿宋_GB2312" w:hAnsi="宋体" w:eastAsia="仿宋_GB2312"/>
          <w:sz w:val="24"/>
        </w:rPr>
        <w:t>身份证号码：</w:t>
      </w:r>
    </w:p>
    <w:p w14:paraId="3B361302">
      <w:pPr>
        <w:pStyle w:val="26"/>
        <w:ind w:firstLine="0" w:firstLineChars="0"/>
        <w:rPr>
          <w:rFonts w:hint="eastAsia" w:ascii="仿宋_GB2312" w:hAnsi="宋体" w:eastAsia="仿宋_GB2312"/>
          <w:sz w:val="24"/>
          <w:szCs w:val="24"/>
        </w:rPr>
      </w:pPr>
    </w:p>
    <w:p w14:paraId="3A559270">
      <w:pPr>
        <w:rPr>
          <w:rFonts w:hint="eastAsia" w:ascii="仿宋_GB2312" w:hAnsi="宋体" w:eastAsia="仿宋_GB2312"/>
          <w:sz w:val="24"/>
        </w:rPr>
      </w:pPr>
      <w:r>
        <w:rPr>
          <w:rFonts w:hint="eastAsia" w:ascii="仿宋_GB2312" w:hAnsi="宋体" w:eastAsia="仿宋_GB2312"/>
          <w:sz w:val="24"/>
        </w:rPr>
        <w:t>附：法定代表人身份证复印件、委托代理人身份证复印件</w:t>
      </w:r>
    </w:p>
    <w:p w14:paraId="73455187">
      <w:pPr>
        <w:pStyle w:val="26"/>
        <w:ind w:firstLine="0" w:firstLineChars="0"/>
        <w:rPr>
          <w:rFonts w:hint="eastAsia" w:ascii="仿宋_GB2312" w:hAnsi="宋体" w:eastAsia="仿宋_GB2312"/>
          <w:sz w:val="28"/>
          <w:szCs w:val="36"/>
        </w:rPr>
      </w:pPr>
    </w:p>
    <w:p w14:paraId="166B458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0B09C-87E5-4ED7-A84F-75CF32163B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8A035E3-18DD-4FDC-9B62-34819B241ACA}"/>
  </w:font>
  <w:font w:name="方正公文小标宋">
    <w:panose1 w:val="02000500000000000000"/>
    <w:charset w:val="86"/>
    <w:family w:val="auto"/>
    <w:pitch w:val="default"/>
    <w:sig w:usb0="A00002BF" w:usb1="38CF7CFA" w:usb2="00000016" w:usb3="00000000" w:csb0="00040001" w:csb1="00000000"/>
    <w:embedRegular r:id="rId3" w:fontKey="{9D9743DC-6973-4537-A52E-EBD7E58DF943}"/>
  </w:font>
  <w:font w:name="方正小标宋简体">
    <w:panose1 w:val="03000509000000000000"/>
    <w:charset w:val="86"/>
    <w:family w:val="auto"/>
    <w:pitch w:val="default"/>
    <w:sig w:usb0="00000001" w:usb1="080E0000" w:usb2="00000000" w:usb3="00000000" w:csb0="00040000" w:csb1="00000000"/>
    <w:embedRegular r:id="rId4" w:fontKey="{76CA507D-BDC2-4026-B738-695D759846DA}"/>
  </w:font>
  <w:font w:name="方正小标宋_GBK">
    <w:panose1 w:val="02000000000000000000"/>
    <w:charset w:val="86"/>
    <w:family w:val="script"/>
    <w:pitch w:val="default"/>
    <w:sig w:usb0="A00002BF" w:usb1="38CF7CFA" w:usb2="00082016" w:usb3="00000000" w:csb0="00040001" w:csb1="00000000"/>
    <w:embedRegular r:id="rId5" w:fontKey="{22D4D26D-D327-445A-8574-36E4E49299BC}"/>
  </w:font>
  <w:font w:name="___WRD_EMBED_SUB_45">
    <w:panose1 w:val="03000509000000000000"/>
    <w:charset w:val="86"/>
    <w:family w:val="auto"/>
    <w:pitch w:val="default"/>
    <w:sig w:usb0="00000001" w:usb1="080E0000" w:usb2="00000000" w:usb3="00000000" w:csb0="00040000" w:csb1="00000000"/>
    <w:embedRegular r:id="rId6" w:fontKey="{43547156-C485-47E5-AC76-1E99E88F5043}"/>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embedRegular r:id="rId7" w:fontKey="{1216DF50-43CA-4416-9FF0-7CC0C11CBB00}"/>
  </w:font>
  <w:font w:name="仿宋">
    <w:panose1 w:val="02010609060101010101"/>
    <w:charset w:val="86"/>
    <w:family w:val="modern"/>
    <w:pitch w:val="default"/>
    <w:sig w:usb0="800002BF" w:usb1="38CF7CFA" w:usb2="00000016" w:usb3="00000000" w:csb0="00040001" w:csb1="00000000"/>
    <w:embedRegular r:id="rId8" w:fontKey="{01E21653-E275-43FA-99E7-6BF760E528F7}"/>
  </w:font>
  <w:font w:name="楷体">
    <w:panose1 w:val="02010609060101010101"/>
    <w:charset w:val="86"/>
    <w:family w:val="modern"/>
    <w:pitch w:val="default"/>
    <w:sig w:usb0="800002BF" w:usb1="38CF7CFA" w:usb2="00000016" w:usb3="00000000" w:csb0="00040001" w:csb1="00000000"/>
    <w:embedRegular r:id="rId9" w:fontKey="{CFF73E25-E423-405B-B292-CD9CC71E83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D075">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7AB7F5CE">
                          <w:pPr>
                            <w:pStyle w:val="8"/>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oTNe3NAQAAlgMAAA4AAABkcnMvZTJvRG9jLnhtbK1TS27bMBDdF8gd&#10;CO5ryu4vFSwHDYwUBYq2QJID0BRpEeAPHNqSL9DeoKtuuu+5fI4OKdlp000W3cijmfGb996MlleD&#10;NWQvI2jvGjqfVZRIJ3yr3bah93c3zy8pgcRdy413sqEHCfRqdfFs2YdaLnznTSsjQRAHdR8a2qUU&#10;asZAdNJymPkgHRaVj5YnfI1b1kbeI7o1bFFVr1nvYxuiFxIAs+uxSCfE+BRAr5QWcu3FzkqXRtQo&#10;DU8oCTodgK4KW6WkSJ+VApmIaSgqTeWJQzDe5CdbLXm9jTx0WkwU+FMoPNJkuXY49Ay15omTXdT/&#10;QFktogev0kx4y0YhxRFUMa8eeXPb8SCLFrQawtl0+H+w4tP+SyS6xUugxHGLCz9+/3b88ev48ytZ&#10;ZHv6ADV23QbsS8O1H3LrlAdMZtWDijb/oh6CdTT3cDZXDokITL66fLnAgsDK/MXbN1Xxnj38N0RI&#10;76W3JAcNjbi64ijff4SE87D11JJHOX+jjSnrM+6vBDbmDMvER4I5SsNmmFhvfHtAMT1uvaEOj5wS&#10;88GhqflATkE8BZtTsAtRbzukNi+8ILzbJSRRuOUJI+w0GNdVKE+nle/hz/fS9fA5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1u5d9AAAAACAQAADwAAAAAAAAABACAAAAAiAAAAZHJzL2Rvd25y&#10;ZXYueG1sUEsBAhQAFAAAAAgAh07iQBoTNe3NAQAAlgMAAA4AAAAAAAAAAQAgAAAAHwEAAGRycy9l&#10;Mm9Eb2MueG1sUEsFBgAAAAAGAAYAWQEAAF4FAAAAAA==&#10;">
              <v:fill on="f" focussize="0,0"/>
              <v:stroke on="f"/>
              <v:imagedata o:title=""/>
              <o:lock v:ext="edit" aspectratio="f"/>
              <v:textbox inset="0mm,0mm,0mm,0mm" style="mso-fit-shape-to-text:t;">
                <w:txbxContent>
                  <w:p w14:paraId="7AB7F5CE">
                    <w:pPr>
                      <w:pStyle w:val="8"/>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14:paraId="1DA6FD4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D5B4">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05D14F8F">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sO3mbNAQAAlgMAAA4AAABkcnMvZTJvRG9jLnhtbK1TS27bMBDdF8gd&#10;CO5rSu4vFSwHDYwUBYq2QJID0BRlEeAPHNqSL9DeoKtuuu+5fI4OKclp000W3cijmfGb996MVleD&#10;0eQgAyhna1ouCkqkFa5RdlfT+7ub55eUQOS24dpZWdOjBHq1vni26n0ll65zupGBIIiFqvc17WL0&#10;FWMgOmk4LJyXFoutC4ZHfA071gTeI7rRbFkUr1nvQuODExIAs5uxSCfE8BRA17ZKyI0TeyNtHFGD&#10;1DyiJOiUB7rObNtWivi5bUFGomuKSmN+4hCMt+nJ1ite7QL3nRITBf4UCo80Ga4sDj1DbXjkZB/U&#10;P1BGieDAtXEhnGGjkOwIqiiLR97cdtzLrAWtBn82Hf4frPh0+BKIamq6pMRygws/ff92+vHr9PMr&#10;KZM9vYcKu2499sXh2g14NHMeMJlUD20w6Rf1EKyjucezuXKIRGDy1eXLJRYEVsoXb98U2Xv28F8f&#10;IL6XzpAU1DTg6rKj/PARIvLA1rkljbLuRmmd16ftXwlsTBmWiI8EUxSH7TCp2brmiGJ63HpNLR45&#10;JfqDRVPTgcxBmIPtHOx9ULsOqZWZF/h3+4gkMrc0YYSdBuO6MuXptNI9/Pmeux4+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1u5d9AAAAACAQAADwAAAAAAAAABACAAAAAiAAAAZHJzL2Rvd25y&#10;ZXYueG1sUEsBAhQAFAAAAAgAh07iQNsO3mbNAQAAlgMAAA4AAAAAAAAAAQAgAAAAHwEAAGRycy9l&#10;Mm9Eb2MueG1sUEsFBgAAAAAGAAYAWQEAAF4FAAAAAA==&#10;">
              <v:fill on="f" focussize="0,0"/>
              <v:stroke on="f"/>
              <v:imagedata o:title=""/>
              <o:lock v:ext="edit" aspectratio="f"/>
              <v:textbox inset="0mm,0mm,0mm,0mm" style="mso-fit-shape-to-text:t;">
                <w:txbxContent>
                  <w:p w14:paraId="05D14F8F">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ODJhZGNhYjE3NzQ2MGI4YWVjZGQ1MjYyODBiZTIifQ=="/>
  </w:docVars>
  <w:rsids>
    <w:rsidRoot w:val="00B871A0"/>
    <w:rsid w:val="00000A40"/>
    <w:rsid w:val="0003155F"/>
    <w:rsid w:val="00070FE5"/>
    <w:rsid w:val="00084123"/>
    <w:rsid w:val="000856A6"/>
    <w:rsid w:val="000B083B"/>
    <w:rsid w:val="000B6F1C"/>
    <w:rsid w:val="000F1A7D"/>
    <w:rsid w:val="00106BF5"/>
    <w:rsid w:val="001A2EF9"/>
    <w:rsid w:val="001E6B3B"/>
    <w:rsid w:val="001F6A9A"/>
    <w:rsid w:val="00201EFF"/>
    <w:rsid w:val="00204C37"/>
    <w:rsid w:val="00225714"/>
    <w:rsid w:val="00226376"/>
    <w:rsid w:val="002415EE"/>
    <w:rsid w:val="0024190A"/>
    <w:rsid w:val="00275434"/>
    <w:rsid w:val="002976D4"/>
    <w:rsid w:val="002B2277"/>
    <w:rsid w:val="003402A8"/>
    <w:rsid w:val="00392046"/>
    <w:rsid w:val="003B3166"/>
    <w:rsid w:val="00481B5D"/>
    <w:rsid w:val="004E6AD3"/>
    <w:rsid w:val="00537AA9"/>
    <w:rsid w:val="00553624"/>
    <w:rsid w:val="00564927"/>
    <w:rsid w:val="00575A4D"/>
    <w:rsid w:val="00592419"/>
    <w:rsid w:val="005E3018"/>
    <w:rsid w:val="00614EC5"/>
    <w:rsid w:val="00644E9D"/>
    <w:rsid w:val="00671442"/>
    <w:rsid w:val="00676550"/>
    <w:rsid w:val="00686FDF"/>
    <w:rsid w:val="006959C7"/>
    <w:rsid w:val="006F3477"/>
    <w:rsid w:val="007C3090"/>
    <w:rsid w:val="007E47DA"/>
    <w:rsid w:val="007E48E3"/>
    <w:rsid w:val="00807DB1"/>
    <w:rsid w:val="00814441"/>
    <w:rsid w:val="008577F4"/>
    <w:rsid w:val="00867D3F"/>
    <w:rsid w:val="00872FD5"/>
    <w:rsid w:val="008B7292"/>
    <w:rsid w:val="008C0B48"/>
    <w:rsid w:val="00934DCE"/>
    <w:rsid w:val="009508F1"/>
    <w:rsid w:val="00991CB7"/>
    <w:rsid w:val="009C3F86"/>
    <w:rsid w:val="009D774F"/>
    <w:rsid w:val="009E15BC"/>
    <w:rsid w:val="00A14318"/>
    <w:rsid w:val="00A2235C"/>
    <w:rsid w:val="00A741AD"/>
    <w:rsid w:val="00A756F4"/>
    <w:rsid w:val="00A834A9"/>
    <w:rsid w:val="00AC1885"/>
    <w:rsid w:val="00AC32F0"/>
    <w:rsid w:val="00AC428C"/>
    <w:rsid w:val="00AC7F3A"/>
    <w:rsid w:val="00AE5FE0"/>
    <w:rsid w:val="00B33D92"/>
    <w:rsid w:val="00B62B6C"/>
    <w:rsid w:val="00B62F99"/>
    <w:rsid w:val="00B86205"/>
    <w:rsid w:val="00B871A0"/>
    <w:rsid w:val="00BC3470"/>
    <w:rsid w:val="00BC508E"/>
    <w:rsid w:val="00C308BA"/>
    <w:rsid w:val="00C355AB"/>
    <w:rsid w:val="00C47E20"/>
    <w:rsid w:val="00C90861"/>
    <w:rsid w:val="00CB7CE6"/>
    <w:rsid w:val="00CF4E6C"/>
    <w:rsid w:val="00D221D4"/>
    <w:rsid w:val="00D26FE6"/>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572C4"/>
    <w:rsid w:val="00FE6975"/>
    <w:rsid w:val="024C35C1"/>
    <w:rsid w:val="038F71C9"/>
    <w:rsid w:val="04EA6B1C"/>
    <w:rsid w:val="04EA71B8"/>
    <w:rsid w:val="051B7DD5"/>
    <w:rsid w:val="052008AE"/>
    <w:rsid w:val="05A641CE"/>
    <w:rsid w:val="06415B86"/>
    <w:rsid w:val="0642248F"/>
    <w:rsid w:val="06AD62E4"/>
    <w:rsid w:val="06C83207"/>
    <w:rsid w:val="06F65747"/>
    <w:rsid w:val="07A300AA"/>
    <w:rsid w:val="07AF02ED"/>
    <w:rsid w:val="093F4288"/>
    <w:rsid w:val="0A190B04"/>
    <w:rsid w:val="0AC91C6B"/>
    <w:rsid w:val="0B255E64"/>
    <w:rsid w:val="0E9228D1"/>
    <w:rsid w:val="0FBA11EE"/>
    <w:rsid w:val="10A0140A"/>
    <w:rsid w:val="11FA2ACA"/>
    <w:rsid w:val="11FA43A7"/>
    <w:rsid w:val="136D0135"/>
    <w:rsid w:val="14E9654C"/>
    <w:rsid w:val="16ED1278"/>
    <w:rsid w:val="185B2CDF"/>
    <w:rsid w:val="19AC3127"/>
    <w:rsid w:val="1ABD106A"/>
    <w:rsid w:val="1AD80C82"/>
    <w:rsid w:val="1B505038"/>
    <w:rsid w:val="1BA03A7B"/>
    <w:rsid w:val="1E3D5D47"/>
    <w:rsid w:val="1E5B1D1B"/>
    <w:rsid w:val="1E8C34DD"/>
    <w:rsid w:val="1F9C047C"/>
    <w:rsid w:val="229C18AE"/>
    <w:rsid w:val="22FD3CF7"/>
    <w:rsid w:val="23336498"/>
    <w:rsid w:val="23741566"/>
    <w:rsid w:val="243C43AB"/>
    <w:rsid w:val="24B62E6A"/>
    <w:rsid w:val="24CA5A31"/>
    <w:rsid w:val="254275ED"/>
    <w:rsid w:val="254B379F"/>
    <w:rsid w:val="2690209E"/>
    <w:rsid w:val="26C84571"/>
    <w:rsid w:val="289B3D96"/>
    <w:rsid w:val="2915524F"/>
    <w:rsid w:val="29E80EB1"/>
    <w:rsid w:val="2A936495"/>
    <w:rsid w:val="2AF03F76"/>
    <w:rsid w:val="2BBA6C8C"/>
    <w:rsid w:val="2C192088"/>
    <w:rsid w:val="2E1B2772"/>
    <w:rsid w:val="2FFD75DD"/>
    <w:rsid w:val="306B1E48"/>
    <w:rsid w:val="30986D57"/>
    <w:rsid w:val="31F52C3B"/>
    <w:rsid w:val="3333739F"/>
    <w:rsid w:val="340E230B"/>
    <w:rsid w:val="368706E7"/>
    <w:rsid w:val="37CE22F9"/>
    <w:rsid w:val="37EC5DE0"/>
    <w:rsid w:val="383311BB"/>
    <w:rsid w:val="38B9654B"/>
    <w:rsid w:val="38D46E50"/>
    <w:rsid w:val="39840DAD"/>
    <w:rsid w:val="3A9D74A2"/>
    <w:rsid w:val="3AA0523C"/>
    <w:rsid w:val="3C5447C4"/>
    <w:rsid w:val="3C635FA0"/>
    <w:rsid w:val="3CE32E1C"/>
    <w:rsid w:val="40F14E1A"/>
    <w:rsid w:val="420441F4"/>
    <w:rsid w:val="422B6A7B"/>
    <w:rsid w:val="42DC5391"/>
    <w:rsid w:val="43D338BF"/>
    <w:rsid w:val="440F5436"/>
    <w:rsid w:val="46CB3641"/>
    <w:rsid w:val="470D1EAB"/>
    <w:rsid w:val="487666EE"/>
    <w:rsid w:val="49D534EB"/>
    <w:rsid w:val="4A2F57FA"/>
    <w:rsid w:val="4B673198"/>
    <w:rsid w:val="4C52095A"/>
    <w:rsid w:val="4D4E6F03"/>
    <w:rsid w:val="4E6E0AF6"/>
    <w:rsid w:val="4E8A2033"/>
    <w:rsid w:val="518E7096"/>
    <w:rsid w:val="558D1E46"/>
    <w:rsid w:val="55E832BF"/>
    <w:rsid w:val="562612F9"/>
    <w:rsid w:val="570010E5"/>
    <w:rsid w:val="572B48BE"/>
    <w:rsid w:val="58B02697"/>
    <w:rsid w:val="59654A62"/>
    <w:rsid w:val="596C2668"/>
    <w:rsid w:val="5A0B6471"/>
    <w:rsid w:val="5BD449C0"/>
    <w:rsid w:val="5C282862"/>
    <w:rsid w:val="5D8D11F8"/>
    <w:rsid w:val="5E0276AF"/>
    <w:rsid w:val="5E20206C"/>
    <w:rsid w:val="5F73441E"/>
    <w:rsid w:val="5F881086"/>
    <w:rsid w:val="629E4FE7"/>
    <w:rsid w:val="62DA2D98"/>
    <w:rsid w:val="6362568A"/>
    <w:rsid w:val="66244E2E"/>
    <w:rsid w:val="66900AAF"/>
    <w:rsid w:val="686B5225"/>
    <w:rsid w:val="693D2234"/>
    <w:rsid w:val="69973BD8"/>
    <w:rsid w:val="6CF52602"/>
    <w:rsid w:val="6E190801"/>
    <w:rsid w:val="6E446ADF"/>
    <w:rsid w:val="702804E6"/>
    <w:rsid w:val="70340B20"/>
    <w:rsid w:val="70644124"/>
    <w:rsid w:val="70FE623D"/>
    <w:rsid w:val="7192735B"/>
    <w:rsid w:val="73EE5654"/>
    <w:rsid w:val="741725D4"/>
    <w:rsid w:val="75630D65"/>
    <w:rsid w:val="75AF5D58"/>
    <w:rsid w:val="76B0733D"/>
    <w:rsid w:val="76B1120D"/>
    <w:rsid w:val="772B5B71"/>
    <w:rsid w:val="7A0305C0"/>
    <w:rsid w:val="7B5C5ADE"/>
    <w:rsid w:val="7C7A00DC"/>
    <w:rsid w:val="7D285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2940"/>
    </w:pPr>
    <w:rPr>
      <w:szCs w:val="24"/>
    </w:rPr>
  </w:style>
  <w:style w:type="paragraph" w:styleId="3">
    <w:name w:val="Body Text"/>
    <w:basedOn w:val="1"/>
    <w:link w:val="25"/>
    <w:semiHidden/>
    <w:unhideWhenUsed/>
    <w:qFormat/>
    <w:uiPriority w:val="99"/>
    <w:pPr>
      <w:spacing w:after="120"/>
    </w:pPr>
  </w:style>
  <w:style w:type="paragraph" w:styleId="4">
    <w:name w:val="Body Text Indent"/>
    <w:basedOn w:val="1"/>
    <w:next w:val="5"/>
    <w:qFormat/>
    <w:uiPriority w:val="0"/>
    <w:pPr>
      <w:spacing w:line="380" w:lineRule="exact"/>
      <w:ind w:firstLine="480"/>
    </w:pPr>
    <w:rPr>
      <w:rFonts w:eastAsia="方正书宋简体"/>
      <w:kern w:val="0"/>
      <w:sz w:val="24"/>
      <w:szCs w:val="20"/>
    </w:rPr>
  </w:style>
  <w:style w:type="paragraph" w:styleId="5">
    <w:name w:val="Body Text Indent 2"/>
    <w:basedOn w:val="1"/>
    <w:next w:val="6"/>
    <w:unhideWhenUsed/>
    <w:qFormat/>
    <w:uiPriority w:val="99"/>
    <w:pPr>
      <w:spacing w:line="360" w:lineRule="auto"/>
      <w:ind w:firstLine="720"/>
    </w:pPr>
    <w:rPr>
      <w:rFonts w:ascii="Times New Roman" w:hAnsi="Times New Roman" w:eastAsia="宋体" w:cs="Times New Roman"/>
      <w:sz w:val="28"/>
    </w:rPr>
  </w:style>
  <w:style w:type="paragraph" w:styleId="6">
    <w:name w:val="Body Text Indent 3"/>
    <w:basedOn w:val="1"/>
    <w:qFormat/>
    <w:uiPriority w:val="0"/>
    <w:pPr>
      <w:spacing w:after="120"/>
      <w:ind w:left="420" w:leftChars="200"/>
    </w:pPr>
    <w:rPr>
      <w:kern w:val="0"/>
      <w:sz w:val="16"/>
      <w:szCs w:val="16"/>
    </w:rPr>
  </w:style>
  <w:style w:type="paragraph" w:styleId="7">
    <w:name w:val="Plain Text"/>
    <w:basedOn w:val="1"/>
    <w:link w:val="21"/>
    <w:qFormat/>
    <w:uiPriority w:val="99"/>
    <w:rPr>
      <w:rFonts w:ascii="宋体" w:hAnsi="Courier New"/>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qFormat/>
    <w:uiPriority w:val="99"/>
    <w:rPr>
      <w:sz w:val="21"/>
    </w:rPr>
  </w:style>
  <w:style w:type="paragraph" w:customStyle="1" w:styleId="16">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7">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纯文本 Char"/>
    <w:qFormat/>
    <w:uiPriority w:val="99"/>
    <w:rPr>
      <w:rFonts w:ascii="宋体" w:hAnsi="Courier New"/>
    </w:rPr>
  </w:style>
  <w:style w:type="character" w:customStyle="1" w:styleId="21">
    <w:name w:val="纯文本 字符"/>
    <w:basedOn w:val="13"/>
    <w:link w:val="7"/>
    <w:semiHidden/>
    <w:qFormat/>
    <w:uiPriority w:val="99"/>
    <w:rPr>
      <w:rFonts w:ascii="宋体" w:hAnsi="Courier New" w:eastAsia="宋体" w:cs="Courier New"/>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3">
    <w:name w:val="font01"/>
    <w:qFormat/>
    <w:uiPriority w:val="0"/>
    <w:rPr>
      <w:rFonts w:hint="eastAsia" w:ascii="宋体" w:hAnsi="宋体" w:eastAsia="宋体" w:cs="宋体"/>
      <w:color w:val="000000"/>
      <w:sz w:val="24"/>
      <w:szCs w:val="24"/>
      <w:u w:val="none"/>
      <w:vertAlign w:val="superscript"/>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正文文本 字符"/>
    <w:basedOn w:val="13"/>
    <w:link w:val="3"/>
    <w:semiHidden/>
    <w:qFormat/>
    <w:uiPriority w:val="99"/>
    <w:rPr>
      <w:kern w:val="2"/>
      <w:sz w:val="21"/>
      <w:szCs w:val="22"/>
    </w:rPr>
  </w:style>
  <w:style w:type="paragraph" w:customStyle="1" w:styleId="26">
    <w:name w:val="_Style 1"/>
    <w:basedOn w:val="1"/>
    <w:qFormat/>
    <w:uiPriority w:val="34"/>
    <w:pPr>
      <w:ind w:firstLine="420" w:firstLineChars="200"/>
    </w:pPr>
    <w:rPr>
      <w:rFonts w:ascii="Calibri" w:hAnsi="Calibri" w:eastAsia="宋体" w:cs="Times New Roma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2393</Words>
  <Characters>2460</Characters>
  <Lines>16</Lines>
  <Paragraphs>4</Paragraphs>
  <TotalTime>11</TotalTime>
  <ScaleCrop>false</ScaleCrop>
  <LinksUpToDate>false</LinksUpToDate>
  <CharactersWithSpaces>2583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2025-07-17T01:10:00Z</dcterms:created>
  <dc:creator>郑立熔</dc:creator>
  <cp:lastModifiedBy>大脸球</cp:lastModifiedBy>
  <cp:lastPrinted>2025-04-30T02:33:00Z</cp:lastPrinted>
  <dcterms:modified xsi:type="dcterms:W3CDTF">2025-08-13T07:21:00Z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970877D6F20C4D73AA8B522443A0662A_13</vt:lpwstr>
  </property>
  <property fmtid="{D5CDD505-2E9C-101B-9397-08002B2CF9AE}" pid="4" name="KSOTemplateDocerSaveRecord">
    <vt:lpwstr>eyJoZGlkIjoiYmQxMmJkNDFiMGZhNjY0NDkwZjcwMTYzODczOThlNDYiLCJ1c2VySWQiOiIzMDk2NzA5NzEifQ==</vt:lpwstr>
  </property>
</Properties>
</file>