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5E404">
      <w:pPr>
        <w:rPr>
          <w:color w:val="auto"/>
        </w:rPr>
      </w:pPr>
    </w:p>
    <w:p w14:paraId="57E9BBCD">
      <w:pPr>
        <w:spacing w:line="560" w:lineRule="exact"/>
        <w:jc w:val="center"/>
        <w:rPr>
          <w:rFonts w:ascii="华文中宋" w:hAnsi="华文中宋" w:eastAsia="华文中宋"/>
          <w:b/>
          <w:color w:val="auto"/>
          <w:sz w:val="52"/>
          <w:szCs w:val="52"/>
        </w:rPr>
      </w:pPr>
    </w:p>
    <w:p w14:paraId="4998FC2E">
      <w:pPr>
        <w:spacing w:line="560" w:lineRule="exact"/>
        <w:jc w:val="center"/>
        <w:rPr>
          <w:rFonts w:ascii="华文中宋" w:hAnsi="华文中宋" w:eastAsia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b/>
          <w:color w:val="auto"/>
          <w:sz w:val="44"/>
          <w:szCs w:val="44"/>
        </w:rPr>
        <w:t>广西壮族自治区交通运输综合行政执法局</w:t>
      </w:r>
      <w:r>
        <w:rPr>
          <w:rFonts w:hint="eastAsia" w:ascii="华文中宋" w:hAnsi="华文中宋" w:eastAsia="华文中宋"/>
          <w:b/>
          <w:color w:val="auto"/>
          <w:sz w:val="44"/>
          <w:szCs w:val="44"/>
          <w:lang w:val="en-US" w:eastAsia="zh-CN"/>
        </w:rPr>
        <w:t>发电设备</w:t>
      </w:r>
      <w:r>
        <w:rPr>
          <w:rFonts w:hint="eastAsia" w:ascii="华文中宋" w:hAnsi="华文中宋" w:eastAsia="华文中宋"/>
          <w:b/>
          <w:color w:val="auto"/>
          <w:sz w:val="44"/>
          <w:szCs w:val="44"/>
        </w:rPr>
        <w:t>租赁</w:t>
      </w:r>
      <w:r>
        <w:rPr>
          <w:rFonts w:hint="eastAsia" w:ascii="华文中宋" w:hAnsi="华文中宋" w:eastAsia="华文中宋"/>
          <w:b/>
          <w:color w:val="auto"/>
          <w:sz w:val="44"/>
          <w:szCs w:val="44"/>
          <w:lang w:val="en-US" w:eastAsia="zh-CN"/>
        </w:rPr>
        <w:t>服务</w:t>
      </w:r>
      <w:r>
        <w:rPr>
          <w:rFonts w:hint="eastAsia" w:ascii="华文中宋" w:hAnsi="华文中宋" w:eastAsia="华文中宋"/>
          <w:b/>
          <w:color w:val="auto"/>
          <w:sz w:val="44"/>
          <w:szCs w:val="44"/>
        </w:rPr>
        <w:t>询价文件</w:t>
      </w:r>
    </w:p>
    <w:p w14:paraId="69BAB290">
      <w:pPr>
        <w:rPr>
          <w:color w:val="auto"/>
          <w:sz w:val="44"/>
          <w:szCs w:val="44"/>
        </w:rPr>
      </w:pPr>
    </w:p>
    <w:p w14:paraId="78F1FA52">
      <w:pPr>
        <w:rPr>
          <w:color w:val="auto"/>
        </w:rPr>
      </w:pPr>
    </w:p>
    <w:p w14:paraId="12B71652">
      <w:pPr>
        <w:rPr>
          <w:color w:val="auto"/>
        </w:rPr>
      </w:pPr>
    </w:p>
    <w:p w14:paraId="1C2102ED">
      <w:pPr>
        <w:rPr>
          <w:color w:val="auto"/>
        </w:rPr>
      </w:pPr>
    </w:p>
    <w:p w14:paraId="3C78E128">
      <w:pPr>
        <w:rPr>
          <w:color w:val="auto"/>
        </w:rPr>
      </w:pPr>
    </w:p>
    <w:p w14:paraId="0B8A9501">
      <w:pPr>
        <w:jc w:val="center"/>
        <w:rPr>
          <w:b/>
          <w:color w:val="auto"/>
          <w:sz w:val="84"/>
          <w:szCs w:val="84"/>
        </w:rPr>
      </w:pPr>
    </w:p>
    <w:p w14:paraId="3875BFCD">
      <w:pPr>
        <w:rPr>
          <w:color w:val="auto"/>
        </w:rPr>
      </w:pPr>
    </w:p>
    <w:p w14:paraId="64273C63">
      <w:pPr>
        <w:rPr>
          <w:color w:val="auto"/>
        </w:rPr>
      </w:pPr>
    </w:p>
    <w:p w14:paraId="4D4FF99C">
      <w:pPr>
        <w:rPr>
          <w:color w:val="auto"/>
        </w:rPr>
      </w:pPr>
    </w:p>
    <w:p w14:paraId="33F5E117">
      <w:pPr>
        <w:rPr>
          <w:color w:val="auto"/>
        </w:rPr>
      </w:pPr>
    </w:p>
    <w:p w14:paraId="7565CFE7">
      <w:pPr>
        <w:rPr>
          <w:color w:val="auto"/>
        </w:rPr>
      </w:pPr>
    </w:p>
    <w:p w14:paraId="3C139A21">
      <w:pPr>
        <w:rPr>
          <w:b/>
          <w:color w:val="auto"/>
          <w:sz w:val="36"/>
          <w:szCs w:val="36"/>
        </w:rPr>
      </w:pPr>
    </w:p>
    <w:p w14:paraId="406FD717">
      <w:pPr>
        <w:rPr>
          <w:b/>
          <w:color w:val="auto"/>
          <w:sz w:val="36"/>
          <w:szCs w:val="36"/>
        </w:rPr>
      </w:pPr>
    </w:p>
    <w:p w14:paraId="55FEA248">
      <w:pPr>
        <w:rPr>
          <w:b/>
          <w:color w:val="auto"/>
          <w:sz w:val="36"/>
          <w:szCs w:val="36"/>
        </w:rPr>
      </w:pPr>
    </w:p>
    <w:p w14:paraId="03CB5981">
      <w:pPr>
        <w:rPr>
          <w:b/>
          <w:color w:val="auto"/>
          <w:sz w:val="36"/>
          <w:szCs w:val="36"/>
        </w:rPr>
      </w:pPr>
    </w:p>
    <w:p w14:paraId="7EC6BEF0">
      <w:pPr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</w:p>
    <w:p w14:paraId="2B11FC65">
      <w:pPr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</w:p>
    <w:p w14:paraId="0C3BB0C4">
      <w:pPr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</w:p>
    <w:p w14:paraId="151AFB82">
      <w:pPr>
        <w:jc w:val="both"/>
        <w:rPr>
          <w:rFonts w:hint="eastAsia" w:ascii="黑体" w:hAnsi="黑体" w:eastAsia="黑体" w:cs="黑体"/>
          <w:b/>
          <w:color w:val="auto"/>
          <w:sz w:val="36"/>
          <w:szCs w:val="36"/>
        </w:rPr>
      </w:pPr>
    </w:p>
    <w:p w14:paraId="2F5C48BF">
      <w:pPr>
        <w:jc w:val="center"/>
        <w:rPr>
          <w:rFonts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采购单位：自治区交通运输综合行政执法局</w:t>
      </w:r>
    </w:p>
    <w:p w14:paraId="12230A45">
      <w:pPr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日期：202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 xml:space="preserve"> 8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月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 xml:space="preserve"> 13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日</w:t>
      </w:r>
    </w:p>
    <w:p w14:paraId="090F765D">
      <w:pPr>
        <w:pStyle w:val="2"/>
        <w:rPr>
          <w:rFonts w:hint="eastAsia" w:ascii="黑体" w:hAnsi="黑体" w:eastAsia="黑体" w:cs="黑体"/>
          <w:b/>
          <w:color w:val="auto"/>
          <w:sz w:val="36"/>
          <w:szCs w:val="36"/>
        </w:rPr>
      </w:pPr>
    </w:p>
    <w:p w14:paraId="0D6D4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/>
          <w:b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decimal" w:start="0"/>
          <w:cols w:space="425" w:num="1"/>
          <w:docGrid w:type="lines" w:linePitch="312" w:charSpace="0"/>
        </w:sectPr>
      </w:pPr>
    </w:p>
    <w:p w14:paraId="079B3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自治区交通运输综合行政执法局</w:t>
      </w:r>
    </w:p>
    <w:p w14:paraId="6706E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采购报价供应商需知</w:t>
      </w:r>
    </w:p>
    <w:p w14:paraId="7287A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61506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我局根据工作开展需要，拟租赁3台主用功率650KW高低压柴油发电机及配套设备，保障局机关办公大楼配电室绿色节能改造项目停电施工期间保供电，现邀请贵公司参与报价。我局将根据各公司所报的价格在符合采购需求、质量和服务的前提下，以报价最低的原则确定成交供应商。</w:t>
      </w:r>
    </w:p>
    <w:p w14:paraId="3828A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一、项目概况</w:t>
      </w:r>
    </w:p>
    <w:p w14:paraId="49A76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1.项目名称：自治区交通运输综合行政执法局发电设备租赁服务采购项目。</w:t>
      </w:r>
    </w:p>
    <w:p w14:paraId="51FB51DD">
      <w:pPr>
        <w:pStyle w:val="2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2.用电概况:第一台供住宅楼生活用电及电梯、水泵使用(测算功率约为 350kVA)。第二台供公路大厦二楼重要负荷（测算功率为 360KVA）。第三台供公路大厦日常办公及空调照明等设备（测算功率为 350KVA）。</w:t>
      </w:r>
    </w:p>
    <w:p w14:paraId="02595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3.采购方式：询价采购。</w:t>
      </w:r>
    </w:p>
    <w:p w14:paraId="135A1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4.最高限价为：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万。</w:t>
      </w:r>
    </w:p>
    <w:p w14:paraId="0FF1B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供应商须就清单（详见附件）中的内容作完整报价。总报价包含发电设备（含发电机、临时转换电柜等）、运费、装卸费、安装人工费、耗材费、调试费、培训费、税金、售后服务费及其他所有可能发生的一切费用。</w:t>
      </w:r>
    </w:p>
    <w:p w14:paraId="7CC1C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二、资质要求</w:t>
      </w:r>
    </w:p>
    <w:p w14:paraId="16D1EE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1.具备有效的企业营业执照（</w:t>
      </w:r>
      <w:r>
        <w:rPr>
          <w:rFonts w:hint="default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经营范围需包含发电设备租赁或电力工程施工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）。</w:t>
      </w:r>
    </w:p>
    <w:p w14:paraId="24F3D4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租赁方需提供高低压发电机（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400</w:t>
      </w:r>
      <w:r>
        <w:rPr>
          <w:rFonts w:hint="default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V级）产权证明及检测报告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，高</w:t>
      </w:r>
      <w:r>
        <w:rPr>
          <w:rFonts w:hint="default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压发电机组产品合格证（设备出厂检验合格证明）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0366F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3.特种设备操作人员资格证</w:t>
      </w:r>
      <w:r>
        <w:rPr>
          <w:rFonts w:hint="default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（至少2名持证电工）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3C0220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4.施工方需具备电力工程施工总承包二级及以上资质。</w:t>
      </w:r>
    </w:p>
    <w:p w14:paraId="62AE9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三、租赁条款</w:t>
      </w:r>
    </w:p>
    <w:p w14:paraId="6D74A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1.明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确型号规格：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3台主用功率650KW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高低压发电机，附带配件（如电缆、油箱等、隔音箱等）。</w:t>
      </w:r>
    </w:p>
    <w:p w14:paraId="4AB0F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2.明确设备电压、频率、油耗等性能指标，需符合国家标准。</w:t>
      </w:r>
    </w:p>
    <w:p w14:paraId="405E5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3.明确设备新旧程度、租赁是否含税（增值税普通发票等）。</w:t>
      </w:r>
    </w:p>
    <w:p w14:paraId="4D3C4765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4.起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租日通常以设备交付并验收合格之日为准。租期：固定期限，续租需提前约定。</w:t>
      </w:r>
    </w:p>
    <w:p w14:paraId="523D1259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5.出租方应保证设备性能良好，提供操作手册、合格证书。</w:t>
      </w:r>
    </w:p>
    <w:p w14:paraId="38031DAD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6.出租方应负责日常维护保养（如滤芯更换、机油检测等）。</w:t>
      </w:r>
    </w:p>
    <w:p w14:paraId="6686620A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7.承租方要按约定用途使用设备，禁止转租、改装或超负荷运行。</w:t>
      </w:r>
    </w:p>
    <w:p w14:paraId="5DD25C07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8.交付方式：出租方送货至指定地点。</w:t>
      </w:r>
    </w:p>
    <w:p w14:paraId="08E006A0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9.验收标准：试运行无故障正常发电、参数达标（符合相关行业规定标准），双方签署验收单。</w:t>
      </w:r>
    </w:p>
    <w:p w14:paraId="5C4096AE">
      <w:pPr>
        <w:pStyle w:val="2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10.运输责任：双方约定退租时设备清洁、拆卸及运输责任。</w:t>
      </w:r>
    </w:p>
    <w:p w14:paraId="3406F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11.安装调试：到货后，成交人需在接到我局通知后3日内进行安装调试。</w:t>
      </w:r>
    </w:p>
    <w:p w14:paraId="4DD23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12.设备故障需要在15分钟内作出响应，30分钟内解决设备故障问题或切换发电保重要负荷。在24小时内解决设备故障问题或更换发电机。</w:t>
      </w:r>
    </w:p>
    <w:p w14:paraId="1B7C2CAF">
      <w:pPr>
        <w:pStyle w:val="2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13.发电期间至少要2名专业工作人员现场值班。</w:t>
      </w:r>
    </w:p>
    <w:p w14:paraId="3FDEBF14">
      <w:pPr>
        <w:pStyle w:val="2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14.发电机考虑能连续发电48小时以上及不间断启动发电。</w:t>
      </w:r>
    </w:p>
    <w:p w14:paraId="6E1C6FED">
      <w:pPr>
        <w:pStyle w:val="2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15.出租方违约责任</w:t>
      </w:r>
    </w:p>
    <w:p w14:paraId="11238A47">
      <w:pPr>
        <w:pStyle w:val="2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（1）发电设备交付违约</w:t>
      </w:r>
    </w:p>
    <w:p w14:paraId="4FC4F313">
      <w:pPr>
        <w:pStyle w:val="2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延迟交付：若出租方未按约定时间交付设备，每延迟一日，按日租金的0.5%向承租方支付违约金；延迟超过15日的，承租方有权解除合同，同时按合同总租金的20%支付违约金。</w:t>
      </w:r>
    </w:p>
    <w:p w14:paraId="5E2FE9B1">
      <w:pPr>
        <w:pStyle w:val="2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设备不符约定：若交付设备型号、性能与合同约定不符，承租方有权要求出租方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24小时内</w:t>
      </w: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更换合格设备；逾期未更换的，承租方有权解除合同。</w:t>
      </w:r>
    </w:p>
    <w:p w14:paraId="090BBE9F">
      <w:pPr>
        <w:pStyle w:val="2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（2）发电设备维修服务与质量违约</w:t>
      </w:r>
    </w:p>
    <w:p w14:paraId="298A94D7">
      <w:pPr>
        <w:pStyle w:val="2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故障响应超时：设备发生故障后，出租方未在合同约定时间内到达现场维修，每延迟一日按日租金的1%支付违约金；累计超过3次或单次维修超时超过24小时的，承租方有权自行维修，费用由出租方承担，并按维修费用的30%支付违约金。</w:t>
      </w:r>
    </w:p>
    <w:p w14:paraId="4762F4B8">
      <w:pPr>
        <w:pStyle w:val="2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质量缺陷责任：因设备本身质量缺陷导致故障或发电功率不达标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（不符合相关行业规定标准）</w:t>
      </w: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，出租方需承担全部维修费用及承租方因此产生的停机损失。若设备在租赁期内累计因质量问题停机超过7日，承租方有权解除合同并要求赔偿。</w:t>
      </w:r>
    </w:p>
    <w:p w14:paraId="0E68E54D">
      <w:pPr>
        <w:pStyle w:val="2"/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因以上出租方违约导致承租方损失的（如停工损失等），应由出租方承担全部损失。</w:t>
      </w:r>
    </w:p>
    <w:p w14:paraId="349E1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四、发电切换功能</w:t>
      </w:r>
    </w:p>
    <w:p w14:paraId="246702DA">
      <w:pPr>
        <w:pStyle w:val="2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3台主用功率650KW高低压柴油发电机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可以双电源转换供电。</w:t>
      </w:r>
    </w:p>
    <w:p w14:paraId="33B88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五、交付时间、地点、租赁期限</w:t>
      </w:r>
    </w:p>
    <w:p w14:paraId="6F257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1.交付时间：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该项目要求成交供应商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签订合同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后，接到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我局通知后，发电设备3日内进场并安装调试完成。</w:t>
      </w:r>
    </w:p>
    <w:p w14:paraId="77656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2.交付地点：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广西南宁市青秀区滨湖路66号</w:t>
      </w:r>
    </w:p>
    <w:p w14:paraId="63FBD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3.租赁期限：3台主用功率650KW高低压柴油发电机及配套设备租赁期限为30天（详见附件）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11FAC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六、付款方式</w:t>
      </w:r>
    </w:p>
    <w:p w14:paraId="155BD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发电设备租期结束后先开展验收，待采购人项目预算安排到位后，采购人通知供应商开具发票，收到发票后15个工作日内一次性付清合同款。</w:t>
      </w:r>
    </w:p>
    <w:p w14:paraId="6673E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七、报价文件组成内容 </w:t>
      </w:r>
    </w:p>
    <w:p w14:paraId="1231E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资质证明资料复印件并加盖单位公章；</w:t>
      </w:r>
    </w:p>
    <w:p w14:paraId="44F6F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）法定代表人委托授权书复印件加盖公章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4092F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）法定代表人及授权人身份证复印件加盖公章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127DA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承诺；</w:t>
      </w:r>
    </w:p>
    <w:p w14:paraId="2CDE1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）报价明细表（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按发电设备租赁清单中内容进行报价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</w:t>
      </w:r>
    </w:p>
    <w:p w14:paraId="6CA9E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提供在“信用中国”网站（www.creditchina.gov.cn）和中国政府采购网（www.ccgp.gov.cn）查询到的主体信用记录结果。</w:t>
      </w:r>
    </w:p>
    <w:p w14:paraId="49672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八、报价文件递交</w:t>
      </w:r>
    </w:p>
    <w:p w14:paraId="1B1A2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请供应商于2025年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下午18时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前将装订成册的报价文件（一式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）以信封密封好，送至我局（南宁市滨湖路66号公路大厦808室）。如需邮寄送达，请用信封密封好并在邮寄封面注明投标资料和投标单位。联系人：张微，联系电话：0771-2115929；项目联系人：梁毅，联系电话：0771-2115456。</w:t>
      </w:r>
    </w:p>
    <w:p w14:paraId="361AC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九、评审办法</w:t>
      </w:r>
    </w:p>
    <w:p w14:paraId="17E9C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我局按内部控制制度的规定组织评审小组进行评审，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根据各公司所报的价格在符合采购需求、质量和服务的前提下，以报价最低的原则确定成交供应商。</w:t>
      </w:r>
    </w:p>
    <w:p w14:paraId="643597F1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09AB2822">
      <w:pPr>
        <w:pStyle w:val="2"/>
        <w:ind w:left="1598" w:leftChars="304" w:hanging="960" w:hangingChars="3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附件：自治区交通运输综合行政执法局发电设备租赁清单</w:t>
      </w:r>
    </w:p>
    <w:p w14:paraId="7A3ABE5B">
      <w:pPr>
        <w:pStyle w:val="2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72C5DF44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22AA4E06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0DB98675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743BA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95"/>
          <w:sz w:val="32"/>
          <w:szCs w:val="32"/>
          <w:lang w:val="en-US" w:eastAsia="zh-CN"/>
        </w:rPr>
        <w:t>附件</w:t>
      </w:r>
    </w:p>
    <w:p w14:paraId="0B3F7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Calibri" w:eastAsia="仿宋_GB2312" w:cs="Times New Roman"/>
          <w:color w:val="auto"/>
          <w:w w:val="95"/>
          <w:sz w:val="36"/>
          <w:szCs w:val="36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auto"/>
          <w:w w:val="95"/>
          <w:sz w:val="36"/>
          <w:szCs w:val="36"/>
          <w:lang w:val="en-US" w:eastAsia="zh-CN"/>
        </w:rPr>
        <w:t>自治区交通运输综合行政执法局发电设备租赁清单</w:t>
      </w:r>
    </w:p>
    <w:p w14:paraId="00312E9C"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10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692"/>
        <w:gridCol w:w="2200"/>
        <w:gridCol w:w="587"/>
        <w:gridCol w:w="772"/>
        <w:gridCol w:w="587"/>
        <w:gridCol w:w="1142"/>
        <w:gridCol w:w="955"/>
      </w:tblGrid>
      <w:tr w14:paraId="41422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高低压发电机及配套设备租赁清单</w:t>
            </w:r>
          </w:p>
        </w:tc>
      </w:tr>
      <w:tr w14:paraId="0C95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E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工程名称：公路大厦二楼重要负荷保供电发电机及配套设备租赁清单（大概用电650KW）</w:t>
            </w:r>
          </w:p>
        </w:tc>
      </w:tr>
      <w:tr w14:paraId="0C3AA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2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E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4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F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1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8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A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817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A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A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4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发电机含静音柜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4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1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D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7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E5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24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0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D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发电机燃油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0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柴油发电机、使用柴油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D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9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6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9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7E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92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5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0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铝芯线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F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规格:300m²、铝芯线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5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5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8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6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A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设备耗材</w:t>
            </w:r>
          </w:p>
        </w:tc>
      </w:tr>
      <w:tr w14:paraId="25DE6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1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7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发电机运费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F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租赁车辆货运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2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1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7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86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487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9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4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7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双投大电流转换开关800A、2个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E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A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A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8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7A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33D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E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6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临时配电柜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C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硬壳断路器400A  4个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0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E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9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7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F03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E1C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E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3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叉车费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1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租赁叉车搬运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C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9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8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5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E0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69E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F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9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A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含人工安装、附材、管理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C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F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0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0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89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621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7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7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BB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5D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F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3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1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租赁票面仅开出税金3%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DB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C9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3E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2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D8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133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8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0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99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A3B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D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3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D0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072AC30B"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10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692"/>
        <w:gridCol w:w="2200"/>
        <w:gridCol w:w="587"/>
        <w:gridCol w:w="772"/>
        <w:gridCol w:w="587"/>
        <w:gridCol w:w="1142"/>
        <w:gridCol w:w="955"/>
      </w:tblGrid>
      <w:tr w14:paraId="47D8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高低压发电机及配套设备租赁清单</w:t>
            </w:r>
          </w:p>
        </w:tc>
      </w:tr>
      <w:tr w14:paraId="3987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工程名称：8 栋楼生活用电及 7 、8 栋楼电梯保供电发电机及配套租赁清单（大概用电650KW）</w:t>
            </w:r>
          </w:p>
        </w:tc>
      </w:tr>
      <w:tr w14:paraId="6B60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9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5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C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A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F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B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4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E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62C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5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F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2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发电机含静音柜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5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C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4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2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5C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73F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5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A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发电机燃油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8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柴油发电机、使用柴油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7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F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6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12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B19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D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A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铝芯线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6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规格:300m²、铝芯线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B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F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1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9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8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设备耗材</w:t>
            </w:r>
          </w:p>
        </w:tc>
      </w:tr>
      <w:tr w14:paraId="722D0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1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C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发电机运费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C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租赁车辆货运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6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0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B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5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92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E23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2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B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0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双投大电流转换开关800A、1个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1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A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9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2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FC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1E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3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9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临时配电柜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E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硬壳断路器400A  3个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E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73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B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E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DD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C2E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4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E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叉车费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F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租赁叉车搬运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0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7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1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8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2A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C8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C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9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含人工安装、附材、管理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D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47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1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3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71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9E6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E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4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F4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4B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6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6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租赁票面仅开出税金3%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BA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5B0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FD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A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EA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372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F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E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7B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D58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2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5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D2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14E1B604"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10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692"/>
        <w:gridCol w:w="2200"/>
        <w:gridCol w:w="587"/>
        <w:gridCol w:w="772"/>
        <w:gridCol w:w="587"/>
        <w:gridCol w:w="1142"/>
        <w:gridCol w:w="955"/>
      </w:tblGrid>
      <w:tr w14:paraId="0E5CA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高低压发电机及配套设备租赁清单</w:t>
            </w:r>
          </w:p>
        </w:tc>
      </w:tr>
      <w:tr w14:paraId="4FC87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9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工程名称：公路大厦日常办公及空调照明等保供电发电机及配套租赁清单（大概用电650KW）</w:t>
            </w:r>
          </w:p>
        </w:tc>
      </w:tr>
      <w:tr w14:paraId="7868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9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3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9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6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C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5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5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4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444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1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5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9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发电机含静音柜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9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7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6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D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4F7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14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5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6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发电机燃油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9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柴油发电机、使用柴油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6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D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2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5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14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C6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3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6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铝芯线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A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规格:300m²、铝芯线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4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B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D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8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设备耗材</w:t>
            </w:r>
          </w:p>
        </w:tc>
      </w:tr>
      <w:tr w14:paraId="4321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8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8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发电机运费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F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租赁车辆货运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B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F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4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1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C5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79D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C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6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0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双投大电流转换开关800A、1个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B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6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5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E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D2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9B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7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1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临时配电柜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7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硬壳断路器250A  8个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4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2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3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F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16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C6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2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0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叉车费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F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租赁叉车搬运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F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3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5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9B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077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B3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5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2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含人工安装、附材、管理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A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2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D6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C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19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88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0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B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5F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85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E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7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F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租赁票面仅开出税金3%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04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EB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71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D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F31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22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5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3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65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B4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0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5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ADB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7883A7DD">
      <w:pPr>
        <w:pStyle w:val="2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</w:p>
    <w:p w14:paraId="51264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20" w:firstLineChars="500"/>
        <w:textAlignment w:val="auto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</w:p>
    <w:p w14:paraId="5C005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20" w:firstLineChars="500"/>
        <w:textAlignment w:val="auto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</w:p>
    <w:p w14:paraId="52CD3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20" w:firstLineChars="500"/>
        <w:textAlignment w:val="auto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7EF9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982E0"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C982E0"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NzU4MjViZjdkMWVlYzRlOGUwNzkxM2E2MTMxYWEifQ=="/>
  </w:docVars>
  <w:rsids>
    <w:rsidRoot w:val="00B871A0"/>
    <w:rsid w:val="00043F5A"/>
    <w:rsid w:val="00071CBC"/>
    <w:rsid w:val="00084123"/>
    <w:rsid w:val="000B6F1C"/>
    <w:rsid w:val="000F1A7D"/>
    <w:rsid w:val="000F2547"/>
    <w:rsid w:val="00184006"/>
    <w:rsid w:val="001A4D54"/>
    <w:rsid w:val="001B7637"/>
    <w:rsid w:val="001E162A"/>
    <w:rsid w:val="001F6A9A"/>
    <w:rsid w:val="00201EFF"/>
    <w:rsid w:val="0020516F"/>
    <w:rsid w:val="00225714"/>
    <w:rsid w:val="00262AFD"/>
    <w:rsid w:val="002676CA"/>
    <w:rsid w:val="00275434"/>
    <w:rsid w:val="002976D4"/>
    <w:rsid w:val="002A2FA4"/>
    <w:rsid w:val="002A3E1B"/>
    <w:rsid w:val="002B2277"/>
    <w:rsid w:val="00303983"/>
    <w:rsid w:val="003402A8"/>
    <w:rsid w:val="003450A3"/>
    <w:rsid w:val="00345AE7"/>
    <w:rsid w:val="0035583F"/>
    <w:rsid w:val="003B3166"/>
    <w:rsid w:val="003B67F3"/>
    <w:rsid w:val="00452B05"/>
    <w:rsid w:val="004768C0"/>
    <w:rsid w:val="00481B5D"/>
    <w:rsid w:val="0048309A"/>
    <w:rsid w:val="004D23F7"/>
    <w:rsid w:val="004F343B"/>
    <w:rsid w:val="00537AA9"/>
    <w:rsid w:val="00553624"/>
    <w:rsid w:val="00564927"/>
    <w:rsid w:val="00592419"/>
    <w:rsid w:val="006264F5"/>
    <w:rsid w:val="00626693"/>
    <w:rsid w:val="00644E9D"/>
    <w:rsid w:val="006513A7"/>
    <w:rsid w:val="00653095"/>
    <w:rsid w:val="00666027"/>
    <w:rsid w:val="00685A47"/>
    <w:rsid w:val="006F3477"/>
    <w:rsid w:val="00797A75"/>
    <w:rsid w:val="007C3090"/>
    <w:rsid w:val="007F4056"/>
    <w:rsid w:val="00807DB1"/>
    <w:rsid w:val="00814103"/>
    <w:rsid w:val="00814441"/>
    <w:rsid w:val="00845E11"/>
    <w:rsid w:val="008577F4"/>
    <w:rsid w:val="00865A86"/>
    <w:rsid w:val="00867D3F"/>
    <w:rsid w:val="008A33C9"/>
    <w:rsid w:val="008B7292"/>
    <w:rsid w:val="008C0B48"/>
    <w:rsid w:val="009508F1"/>
    <w:rsid w:val="009E15BC"/>
    <w:rsid w:val="00A10521"/>
    <w:rsid w:val="00A834A9"/>
    <w:rsid w:val="00AC1885"/>
    <w:rsid w:val="00AC32F0"/>
    <w:rsid w:val="00AC428C"/>
    <w:rsid w:val="00AC7F3A"/>
    <w:rsid w:val="00AC7F87"/>
    <w:rsid w:val="00AE728D"/>
    <w:rsid w:val="00B33D92"/>
    <w:rsid w:val="00B4072B"/>
    <w:rsid w:val="00B62B6C"/>
    <w:rsid w:val="00B86205"/>
    <w:rsid w:val="00B871A0"/>
    <w:rsid w:val="00BC3470"/>
    <w:rsid w:val="00BC469C"/>
    <w:rsid w:val="00BD6F39"/>
    <w:rsid w:val="00C14EC3"/>
    <w:rsid w:val="00C17564"/>
    <w:rsid w:val="00C308BA"/>
    <w:rsid w:val="00C35EDF"/>
    <w:rsid w:val="00CF6A8F"/>
    <w:rsid w:val="00D0206A"/>
    <w:rsid w:val="00D130DA"/>
    <w:rsid w:val="00D221D4"/>
    <w:rsid w:val="00D5197B"/>
    <w:rsid w:val="00D550A9"/>
    <w:rsid w:val="00D708B7"/>
    <w:rsid w:val="00D83556"/>
    <w:rsid w:val="00DA4FD3"/>
    <w:rsid w:val="00DB21B7"/>
    <w:rsid w:val="00E24D0C"/>
    <w:rsid w:val="00E25094"/>
    <w:rsid w:val="00E366C6"/>
    <w:rsid w:val="00E631EA"/>
    <w:rsid w:val="00EB1AC9"/>
    <w:rsid w:val="00ED6314"/>
    <w:rsid w:val="00EE6864"/>
    <w:rsid w:val="00EE7890"/>
    <w:rsid w:val="00EF0DC4"/>
    <w:rsid w:val="00F37DA9"/>
    <w:rsid w:val="00F51FBD"/>
    <w:rsid w:val="00F5618F"/>
    <w:rsid w:val="00F5669C"/>
    <w:rsid w:val="00F77EF9"/>
    <w:rsid w:val="00FE6975"/>
    <w:rsid w:val="049D4AA8"/>
    <w:rsid w:val="05263C65"/>
    <w:rsid w:val="076A5F83"/>
    <w:rsid w:val="094840A2"/>
    <w:rsid w:val="0A190B04"/>
    <w:rsid w:val="0A550018"/>
    <w:rsid w:val="0A7C1CE5"/>
    <w:rsid w:val="0AC2092E"/>
    <w:rsid w:val="0C215FF4"/>
    <w:rsid w:val="0C3E08E3"/>
    <w:rsid w:val="0D9E4451"/>
    <w:rsid w:val="0E2B7852"/>
    <w:rsid w:val="12F47D2F"/>
    <w:rsid w:val="15040250"/>
    <w:rsid w:val="15A56EC8"/>
    <w:rsid w:val="17431DAC"/>
    <w:rsid w:val="17E219BD"/>
    <w:rsid w:val="1AB25635"/>
    <w:rsid w:val="1C5B6E3B"/>
    <w:rsid w:val="1C6646A5"/>
    <w:rsid w:val="1F225A8B"/>
    <w:rsid w:val="1F792DAF"/>
    <w:rsid w:val="240043EC"/>
    <w:rsid w:val="26223AB2"/>
    <w:rsid w:val="276A5F16"/>
    <w:rsid w:val="28D966BA"/>
    <w:rsid w:val="29BD5D24"/>
    <w:rsid w:val="29C24A28"/>
    <w:rsid w:val="2A8449D0"/>
    <w:rsid w:val="2DD902F4"/>
    <w:rsid w:val="2E733FAC"/>
    <w:rsid w:val="2F594BBE"/>
    <w:rsid w:val="31361CF9"/>
    <w:rsid w:val="31AC23B2"/>
    <w:rsid w:val="33415F96"/>
    <w:rsid w:val="352254E4"/>
    <w:rsid w:val="36B22397"/>
    <w:rsid w:val="37FD74D1"/>
    <w:rsid w:val="381B569C"/>
    <w:rsid w:val="3A22270A"/>
    <w:rsid w:val="3C947CDA"/>
    <w:rsid w:val="3D8F4D1B"/>
    <w:rsid w:val="3DC07BE7"/>
    <w:rsid w:val="3DCC1EB9"/>
    <w:rsid w:val="3E2E1A16"/>
    <w:rsid w:val="40593543"/>
    <w:rsid w:val="40DB4CB9"/>
    <w:rsid w:val="41DA5F52"/>
    <w:rsid w:val="4650639B"/>
    <w:rsid w:val="4A0A0924"/>
    <w:rsid w:val="4A832AC4"/>
    <w:rsid w:val="4C1B2332"/>
    <w:rsid w:val="4FF24EEF"/>
    <w:rsid w:val="50721A76"/>
    <w:rsid w:val="5193023F"/>
    <w:rsid w:val="53226CDE"/>
    <w:rsid w:val="53BF62DB"/>
    <w:rsid w:val="54180DA0"/>
    <w:rsid w:val="558D1E46"/>
    <w:rsid w:val="55E309A9"/>
    <w:rsid w:val="56D3733F"/>
    <w:rsid w:val="58CB6A40"/>
    <w:rsid w:val="59654A62"/>
    <w:rsid w:val="5A685C6A"/>
    <w:rsid w:val="5ADE1A96"/>
    <w:rsid w:val="5CFD076C"/>
    <w:rsid w:val="5F1A6ABC"/>
    <w:rsid w:val="62C93456"/>
    <w:rsid w:val="633D745C"/>
    <w:rsid w:val="65B12BD8"/>
    <w:rsid w:val="661549FF"/>
    <w:rsid w:val="66244E2E"/>
    <w:rsid w:val="66F57DCC"/>
    <w:rsid w:val="67976B83"/>
    <w:rsid w:val="67E26DDE"/>
    <w:rsid w:val="6F8362FD"/>
    <w:rsid w:val="70FE340A"/>
    <w:rsid w:val="724D124A"/>
    <w:rsid w:val="73EF7FB3"/>
    <w:rsid w:val="757D4185"/>
    <w:rsid w:val="7719513F"/>
    <w:rsid w:val="77E048EF"/>
    <w:rsid w:val="793F437C"/>
    <w:rsid w:val="7A4B6CED"/>
    <w:rsid w:val="7CAB52BF"/>
    <w:rsid w:val="7CAE2AD4"/>
    <w:rsid w:val="7DE76E48"/>
    <w:rsid w:val="7F311EA6"/>
    <w:rsid w:val="7FEB0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5">
    <w:name w:val="Body Text"/>
    <w:basedOn w:val="1"/>
    <w:next w:val="1"/>
    <w:link w:val="20"/>
    <w:qFormat/>
    <w:uiPriority w:val="1"/>
    <w:pPr>
      <w:spacing w:before="161"/>
      <w:ind w:left="120"/>
    </w:pPr>
    <w:rPr>
      <w:rFonts w:ascii="宋体" w:hAnsi="宋体" w:eastAsia="宋体" w:cs="宋体"/>
      <w:sz w:val="24"/>
      <w:szCs w:val="24"/>
      <w:lang w:val="zh-CN" w:bidi="zh-CN"/>
    </w:rPr>
  </w:style>
  <w:style w:type="paragraph" w:styleId="6">
    <w:name w:val="Plain Text"/>
    <w:basedOn w:val="1"/>
    <w:link w:val="18"/>
    <w:qFormat/>
    <w:uiPriority w:val="0"/>
    <w:rPr>
      <w:rFonts w:ascii="宋体" w:hAnsi="Courier New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9"/>
    <w:basedOn w:val="1"/>
    <w:next w:val="1"/>
    <w:qFormat/>
    <w:uiPriority w:val="0"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纯文本 Char"/>
    <w:link w:val="6"/>
    <w:qFormat/>
    <w:uiPriority w:val="0"/>
    <w:rPr>
      <w:rFonts w:ascii="宋体" w:hAnsi="Courier New"/>
    </w:rPr>
  </w:style>
  <w:style w:type="character" w:customStyle="1" w:styleId="18">
    <w:name w:val="纯文本 Char1"/>
    <w:basedOn w:val="11"/>
    <w:link w:val="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9">
    <w:name w:val="正文缩进2格"/>
    <w:basedOn w:val="1"/>
    <w:next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Times New Roman"/>
      <w:sz w:val="28"/>
      <w:szCs w:val="20"/>
    </w:rPr>
  </w:style>
  <w:style w:type="character" w:customStyle="1" w:styleId="20">
    <w:name w:val="正文文本 Char"/>
    <w:basedOn w:val="11"/>
    <w:link w:val="5"/>
    <w:qFormat/>
    <w:uiPriority w:val="1"/>
    <w:rPr>
      <w:rFonts w:ascii="宋体" w:hAnsi="宋体" w:eastAsia="宋体" w:cs="宋体"/>
      <w:kern w:val="2"/>
      <w:sz w:val="24"/>
      <w:szCs w:val="24"/>
      <w:lang w:val="zh-CN" w:bidi="zh-CN"/>
    </w:rPr>
  </w:style>
  <w:style w:type="character" w:customStyle="1" w:styleId="21">
    <w:name w:val="font6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91"/>
    <w:basedOn w:val="11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23">
    <w:name w:val="font101"/>
    <w:basedOn w:val="1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4">
    <w:name w:val="font112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5">
    <w:name w:val="font2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2771</Words>
  <Characters>3021</Characters>
  <Lines>46</Lines>
  <Paragraphs>13</Paragraphs>
  <TotalTime>15</TotalTime>
  <ScaleCrop>false</ScaleCrop>
  <LinksUpToDate>false</LinksUpToDate>
  <CharactersWithSpaces>3037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2022-06-08T00:53:00Z</dcterms:created>
  <dc:creator>郑立熔</dc:creator>
  <cp:lastModifiedBy>0 。0。。圈圈</cp:lastModifiedBy>
  <cp:lastPrinted>2025-03-10T01:30:00Z</cp:lastPrinted>
  <dcterms:modified xsi:type="dcterms:W3CDTF">2025-08-13T08:48:21Z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15E4B528C1AD4569920C937625B521E6_13</vt:lpwstr>
  </property>
  <property fmtid="{D5CDD505-2E9C-101B-9397-08002B2CF9AE}" pid="4" name="KSOTemplateDocerSaveRecord">
    <vt:lpwstr>eyJoZGlkIjoiY2EwMTE2NDVmMzY1OGM4MTJmNGJiYjZiOTE2ZWVhMmYiLCJ1c2VySWQiOiIxMjU2NzYwNjIzIn0=</vt:lpwstr>
  </property>
</Properties>
</file>