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CB6B2">
      <w:pPr>
        <w:rPr>
          <w:highlight w:val="none"/>
        </w:rPr>
      </w:pPr>
    </w:p>
    <w:p w14:paraId="378FC28F">
      <w:pPr>
        <w:spacing w:line="560" w:lineRule="exact"/>
        <w:jc w:val="center"/>
        <w:rPr>
          <w:rFonts w:ascii="华文中宋" w:hAnsi="华文中宋" w:eastAsia="华文中宋"/>
          <w:b/>
          <w:sz w:val="52"/>
          <w:szCs w:val="52"/>
          <w:highlight w:val="none"/>
        </w:rPr>
      </w:pPr>
    </w:p>
    <w:p w14:paraId="19C0C9F1">
      <w:pPr>
        <w:spacing w:line="560" w:lineRule="exact"/>
        <w:jc w:val="center"/>
        <w:rPr>
          <w:rFonts w:ascii="方正小标宋_GBK" w:hAnsi="黑体" w:eastAsia="方正小标宋_GBK"/>
          <w:sz w:val="56"/>
          <w:szCs w:val="44"/>
          <w:highlight w:val="none"/>
        </w:rPr>
      </w:pPr>
      <w:r>
        <w:rPr>
          <w:rFonts w:hint="eastAsia" w:ascii="方正小标宋_GBK" w:hAnsi="黑体" w:eastAsia="方正小标宋_GBK"/>
          <w:spacing w:val="-10"/>
          <w:sz w:val="48"/>
          <w:szCs w:val="44"/>
          <w:highlight w:val="none"/>
        </w:rPr>
        <w:t>广西壮族自治区交通运输综合行政执法局</w:t>
      </w:r>
      <w:r>
        <w:rPr>
          <w:rFonts w:hint="eastAsia" w:ascii="方正小标宋_GBK" w:hAnsi="黑体" w:eastAsia="方正小标宋_GBK"/>
          <w:sz w:val="48"/>
          <w:szCs w:val="44"/>
          <w:highlight w:val="none"/>
        </w:rPr>
        <w:t>广西交通运输综合执法系统第三方评测服务项目询价采购文件</w:t>
      </w:r>
    </w:p>
    <w:p w14:paraId="3D409ABA">
      <w:pPr>
        <w:rPr>
          <w:highlight w:val="none"/>
        </w:rPr>
      </w:pPr>
    </w:p>
    <w:p w14:paraId="5324F2BE">
      <w:pPr>
        <w:rPr>
          <w:highlight w:val="none"/>
        </w:rPr>
      </w:pPr>
    </w:p>
    <w:p w14:paraId="7EE4E74D">
      <w:pPr>
        <w:rPr>
          <w:highlight w:val="none"/>
        </w:rPr>
      </w:pPr>
    </w:p>
    <w:p w14:paraId="5D6C54A8">
      <w:pPr>
        <w:rPr>
          <w:highlight w:val="none"/>
        </w:rPr>
      </w:pPr>
    </w:p>
    <w:p w14:paraId="77DB6F99">
      <w:pPr>
        <w:rPr>
          <w:highlight w:val="none"/>
        </w:rPr>
      </w:pPr>
    </w:p>
    <w:p w14:paraId="60A17554">
      <w:pPr>
        <w:jc w:val="center"/>
        <w:rPr>
          <w:b/>
          <w:sz w:val="84"/>
          <w:szCs w:val="84"/>
          <w:highlight w:val="none"/>
        </w:rPr>
      </w:pPr>
    </w:p>
    <w:p w14:paraId="44004182">
      <w:pPr>
        <w:rPr>
          <w:highlight w:val="none"/>
        </w:rPr>
      </w:pPr>
    </w:p>
    <w:p w14:paraId="40F4801A">
      <w:pPr>
        <w:rPr>
          <w:highlight w:val="none"/>
        </w:rPr>
      </w:pPr>
    </w:p>
    <w:p w14:paraId="423EB069">
      <w:pPr>
        <w:rPr>
          <w:highlight w:val="none"/>
        </w:rPr>
      </w:pPr>
    </w:p>
    <w:p w14:paraId="3ED58974">
      <w:pPr>
        <w:rPr>
          <w:highlight w:val="none"/>
        </w:rPr>
      </w:pPr>
    </w:p>
    <w:p w14:paraId="46F5CFFD">
      <w:pPr>
        <w:rPr>
          <w:highlight w:val="none"/>
        </w:rPr>
      </w:pPr>
    </w:p>
    <w:p w14:paraId="6ABC382E">
      <w:pPr>
        <w:rPr>
          <w:b/>
          <w:sz w:val="36"/>
          <w:szCs w:val="36"/>
          <w:highlight w:val="none"/>
        </w:rPr>
      </w:pPr>
    </w:p>
    <w:p w14:paraId="21681745">
      <w:pPr>
        <w:rPr>
          <w:b/>
          <w:sz w:val="36"/>
          <w:szCs w:val="36"/>
          <w:highlight w:val="none"/>
        </w:rPr>
      </w:pPr>
    </w:p>
    <w:p w14:paraId="0D790438">
      <w:pPr>
        <w:rPr>
          <w:b/>
          <w:sz w:val="36"/>
          <w:szCs w:val="36"/>
          <w:highlight w:val="none"/>
        </w:rPr>
      </w:pPr>
    </w:p>
    <w:p w14:paraId="7696AC23">
      <w:pPr>
        <w:rPr>
          <w:b/>
          <w:sz w:val="36"/>
          <w:szCs w:val="36"/>
          <w:highlight w:val="none"/>
        </w:rPr>
      </w:pPr>
    </w:p>
    <w:p w14:paraId="462804DF">
      <w:pPr>
        <w:rPr>
          <w:b/>
          <w:sz w:val="36"/>
          <w:szCs w:val="36"/>
          <w:highlight w:val="none"/>
        </w:rPr>
      </w:pPr>
    </w:p>
    <w:p w14:paraId="5AEF293E">
      <w:pPr>
        <w:rPr>
          <w:b/>
          <w:sz w:val="44"/>
          <w:szCs w:val="44"/>
          <w:highlight w:val="none"/>
        </w:rPr>
      </w:pPr>
    </w:p>
    <w:p w14:paraId="29D09160">
      <w:pPr>
        <w:rPr>
          <w:b/>
          <w:sz w:val="44"/>
          <w:szCs w:val="44"/>
          <w:highlight w:val="none"/>
        </w:rPr>
      </w:pPr>
    </w:p>
    <w:p w14:paraId="0ADF1C07">
      <w:pPr>
        <w:rPr>
          <w:rFonts w:ascii="仿宋_GB2312" w:eastAsia="仿宋_GB2312"/>
          <w:b/>
          <w:sz w:val="36"/>
          <w:szCs w:val="36"/>
          <w:highlight w:val="none"/>
        </w:rPr>
      </w:pPr>
      <w:r>
        <w:rPr>
          <w:rFonts w:hint="eastAsia" w:ascii="仿宋_GB2312" w:eastAsia="仿宋_GB2312"/>
          <w:b/>
          <w:sz w:val="36"/>
          <w:szCs w:val="36"/>
          <w:highlight w:val="none"/>
        </w:rPr>
        <w:t>采购单位：广西壮族自治区交通运输综合行政执法局</w:t>
      </w:r>
    </w:p>
    <w:p w14:paraId="740975D4">
      <w:pPr>
        <w:rPr>
          <w:rFonts w:ascii="仿宋_GB2312" w:eastAsia="仿宋_GB2312"/>
          <w:b/>
          <w:sz w:val="36"/>
          <w:szCs w:val="36"/>
          <w:highlight w:val="none"/>
        </w:rPr>
      </w:pPr>
      <w:r>
        <w:rPr>
          <w:rFonts w:hint="eastAsia" w:ascii="仿宋_GB2312" w:eastAsia="仿宋_GB2312"/>
          <w:b/>
          <w:sz w:val="36"/>
          <w:szCs w:val="36"/>
          <w:highlight w:val="none"/>
        </w:rPr>
        <w:t>日    期：        2025年</w:t>
      </w:r>
      <w:r>
        <w:rPr>
          <w:rFonts w:hint="eastAsia" w:ascii="仿宋_GB2312" w:eastAsia="仿宋_GB2312"/>
          <w:b/>
          <w:sz w:val="36"/>
          <w:szCs w:val="36"/>
          <w:highlight w:val="none"/>
          <w:lang w:val="en-US" w:eastAsia="zh-CN"/>
        </w:rPr>
        <w:t>11</w:t>
      </w:r>
      <w:r>
        <w:rPr>
          <w:rFonts w:hint="eastAsia" w:ascii="仿宋_GB2312" w:eastAsia="仿宋_GB2312"/>
          <w:b/>
          <w:sz w:val="36"/>
          <w:szCs w:val="36"/>
          <w:highlight w:val="none"/>
        </w:rPr>
        <w:t>月</w:t>
      </w:r>
      <w:r>
        <w:rPr>
          <w:rFonts w:hint="eastAsia" w:ascii="仿宋_GB2312" w:eastAsia="仿宋_GB2312"/>
          <w:b/>
          <w:sz w:val="36"/>
          <w:szCs w:val="36"/>
          <w:highlight w:val="none"/>
          <w:lang w:val="en-US" w:eastAsia="zh-CN"/>
        </w:rPr>
        <w:t>27</w:t>
      </w:r>
      <w:r>
        <w:rPr>
          <w:rFonts w:hint="eastAsia" w:ascii="仿宋_GB2312" w:eastAsia="仿宋_GB2312"/>
          <w:b/>
          <w:sz w:val="36"/>
          <w:szCs w:val="36"/>
          <w:highlight w:val="none"/>
        </w:rPr>
        <w:t>日</w:t>
      </w:r>
    </w:p>
    <w:p w14:paraId="3E8320B4">
      <w:pPr>
        <w:rPr>
          <w:b/>
          <w:sz w:val="36"/>
          <w:szCs w:val="36"/>
          <w:highlight w:val="none"/>
        </w:rPr>
      </w:pPr>
    </w:p>
    <w:p w14:paraId="19A527E7">
      <w:pPr>
        <w:rPr>
          <w:b/>
          <w:sz w:val="36"/>
          <w:szCs w:val="36"/>
          <w:highlight w:val="none"/>
        </w:rPr>
      </w:pPr>
    </w:p>
    <w:p w14:paraId="07AFA14B">
      <w:pPr>
        <w:rPr>
          <w:b/>
          <w:sz w:val="36"/>
          <w:szCs w:val="36"/>
          <w:highlight w:val="none"/>
        </w:rPr>
      </w:pPr>
    </w:p>
    <w:p w14:paraId="7A093FCA">
      <w:pPr>
        <w:spacing w:line="560" w:lineRule="exact"/>
        <w:jc w:val="center"/>
        <w:rPr>
          <w:rFonts w:ascii="方正小标宋_GBK" w:hAnsi="华文中宋" w:eastAsia="方正小标宋_GBK"/>
          <w:sz w:val="44"/>
          <w:szCs w:val="44"/>
          <w:highlight w:val="none"/>
        </w:rPr>
      </w:pPr>
      <w:r>
        <w:rPr>
          <w:rFonts w:hint="eastAsia" w:ascii="方正小标宋_GBK" w:hAnsi="华文中宋" w:eastAsia="方正小标宋_GBK"/>
          <w:sz w:val="44"/>
          <w:szCs w:val="44"/>
          <w:highlight w:val="none"/>
        </w:rPr>
        <w:t>广西壮族自治区交通运输综合行政执法局广西交通运输综合执法系统第三方评测服务项目采购报价供应商需知</w:t>
      </w:r>
    </w:p>
    <w:p w14:paraId="22AD054A">
      <w:pPr>
        <w:pStyle w:val="2"/>
        <w:spacing w:before="0" w:after="0"/>
        <w:ind w:firstLine="562" w:firstLineChars="200"/>
        <w:rPr>
          <w:rFonts w:ascii="仿宋_GB2312" w:eastAsia="仿宋_GB2312"/>
          <w:sz w:val="28"/>
          <w:szCs w:val="28"/>
          <w:highlight w:val="none"/>
        </w:rPr>
      </w:pPr>
    </w:p>
    <w:p w14:paraId="0CA16753">
      <w:pPr>
        <w:pStyle w:val="2"/>
        <w:spacing w:before="0" w:after="0"/>
        <w:ind w:firstLine="562" w:firstLineChars="200"/>
        <w:rPr>
          <w:rFonts w:ascii="仿宋_GB2312" w:eastAsia="仿宋_GB2312"/>
          <w:sz w:val="28"/>
          <w:szCs w:val="28"/>
          <w:highlight w:val="none"/>
        </w:rPr>
      </w:pPr>
      <w:r>
        <w:rPr>
          <w:rFonts w:hint="eastAsia" w:ascii="仿宋_GB2312" w:eastAsia="仿宋_GB2312"/>
          <w:sz w:val="28"/>
          <w:szCs w:val="28"/>
          <w:highlight w:val="none"/>
        </w:rPr>
        <w:t>一、报价的准备和报价</w:t>
      </w:r>
    </w:p>
    <w:p w14:paraId="4D9864DD">
      <w:pPr>
        <w:ind w:firstLine="560" w:firstLineChars="200"/>
        <w:rPr>
          <w:rFonts w:ascii="仿宋_GB2312" w:eastAsia="仿宋_GB2312"/>
          <w:sz w:val="28"/>
          <w:szCs w:val="28"/>
          <w:highlight w:val="none"/>
        </w:rPr>
      </w:pPr>
      <w:r>
        <w:rPr>
          <w:rFonts w:hint="eastAsia" w:ascii="仿宋_GB2312" w:eastAsia="仿宋_GB2312"/>
          <w:sz w:val="28"/>
          <w:szCs w:val="28"/>
          <w:highlight w:val="none"/>
        </w:rPr>
        <w:t>（一）报价方应认真审阅本询价采购文件，并按本文件的规定，提交完整的报价文件。</w:t>
      </w:r>
    </w:p>
    <w:p w14:paraId="62C12FDF">
      <w:pPr>
        <w:ind w:firstLine="560" w:firstLineChars="200"/>
        <w:rPr>
          <w:rFonts w:ascii="仿宋_GB2312" w:eastAsia="仿宋_GB2312"/>
          <w:sz w:val="28"/>
          <w:szCs w:val="28"/>
          <w:highlight w:val="none"/>
        </w:rPr>
      </w:pPr>
      <w:r>
        <w:rPr>
          <w:rFonts w:hint="eastAsia" w:ascii="仿宋_GB2312" w:eastAsia="仿宋_GB2312"/>
          <w:sz w:val="28"/>
          <w:szCs w:val="28"/>
          <w:highlight w:val="none"/>
        </w:rPr>
        <w:t>（二）报价方应用人民币作报价。</w:t>
      </w:r>
    </w:p>
    <w:p w14:paraId="2BDCEBE0">
      <w:pPr>
        <w:ind w:firstLine="600"/>
        <w:rPr>
          <w:rFonts w:ascii="仿宋_GB2312" w:eastAsia="仿宋_GB2312"/>
          <w:sz w:val="28"/>
          <w:szCs w:val="28"/>
          <w:highlight w:val="none"/>
        </w:rPr>
      </w:pPr>
      <w:r>
        <w:rPr>
          <w:rFonts w:hint="eastAsia" w:ascii="仿宋_GB2312" w:eastAsia="仿宋_GB2312"/>
          <w:sz w:val="28"/>
          <w:szCs w:val="28"/>
          <w:highlight w:val="none"/>
        </w:rPr>
        <w:t>（三）报价文件</w:t>
      </w:r>
    </w:p>
    <w:p w14:paraId="495344FB">
      <w:pPr>
        <w:ind w:firstLine="600"/>
        <w:rPr>
          <w:rFonts w:ascii="仿宋_GB2312" w:eastAsia="仿宋_GB2312"/>
          <w:sz w:val="28"/>
          <w:szCs w:val="28"/>
          <w:highlight w:val="none"/>
        </w:rPr>
      </w:pPr>
      <w:r>
        <w:rPr>
          <w:rFonts w:hint="eastAsia" w:ascii="仿宋_GB2312" w:eastAsia="仿宋_GB2312"/>
          <w:sz w:val="28"/>
          <w:szCs w:val="28"/>
          <w:highlight w:val="none"/>
        </w:rPr>
        <w:t>1.报价文件应由报价方法定代表签署，如由代理人签字应有法定代表人的授权书，授权书必须有法定代表人的签字并盖章方可生效。报价文件不得涂改，否则报价文件作废。</w:t>
      </w:r>
    </w:p>
    <w:p w14:paraId="47B56F16">
      <w:pPr>
        <w:ind w:firstLine="600"/>
        <w:rPr>
          <w:rFonts w:ascii="仿宋_GB2312" w:eastAsia="仿宋_GB2312"/>
          <w:sz w:val="28"/>
          <w:szCs w:val="28"/>
          <w:highlight w:val="none"/>
        </w:rPr>
      </w:pPr>
      <w:r>
        <w:rPr>
          <w:rFonts w:hint="eastAsia" w:ascii="仿宋_GB2312" w:eastAsia="仿宋_GB2312"/>
          <w:sz w:val="28"/>
          <w:szCs w:val="28"/>
          <w:highlight w:val="none"/>
        </w:rPr>
        <w:t>2.报价方资格证明文件视为报价文件不可分割的一部分。</w:t>
      </w:r>
    </w:p>
    <w:p w14:paraId="6547ACF6">
      <w:pPr>
        <w:ind w:firstLine="600"/>
        <w:rPr>
          <w:rFonts w:ascii="仿宋_GB2312" w:eastAsia="仿宋_GB2312"/>
          <w:sz w:val="28"/>
          <w:szCs w:val="28"/>
          <w:highlight w:val="none"/>
        </w:rPr>
      </w:pPr>
      <w:r>
        <w:rPr>
          <w:rFonts w:hint="eastAsia" w:ascii="仿宋_GB2312" w:eastAsia="仿宋_GB2312"/>
          <w:sz w:val="28"/>
          <w:szCs w:val="28"/>
          <w:highlight w:val="none"/>
        </w:rPr>
        <w:t>3.报价方应将报价文件用信封密封，信封封口处应加贴密封条，密封条应加盖公章或密封章。</w:t>
      </w:r>
    </w:p>
    <w:p w14:paraId="1936B0EF">
      <w:pPr>
        <w:ind w:firstLine="600"/>
        <w:rPr>
          <w:rFonts w:ascii="仿宋_GB2312" w:eastAsia="仿宋_GB2312"/>
          <w:sz w:val="28"/>
          <w:szCs w:val="28"/>
          <w:highlight w:val="none"/>
        </w:rPr>
      </w:pPr>
      <w:r>
        <w:rPr>
          <w:rFonts w:hint="eastAsia" w:ascii="仿宋_GB2312" w:eastAsia="仿宋_GB2312"/>
          <w:sz w:val="28"/>
          <w:szCs w:val="28"/>
          <w:highlight w:val="none"/>
        </w:rPr>
        <w:t>4.报价方应对报价文件仔细核对和检查，报价后采购方不接收修改报价文件的意见，除非采购方对采购文件某部分内容进行澄清，所有报价方应在规定的时间内书面答复。</w:t>
      </w:r>
    </w:p>
    <w:p w14:paraId="2D4DA428">
      <w:pPr>
        <w:ind w:firstLine="600"/>
        <w:rPr>
          <w:rFonts w:ascii="仿宋_GB2312" w:eastAsia="仿宋_GB2312"/>
          <w:sz w:val="28"/>
          <w:szCs w:val="28"/>
          <w:highlight w:val="none"/>
        </w:rPr>
      </w:pPr>
      <w:r>
        <w:rPr>
          <w:rFonts w:hint="eastAsia" w:ascii="仿宋_GB2312" w:eastAsia="仿宋_GB2312"/>
          <w:sz w:val="28"/>
          <w:szCs w:val="28"/>
          <w:highlight w:val="none"/>
        </w:rPr>
        <w:t>5.报价时间及地点：报价方请于2025年</w:t>
      </w:r>
      <w:r>
        <w:rPr>
          <w:rFonts w:hint="eastAsia" w:ascii="仿宋_GB2312" w:eastAsia="仿宋_GB2312"/>
          <w:sz w:val="28"/>
          <w:szCs w:val="28"/>
          <w:highlight w:val="none"/>
          <w:lang w:val="en-US" w:eastAsia="zh-CN"/>
        </w:rPr>
        <w:t>12</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日中午12点前将装订成册的报价文件（一式三份）以信封密封好，送至我局财务科（南宁市滨湖路66号公路大厦808室）。如需邮寄送达，请用信封密封好并在邮寄封面注明投标资料和投标单位，联系人：张微，联系电话：0771-2115929。逾期将拒绝接收报价文件。</w:t>
      </w:r>
    </w:p>
    <w:p w14:paraId="7ED0BD74">
      <w:pPr>
        <w:ind w:firstLine="600"/>
        <w:rPr>
          <w:rFonts w:ascii="仿宋_GB2312" w:eastAsia="仿宋_GB2312"/>
          <w:sz w:val="28"/>
          <w:szCs w:val="28"/>
          <w:highlight w:val="none"/>
        </w:rPr>
      </w:pPr>
      <w:r>
        <w:rPr>
          <w:rFonts w:hint="eastAsia" w:ascii="仿宋_GB2312" w:eastAsia="仿宋_GB2312"/>
          <w:sz w:val="28"/>
          <w:szCs w:val="28"/>
          <w:highlight w:val="none"/>
        </w:rPr>
        <w:t>（四）签订合同</w:t>
      </w:r>
    </w:p>
    <w:p w14:paraId="29277C4A">
      <w:pPr>
        <w:ind w:firstLine="600"/>
        <w:rPr>
          <w:rFonts w:ascii="仿宋_GB2312" w:eastAsia="仿宋_GB2312"/>
          <w:sz w:val="28"/>
          <w:szCs w:val="28"/>
          <w:highlight w:val="none"/>
        </w:rPr>
      </w:pPr>
      <w:r>
        <w:rPr>
          <w:rFonts w:hint="eastAsia" w:ascii="仿宋_GB2312" w:eastAsia="仿宋_GB2312"/>
          <w:sz w:val="28"/>
          <w:szCs w:val="28"/>
          <w:highlight w:val="none"/>
        </w:rPr>
        <w:t>1.成交方应在成交通知书规定的时间内，由法定代表人或委托代理人到采购单位签订合同。</w:t>
      </w:r>
    </w:p>
    <w:p w14:paraId="4A462CF5">
      <w:pPr>
        <w:ind w:firstLine="600"/>
        <w:rPr>
          <w:rFonts w:ascii="仿宋_GB2312" w:eastAsia="仿宋_GB2312"/>
          <w:sz w:val="28"/>
          <w:szCs w:val="28"/>
          <w:highlight w:val="none"/>
        </w:rPr>
      </w:pPr>
      <w:r>
        <w:rPr>
          <w:rFonts w:hint="eastAsia" w:ascii="仿宋_GB2312" w:eastAsia="仿宋_GB2312"/>
          <w:sz w:val="28"/>
          <w:szCs w:val="28"/>
          <w:highlight w:val="none"/>
        </w:rPr>
        <w:t>2.成交通知书、本询价采购文件和成交方的报价文件是双方签订合同的依据，合同文本应符合国家相关政策要求。成交方在签订合同时对上述文件有异议，不愿遵照执行，将视情节取消成交方的成交资格，以及赔偿采购方的经济损失。</w:t>
      </w:r>
    </w:p>
    <w:p w14:paraId="4D472629">
      <w:pPr>
        <w:pStyle w:val="2"/>
        <w:spacing w:before="0" w:after="0"/>
        <w:ind w:firstLine="562" w:firstLineChars="200"/>
        <w:rPr>
          <w:rFonts w:ascii="仿宋_GB2312" w:eastAsia="仿宋_GB2312"/>
          <w:sz w:val="28"/>
          <w:szCs w:val="28"/>
          <w:highlight w:val="none"/>
        </w:rPr>
      </w:pPr>
      <w:bookmarkStart w:id="0" w:name="_Toc453359044"/>
      <w:r>
        <w:rPr>
          <w:rFonts w:hint="eastAsia" w:ascii="仿宋_GB2312" w:eastAsia="仿宋_GB2312"/>
          <w:sz w:val="28"/>
          <w:szCs w:val="28"/>
          <w:highlight w:val="none"/>
        </w:rPr>
        <w:t>二、</w:t>
      </w:r>
      <w:bookmarkEnd w:id="0"/>
      <w:r>
        <w:rPr>
          <w:rFonts w:hint="eastAsia" w:ascii="仿宋_GB2312" w:eastAsia="仿宋_GB2312"/>
          <w:sz w:val="28"/>
          <w:szCs w:val="28"/>
          <w:highlight w:val="none"/>
        </w:rPr>
        <w:t>采购需求内容</w:t>
      </w:r>
    </w:p>
    <w:p w14:paraId="1272A7B4">
      <w:pPr>
        <w:ind w:firstLine="562" w:firstLineChars="200"/>
        <w:rPr>
          <w:rFonts w:ascii="仿宋" w:hAnsi="仿宋" w:eastAsia="仿宋"/>
          <w:sz w:val="28"/>
          <w:szCs w:val="32"/>
          <w:highlight w:val="none"/>
        </w:rPr>
      </w:pPr>
      <w:r>
        <w:rPr>
          <w:rFonts w:hint="eastAsia" w:ascii="仿宋_GB2312" w:eastAsia="仿宋_GB2312"/>
          <w:b/>
          <w:sz w:val="28"/>
          <w:szCs w:val="32"/>
          <w:highlight w:val="none"/>
        </w:rPr>
        <w:t>（一）</w:t>
      </w:r>
      <w:r>
        <w:rPr>
          <w:rFonts w:hint="eastAsia" w:ascii="仿宋" w:hAnsi="仿宋" w:eastAsia="仿宋"/>
          <w:sz w:val="28"/>
          <w:szCs w:val="32"/>
          <w:highlight w:val="none"/>
        </w:rPr>
        <w:t>采购项目名称：广西交通运输综合执法系统第三方</w:t>
      </w:r>
      <w:r>
        <w:rPr>
          <w:rFonts w:hint="eastAsia" w:ascii="仿宋" w:hAnsi="仿宋" w:eastAsia="仿宋"/>
          <w:sz w:val="28"/>
          <w:szCs w:val="32"/>
          <w:highlight w:val="none"/>
          <w:lang w:val="en-US" w:eastAsia="zh-CN"/>
        </w:rPr>
        <w:t>评测</w:t>
      </w:r>
      <w:r>
        <w:rPr>
          <w:rFonts w:hint="eastAsia" w:ascii="仿宋" w:hAnsi="仿宋" w:eastAsia="仿宋"/>
          <w:sz w:val="28"/>
          <w:szCs w:val="32"/>
          <w:highlight w:val="none"/>
        </w:rPr>
        <w:t>服务</w:t>
      </w:r>
    </w:p>
    <w:p w14:paraId="6C27E593">
      <w:pPr>
        <w:ind w:firstLine="562" w:firstLineChars="200"/>
        <w:rPr>
          <w:rFonts w:ascii="仿宋_GB2312" w:eastAsia="仿宋_GB2312"/>
          <w:b/>
          <w:sz w:val="28"/>
          <w:szCs w:val="32"/>
          <w:highlight w:val="none"/>
        </w:rPr>
      </w:pPr>
      <w:r>
        <w:rPr>
          <w:rFonts w:hint="eastAsia" w:ascii="仿宋_GB2312" w:eastAsia="仿宋_GB2312"/>
          <w:b/>
          <w:sz w:val="28"/>
          <w:szCs w:val="32"/>
          <w:highlight w:val="none"/>
        </w:rPr>
        <w:t>（二）</w:t>
      </w:r>
      <w:r>
        <w:rPr>
          <w:rFonts w:hint="eastAsia" w:ascii="仿宋" w:hAnsi="仿宋" w:eastAsia="仿宋"/>
          <w:sz w:val="28"/>
          <w:szCs w:val="32"/>
          <w:highlight w:val="none"/>
        </w:rPr>
        <w:t>采购项目最高限价金额（人民币）：</w:t>
      </w:r>
      <w:r>
        <w:rPr>
          <w:rFonts w:hint="eastAsia" w:ascii="仿宋" w:hAnsi="仿宋" w:eastAsia="仿宋"/>
          <w:sz w:val="28"/>
          <w:szCs w:val="32"/>
          <w:highlight w:val="none"/>
          <w:lang w:val="en-US" w:eastAsia="zh-CN"/>
        </w:rPr>
        <w:t>9</w:t>
      </w:r>
      <w:r>
        <w:rPr>
          <w:rFonts w:hint="eastAsia" w:ascii="仿宋" w:hAnsi="仿宋" w:eastAsia="仿宋"/>
          <w:sz w:val="28"/>
          <w:szCs w:val="32"/>
          <w:highlight w:val="none"/>
        </w:rPr>
        <w:t>万元</w:t>
      </w:r>
    </w:p>
    <w:p w14:paraId="04B80B70">
      <w:pPr>
        <w:ind w:firstLine="562" w:firstLineChars="200"/>
        <w:rPr>
          <w:rFonts w:ascii="仿宋" w:hAnsi="仿宋" w:eastAsia="仿宋"/>
          <w:sz w:val="28"/>
          <w:szCs w:val="28"/>
          <w:highlight w:val="none"/>
        </w:rPr>
      </w:pPr>
      <w:r>
        <w:rPr>
          <w:rFonts w:hint="eastAsia" w:ascii="仿宋_GB2312" w:eastAsia="仿宋_GB2312"/>
          <w:b/>
          <w:sz w:val="28"/>
          <w:szCs w:val="32"/>
          <w:highlight w:val="none"/>
        </w:rPr>
        <w:t>（三）</w:t>
      </w:r>
      <w:bookmarkStart w:id="1" w:name="OLE_LINK1"/>
      <w:r>
        <w:rPr>
          <w:rFonts w:hint="eastAsia" w:ascii="仿宋" w:hAnsi="仿宋" w:eastAsia="仿宋"/>
          <w:sz w:val="28"/>
          <w:szCs w:val="32"/>
          <w:highlight w:val="none"/>
        </w:rPr>
        <w:t>采购项目内容</w:t>
      </w:r>
      <w:bookmarkEnd w:id="1"/>
      <w:r>
        <w:rPr>
          <w:rFonts w:hint="eastAsia" w:ascii="仿宋" w:hAnsi="仿宋" w:eastAsia="仿宋"/>
          <w:sz w:val="28"/>
          <w:szCs w:val="32"/>
          <w:highlight w:val="none"/>
        </w:rPr>
        <w:t>：服务供应商</w:t>
      </w:r>
      <w:r>
        <w:rPr>
          <w:rFonts w:hint="eastAsia" w:ascii="仿宋" w:hAnsi="仿宋" w:eastAsia="仿宋"/>
          <w:sz w:val="28"/>
          <w:szCs w:val="32"/>
          <w:highlight w:val="none"/>
          <w:lang w:val="en-US" w:eastAsia="zh-CN"/>
        </w:rPr>
        <w:t>针对我局</w:t>
      </w:r>
      <w:r>
        <w:rPr>
          <w:rFonts w:hint="eastAsia" w:ascii="仿宋" w:hAnsi="仿宋" w:eastAsia="仿宋"/>
          <w:sz w:val="28"/>
          <w:szCs w:val="32"/>
          <w:highlight w:val="none"/>
        </w:rPr>
        <w:t>广西交通运输综合执法系统</w:t>
      </w:r>
      <w:r>
        <w:rPr>
          <w:rFonts w:hint="eastAsia" w:ascii="仿宋" w:hAnsi="仿宋" w:eastAsia="仿宋"/>
          <w:sz w:val="28"/>
          <w:szCs w:val="32"/>
          <w:highlight w:val="none"/>
          <w:lang w:val="en-US" w:eastAsia="zh-CN"/>
        </w:rPr>
        <w:t>完成信创适配迁移后，提供</w:t>
      </w:r>
      <w:r>
        <w:rPr>
          <w:rFonts w:hint="eastAsia" w:ascii="仿宋" w:hAnsi="仿宋" w:eastAsia="仿宋"/>
          <w:sz w:val="28"/>
          <w:szCs w:val="32"/>
          <w:highlight w:val="none"/>
        </w:rPr>
        <w:t>网络安全等级保护测评、商用密码应用安全性评估及第三方软件测试服务</w:t>
      </w:r>
      <w:r>
        <w:rPr>
          <w:rFonts w:hint="eastAsia" w:ascii="仿宋" w:hAnsi="仿宋" w:eastAsia="仿宋"/>
          <w:sz w:val="28"/>
          <w:szCs w:val="32"/>
          <w:highlight w:val="none"/>
          <w:lang w:eastAsia="zh-CN"/>
        </w:rPr>
        <w:t>，</w:t>
      </w:r>
      <w:r>
        <w:rPr>
          <w:rFonts w:hint="eastAsia" w:ascii="仿宋" w:hAnsi="仿宋" w:eastAsia="仿宋"/>
          <w:sz w:val="28"/>
          <w:szCs w:val="32"/>
          <w:highlight w:val="none"/>
          <w:lang w:val="en-US" w:eastAsia="zh-CN"/>
        </w:rPr>
        <w:t>指导、配合采购人完成安全整改，并出具符合国家、自治区相关规范标准的测评报告</w:t>
      </w:r>
      <w:r>
        <w:rPr>
          <w:rFonts w:hint="eastAsia" w:ascii="仿宋" w:hAnsi="仿宋" w:eastAsia="仿宋"/>
          <w:sz w:val="28"/>
          <w:szCs w:val="32"/>
          <w:highlight w:val="none"/>
        </w:rPr>
        <w:t>。</w:t>
      </w:r>
      <w:r>
        <w:rPr>
          <w:rFonts w:hint="eastAsia" w:ascii="仿宋" w:hAnsi="仿宋" w:eastAsia="仿宋"/>
          <w:sz w:val="28"/>
          <w:szCs w:val="28"/>
          <w:highlight w:val="none"/>
        </w:rPr>
        <w:t>本次项目具体采购内容如下：</w:t>
      </w:r>
    </w:p>
    <w:p w14:paraId="5CC4E7C4">
      <w:pPr>
        <w:rPr>
          <w:rFonts w:ascii="仿宋" w:hAnsi="仿宋" w:eastAsia="仿宋"/>
          <w:sz w:val="28"/>
          <w:szCs w:val="28"/>
          <w:highlight w:val="none"/>
        </w:rPr>
      </w:pPr>
    </w:p>
    <w:p w14:paraId="57E85D1A">
      <w:pPr>
        <w:ind w:firstLine="560" w:firstLineChars="200"/>
        <w:rPr>
          <w:rFonts w:ascii="仿宋" w:hAnsi="仿宋" w:eastAsia="仿宋"/>
          <w:sz w:val="28"/>
          <w:szCs w:val="28"/>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tbl>
      <w:tblPr>
        <w:tblStyle w:val="12"/>
        <w:tblW w:w="13742" w:type="dxa"/>
        <w:tblInd w:w="258" w:type="dxa"/>
        <w:tblLayout w:type="fixed"/>
        <w:tblCellMar>
          <w:top w:w="0" w:type="dxa"/>
          <w:left w:w="108" w:type="dxa"/>
          <w:bottom w:w="0" w:type="dxa"/>
          <w:right w:w="108" w:type="dxa"/>
        </w:tblCellMar>
      </w:tblPr>
      <w:tblGrid>
        <w:gridCol w:w="843"/>
        <w:gridCol w:w="1275"/>
        <w:gridCol w:w="8789"/>
        <w:gridCol w:w="567"/>
        <w:gridCol w:w="567"/>
        <w:gridCol w:w="992"/>
        <w:gridCol w:w="709"/>
      </w:tblGrid>
      <w:tr w14:paraId="1554B31D">
        <w:trPr>
          <w:trHeight w:val="132" w:hRule="atLeast"/>
        </w:trPr>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14:paraId="49838FA2">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rPr>
              <w:t>序号</w:t>
            </w:r>
          </w:p>
        </w:tc>
        <w:tc>
          <w:tcPr>
            <w:tcW w:w="12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338DEF6">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rPr>
              <w:t>项目</w:t>
            </w:r>
          </w:p>
        </w:tc>
        <w:tc>
          <w:tcPr>
            <w:tcW w:w="8789" w:type="dxa"/>
            <w:tcBorders>
              <w:top w:val="single" w:color="000000" w:sz="4" w:space="0"/>
              <w:left w:val="single" w:color="000000" w:sz="4" w:space="0"/>
              <w:bottom w:val="single" w:color="auto" w:sz="4" w:space="0"/>
              <w:right w:val="single" w:color="000000" w:sz="4" w:space="0"/>
            </w:tcBorders>
            <w:shd w:val="clear" w:color="auto" w:fill="auto"/>
            <w:vAlign w:val="center"/>
          </w:tcPr>
          <w:p w14:paraId="65C52BE1">
            <w:pPr>
              <w:widowControl/>
              <w:jc w:val="center"/>
              <w:textAlignment w:val="center"/>
              <w:rPr>
                <w:rFonts w:ascii="宋体" w:hAnsi="宋体" w:cs="宋体"/>
                <w:b/>
                <w:bCs/>
                <w:sz w:val="20"/>
                <w:szCs w:val="20"/>
                <w:highlight w:val="none"/>
              </w:rPr>
            </w:pPr>
            <w:r>
              <w:rPr>
                <w:rFonts w:hint="eastAsia" w:ascii="宋体" w:hAnsi="宋体" w:cs="宋体"/>
                <w:b/>
                <w:bCs/>
                <w:kern w:val="0"/>
                <w:sz w:val="20"/>
                <w:szCs w:val="20"/>
                <w:highlight w:val="none"/>
              </w:rPr>
              <w:t>采购需求说明</w:t>
            </w:r>
          </w:p>
        </w:tc>
        <w:tc>
          <w:tcPr>
            <w:tcW w:w="5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96AA2C">
            <w:pPr>
              <w:widowControl/>
              <w:jc w:val="center"/>
              <w:textAlignment w:val="center"/>
              <w:rPr>
                <w:rFonts w:ascii="等线" w:hAnsi="等线" w:eastAsia="等线" w:cs="等线"/>
                <w:sz w:val="22"/>
                <w:szCs w:val="22"/>
                <w:highlight w:val="none"/>
              </w:rPr>
            </w:pPr>
            <w:r>
              <w:rPr>
                <w:rFonts w:hint="eastAsia" w:ascii="等线" w:hAnsi="等线" w:eastAsia="等线" w:cs="等线"/>
                <w:kern w:val="0"/>
                <w:sz w:val="22"/>
                <w:szCs w:val="22"/>
                <w:highlight w:val="none"/>
              </w:rPr>
              <w:t>数量</w:t>
            </w:r>
          </w:p>
        </w:tc>
        <w:tc>
          <w:tcPr>
            <w:tcW w:w="5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2AD941B">
            <w:pPr>
              <w:widowControl/>
              <w:jc w:val="center"/>
              <w:textAlignment w:val="center"/>
              <w:rPr>
                <w:rFonts w:ascii="等线" w:hAnsi="等线" w:eastAsia="等线" w:cs="等线"/>
                <w:sz w:val="22"/>
                <w:szCs w:val="22"/>
                <w:highlight w:val="none"/>
              </w:rPr>
            </w:pPr>
            <w:r>
              <w:rPr>
                <w:rFonts w:hint="eastAsia" w:ascii="等线" w:hAnsi="等线" w:eastAsia="等线" w:cs="等线"/>
                <w:kern w:val="0"/>
                <w:sz w:val="22"/>
                <w:szCs w:val="22"/>
                <w:highlight w:val="none"/>
              </w:rPr>
              <w:t>单位</w:t>
            </w:r>
          </w:p>
        </w:tc>
        <w:tc>
          <w:tcPr>
            <w:tcW w:w="9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C86538">
            <w:pPr>
              <w:widowControl/>
              <w:jc w:val="center"/>
              <w:textAlignment w:val="center"/>
              <w:rPr>
                <w:rFonts w:ascii="等线" w:hAnsi="等线" w:eastAsia="等线" w:cs="等线"/>
                <w:sz w:val="22"/>
                <w:szCs w:val="22"/>
                <w:highlight w:val="none"/>
              </w:rPr>
            </w:pPr>
            <w:r>
              <w:rPr>
                <w:rFonts w:hint="eastAsia" w:ascii="等线" w:hAnsi="等线" w:eastAsia="等线" w:cs="等线"/>
                <w:sz w:val="22"/>
                <w:szCs w:val="22"/>
                <w:highlight w:val="none"/>
              </w:rPr>
              <w:t>报价</w:t>
            </w:r>
          </w:p>
          <w:p w14:paraId="55A30852">
            <w:pPr>
              <w:widowControl/>
              <w:jc w:val="center"/>
              <w:textAlignment w:val="center"/>
              <w:rPr>
                <w:rFonts w:ascii="等线" w:hAnsi="等线" w:eastAsia="等线" w:cs="等线"/>
                <w:sz w:val="22"/>
                <w:szCs w:val="22"/>
                <w:highlight w:val="none"/>
              </w:rPr>
            </w:pPr>
            <w:r>
              <w:rPr>
                <w:rFonts w:hint="eastAsia" w:ascii="等线" w:hAnsi="等线" w:eastAsia="等线" w:cs="等线"/>
                <w:sz w:val="22"/>
                <w:szCs w:val="22"/>
                <w:highlight w:val="none"/>
              </w:rPr>
              <w:t>（万元）</w:t>
            </w:r>
          </w:p>
        </w:tc>
        <w:tc>
          <w:tcPr>
            <w:tcW w:w="7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576900">
            <w:pPr>
              <w:widowControl/>
              <w:jc w:val="center"/>
              <w:textAlignment w:val="center"/>
              <w:rPr>
                <w:rFonts w:ascii="等线" w:hAnsi="等线" w:eastAsia="等线" w:cs="等线"/>
                <w:sz w:val="22"/>
                <w:szCs w:val="22"/>
                <w:highlight w:val="none"/>
              </w:rPr>
            </w:pPr>
            <w:r>
              <w:rPr>
                <w:rFonts w:hint="eastAsia" w:ascii="等线" w:hAnsi="等线" w:eastAsia="等线" w:cs="等线"/>
                <w:sz w:val="22"/>
                <w:szCs w:val="22"/>
                <w:highlight w:val="none"/>
              </w:rPr>
              <w:t>响应情况</w:t>
            </w:r>
          </w:p>
        </w:tc>
      </w:tr>
      <w:tr w14:paraId="64634F88">
        <w:tblPrEx>
          <w:tblCellMar>
            <w:top w:w="0" w:type="dxa"/>
            <w:left w:w="108" w:type="dxa"/>
            <w:bottom w:w="0" w:type="dxa"/>
            <w:right w:w="108" w:type="dxa"/>
          </w:tblCellMar>
        </w:tblPrEx>
        <w:trPr>
          <w:trHeight w:val="865" w:hRule="atLeast"/>
        </w:trPr>
        <w:tc>
          <w:tcPr>
            <w:tcW w:w="843" w:type="dxa"/>
            <w:tcBorders>
              <w:top w:val="single" w:color="auto" w:sz="4" w:space="0"/>
              <w:left w:val="single" w:color="000000" w:sz="4" w:space="0"/>
              <w:bottom w:val="single" w:color="auto" w:sz="4" w:space="0"/>
              <w:right w:val="single" w:color="000000" w:sz="4" w:space="0"/>
            </w:tcBorders>
            <w:shd w:val="clear" w:color="auto" w:fill="auto"/>
            <w:vAlign w:val="center"/>
          </w:tcPr>
          <w:p w14:paraId="566C6F94">
            <w:pPr>
              <w:jc w:val="center"/>
              <w:rPr>
                <w:rFonts w:ascii="宋体" w:hAnsi="宋体" w:cs="宋体"/>
                <w:sz w:val="22"/>
                <w:highlight w:val="none"/>
              </w:rPr>
            </w:pPr>
            <w:bookmarkStart w:id="2" w:name="_Hlk129039039"/>
            <w:r>
              <w:rPr>
                <w:rFonts w:hint="eastAsia" w:ascii="宋体" w:hAnsi="宋体" w:cs="宋体"/>
                <w:sz w:val="22"/>
                <w:highlight w:val="none"/>
              </w:rPr>
              <w:t>1</w:t>
            </w:r>
          </w:p>
        </w:tc>
        <w:tc>
          <w:tcPr>
            <w:tcW w:w="1275" w:type="dxa"/>
            <w:tcBorders>
              <w:top w:val="single" w:color="auto" w:sz="4" w:space="0"/>
              <w:left w:val="single" w:color="000000" w:sz="4" w:space="0"/>
              <w:bottom w:val="single" w:color="auto" w:sz="4" w:space="0"/>
              <w:right w:val="single" w:color="000000" w:sz="4" w:space="0"/>
            </w:tcBorders>
            <w:shd w:val="clear" w:color="auto" w:fill="auto"/>
            <w:vAlign w:val="center"/>
          </w:tcPr>
          <w:p w14:paraId="673EBC24">
            <w:pPr>
              <w:widowControl/>
              <w:jc w:val="center"/>
              <w:textAlignment w:val="center"/>
              <w:rPr>
                <w:rFonts w:ascii="宋体" w:hAnsi="宋体" w:cs="宋体"/>
                <w:sz w:val="22"/>
                <w:highlight w:val="none"/>
              </w:rPr>
            </w:pPr>
            <w:r>
              <w:rPr>
                <w:rFonts w:hint="eastAsia" w:ascii="宋体" w:hAnsi="宋体" w:cs="宋体"/>
                <w:sz w:val="24"/>
                <w:szCs w:val="22"/>
                <w:highlight w:val="none"/>
              </w:rPr>
              <w:t>广西交通运输综合执法系统第三方评测服务</w:t>
            </w:r>
          </w:p>
        </w:tc>
        <w:tc>
          <w:tcPr>
            <w:tcW w:w="8789" w:type="dxa"/>
            <w:tcBorders>
              <w:top w:val="single" w:color="auto" w:sz="4" w:space="0"/>
              <w:left w:val="single" w:color="000000" w:sz="4" w:space="0"/>
              <w:bottom w:val="single" w:color="auto" w:sz="4" w:space="0"/>
              <w:right w:val="single" w:color="000000" w:sz="4" w:space="0"/>
            </w:tcBorders>
            <w:shd w:val="clear" w:color="auto" w:fill="auto"/>
          </w:tcPr>
          <w:p w14:paraId="00545A24">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一、网络安全等级保护测评</w:t>
            </w:r>
          </w:p>
          <w:p w14:paraId="34604BAA">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1、总体要求。依据《信息安全技术 网络安全等级保护测评要求》（GB/T 28448-2019）,对</w:t>
            </w:r>
            <w:r>
              <w:rPr>
                <w:rFonts w:hint="eastAsia" w:ascii="宋体" w:hAnsi="宋体" w:cs="宋体"/>
                <w:sz w:val="24"/>
                <w:highlight w:val="none"/>
                <w:lang w:val="en-US" w:eastAsia="zh-CN"/>
              </w:rPr>
              <w:t>完成</w:t>
            </w:r>
            <w:r>
              <w:rPr>
                <w:rFonts w:hint="eastAsia" w:ascii="宋体" w:hAnsi="宋体" w:cs="宋体"/>
                <w:sz w:val="24"/>
                <w:highlight w:val="none"/>
              </w:rPr>
              <w:t>信创适配迁移</w:t>
            </w:r>
            <w:r>
              <w:rPr>
                <w:rFonts w:hint="eastAsia" w:ascii="宋体" w:hAnsi="宋体" w:cs="宋体"/>
                <w:sz w:val="24"/>
                <w:highlight w:val="none"/>
                <w:lang w:eastAsia="zh-CN"/>
              </w:rPr>
              <w:t>的</w:t>
            </w:r>
            <w:r>
              <w:rPr>
                <w:rFonts w:hint="eastAsia" w:ascii="宋体" w:hAnsi="宋体" w:cs="宋体"/>
                <w:sz w:val="24"/>
                <w:highlight w:val="none"/>
              </w:rPr>
              <w:t>广西交通运输综合执法系统（二级）进行安全等级保护测评，指导、配合采购人完成安全整改</w:t>
            </w:r>
            <w:r>
              <w:rPr>
                <w:rFonts w:hint="eastAsia" w:ascii="宋体" w:hAnsi="宋体" w:cs="宋体"/>
                <w:sz w:val="24"/>
                <w:highlight w:val="none"/>
                <w:lang w:eastAsia="zh-CN"/>
              </w:rPr>
              <w:t>，</w:t>
            </w:r>
            <w:r>
              <w:rPr>
                <w:rFonts w:hint="eastAsia" w:ascii="宋体" w:hAnsi="宋体" w:cs="宋体"/>
                <w:sz w:val="24"/>
                <w:highlight w:val="none"/>
              </w:rPr>
              <w:t>并出具网络安全等级保护测评报告。</w:t>
            </w:r>
          </w:p>
          <w:p w14:paraId="67B88DE5">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2、标准依据</w:t>
            </w:r>
          </w:p>
          <w:p w14:paraId="004C4B51">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《计算机信息系统安全保护等级划分准则》（GB 17859-1999)</w:t>
            </w:r>
          </w:p>
          <w:p w14:paraId="6E233E78">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《信息安全技术 网络安全</w:t>
            </w:r>
            <w:r>
              <w:rPr>
                <w:rFonts w:hint="eastAsia" w:ascii="宋体" w:hAnsi="宋体" w:cs="宋体"/>
                <w:sz w:val="24"/>
                <w:highlight w:val="none"/>
                <w:lang w:val="en-US" w:eastAsia="zh-CN"/>
              </w:rPr>
              <w:t xml:space="preserve">  </w:t>
            </w:r>
            <w:r>
              <w:rPr>
                <w:rFonts w:hint="eastAsia" w:ascii="宋体" w:hAnsi="宋体" w:cs="宋体"/>
                <w:sz w:val="24"/>
                <w:highlight w:val="none"/>
              </w:rPr>
              <w:t>等级保护基本要求》（GB/T 22239-2019）</w:t>
            </w:r>
          </w:p>
          <w:p w14:paraId="4451ECD8">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《信息安全技术 网络安全等级保护测评要求》（GB/T 28448-2019）</w:t>
            </w:r>
          </w:p>
          <w:p w14:paraId="63FC30EC">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《信息安全技术 网络安全等级保护测评过程指南》（GB/T 28449-2018)</w:t>
            </w:r>
          </w:p>
          <w:p w14:paraId="733440C3">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《信息安全技术 网络安全等级保护设计技术要求》（GB/T 25070-2019）</w:t>
            </w:r>
          </w:p>
          <w:p w14:paraId="63ED14E0">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《信息安全技术 网络安全等级保护测试评估技术指南》（GB/T 36627-2018）</w:t>
            </w:r>
          </w:p>
          <w:p w14:paraId="4A664A1D">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3、测评内容</w:t>
            </w:r>
          </w:p>
          <w:p w14:paraId="362AC5DF">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安全管理制度和安全技术测评。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39984027">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安全扩展要求。本项目涉及等级保护对象涉及测评标准安全扩展要求（云计算、移动互联网、物联网、大数据、工业控制）方面内容的，供应商应该满足对被测评系统两个或以上网络环境的测评，需根据实际情况选定适用的安全扩展要求测评内容开展本项目测评工作。</w:t>
            </w:r>
          </w:p>
          <w:p w14:paraId="25EC01B8">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4、测评方法</w:t>
            </w:r>
          </w:p>
          <w:p w14:paraId="488A906E">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在测评实施过程中，应采用访谈、检查和测试、渗透测试等测评方法进行，并与国家相关规范及标准的要求相符。</w:t>
            </w:r>
          </w:p>
          <w:p w14:paraId="14B8E46D">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5、服务成果</w:t>
            </w:r>
          </w:p>
          <w:p w14:paraId="775EEF6B">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测评完成后，对相应系统出具符合网络安全等级保护制度2.0相关技术标准要求、国家网络安全等级保护管理部门规范要求且公安机关认可的《网络安全等级保护测评报告》，按采购人要求提供电子版、纸质版成果文件。</w:t>
            </w:r>
          </w:p>
          <w:p w14:paraId="74580DCD">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二、商用密码应用安全性评估</w:t>
            </w:r>
          </w:p>
          <w:p w14:paraId="5E4F3E96">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1、总体要求。依据《信息安全技术 信息系统密码应用基本要求》( GB / T 39786-2021)、《信息系统密码应用测评要求》、《信息系统密码应用测评过程指南》、《信息系统密码应用高风险判定指引》、《商用密码应用安全性评估量化评估规则》等标准、规范,对完成信创适配迁移的广西交通运输综合执法系统（二级）开展商用密码应用安全性评估,全面评估其是否符合商用密码应用安全性评估的要求。</w:t>
            </w:r>
          </w:p>
          <w:p w14:paraId="59454018">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本次密评旨在对受测系统的商用密码应用的合规性、正确性和有效性进行评估;根据实际评估结果,对受测系统进行安全风险分析并给出改进建议,出具《商用密码应用安全性评估报告》</w:t>
            </w:r>
            <w:r>
              <w:rPr>
                <w:rFonts w:hint="eastAsia" w:ascii="宋体" w:hAnsi="宋体" w:cs="宋体"/>
                <w:sz w:val="24"/>
                <w:highlight w:val="none"/>
                <w:lang w:eastAsia="zh-CN"/>
              </w:rPr>
              <w:t>，</w:t>
            </w:r>
            <w:r>
              <w:rPr>
                <w:rFonts w:hint="eastAsia" w:ascii="宋体" w:hAnsi="宋体" w:cs="宋体"/>
                <w:sz w:val="24"/>
                <w:highlight w:val="none"/>
                <w:lang w:val="en-US" w:eastAsia="zh-CN"/>
              </w:rPr>
              <w:t>并配合完成密评备案</w:t>
            </w:r>
            <w:r>
              <w:rPr>
                <w:rFonts w:hint="eastAsia" w:ascii="宋体" w:hAnsi="宋体" w:cs="宋体"/>
                <w:sz w:val="24"/>
                <w:highlight w:val="none"/>
              </w:rPr>
              <w:t>。</w:t>
            </w:r>
          </w:p>
          <w:p w14:paraId="177FA0B7">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2、评估依据</w:t>
            </w:r>
          </w:p>
          <w:p w14:paraId="52DEA8DF">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（1）评估过程中主要依据的标准或规范性文件</w:t>
            </w:r>
          </w:p>
          <w:p w14:paraId="558B4944">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《信息安全技术 信息系统密码应用基本要求》（GB/T 39786-2021）</w:t>
            </w:r>
          </w:p>
          <w:p w14:paraId="1AE6C7FE">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《信息安全技术 信息系统密码应用测评要求》（GB/T 43206-2023）</w:t>
            </w:r>
          </w:p>
          <w:p w14:paraId="2A3979CE">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《信息系统密码应用测评过程指南》（GM/T 0116-2021）</w:t>
            </w:r>
          </w:p>
          <w:p w14:paraId="228CA676">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《政务信息系统密码应用与安全性评估工作指南》</w:t>
            </w:r>
          </w:p>
          <w:p w14:paraId="73316FE1">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《信息系统密码应用高风险判定指引》</w:t>
            </w:r>
          </w:p>
          <w:p w14:paraId="0D2E74F7">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《商用密码应用安全性评估量化评估规则》</w:t>
            </w:r>
          </w:p>
          <w:p w14:paraId="429449C8">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（2）参考标准及规范</w:t>
            </w:r>
          </w:p>
          <w:p w14:paraId="2F7A567F">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评估过程中其它参考性标准或规范性文件:</w:t>
            </w:r>
          </w:p>
          <w:p w14:paraId="0E2C1A8C">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GM/T 0024-2023《SSL VPN技术规范》</w:t>
            </w:r>
          </w:p>
          <w:p w14:paraId="16121E0D">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GM/T 0029-2014《签名验签服务器技术规范》</w:t>
            </w:r>
          </w:p>
          <w:p w14:paraId="4C6D47B0">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3、服务要求</w:t>
            </w:r>
          </w:p>
          <w:p w14:paraId="3B624493">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包含但不限于如下任务要求：</w:t>
            </w:r>
          </w:p>
          <w:p w14:paraId="4DF2931A">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1）开展密码测评工作，并依据相关文件模板，对测评范围内的信息系统出具符合国家密码管理局和当地密码管理部门要求的密评报告；</w:t>
            </w:r>
          </w:p>
          <w:p w14:paraId="04D18BBE">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2）根据测评结果，给出整改意见，指导建设单位对被测系统暴露出的密码应用安全问题进行整改；</w:t>
            </w:r>
          </w:p>
          <w:p w14:paraId="07EC03BD">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3）根据国家密码管理局和当地密码管理部门关于规范商用密码应用安全性评估结果备案工作的通知，协助准备备案资料并完成密评备案工作；</w:t>
            </w:r>
          </w:p>
          <w:p w14:paraId="76D443A0">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4）协助采购人完成与密评相关的其他工作。</w:t>
            </w:r>
          </w:p>
          <w:p w14:paraId="12198CEB">
            <w:pPr>
              <w:pStyle w:val="23"/>
              <w:numPr>
                <w:ilvl w:val="255"/>
                <w:numId w:val="0"/>
              </w:numPr>
              <w:ind w:firstLine="480" w:firstLineChars="200"/>
              <w:rPr>
                <w:rFonts w:hint="eastAsia" w:ascii="宋体" w:hAnsi="宋体" w:cs="宋体"/>
                <w:sz w:val="24"/>
                <w:highlight w:val="none"/>
                <w:lang w:val="en-US" w:eastAsia="zh-CN"/>
              </w:rPr>
            </w:pPr>
            <w:r>
              <w:rPr>
                <w:rFonts w:hint="eastAsia" w:ascii="宋体" w:hAnsi="宋体" w:cs="宋体"/>
                <w:sz w:val="24"/>
                <w:highlight w:val="none"/>
              </w:rPr>
              <w:t>4、评估</w:t>
            </w:r>
            <w:r>
              <w:rPr>
                <w:rFonts w:hint="eastAsia" w:ascii="宋体" w:hAnsi="宋体" w:cs="宋体"/>
                <w:sz w:val="24"/>
                <w:highlight w:val="none"/>
                <w:lang w:val="en-US" w:eastAsia="zh-CN"/>
              </w:rPr>
              <w:t>流程</w:t>
            </w:r>
          </w:p>
          <w:p w14:paraId="26502760">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密码应用安全性评估过程分为四个基本测评活动：测评准备活动、方案编制活动、现场测评活动、分析与报告编制活动。供应商和采购人之间的沟通与洽谈贯穿整个密码应用安全性评估过程。</w:t>
            </w:r>
          </w:p>
          <w:p w14:paraId="5D8943C8">
            <w:pPr>
              <w:pStyle w:val="23"/>
              <w:numPr>
                <w:ilvl w:val="0"/>
                <w:numId w:val="1"/>
              </w:numPr>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评测内容</w:t>
            </w:r>
          </w:p>
          <w:p w14:paraId="1A0B41B9">
            <w:pPr>
              <w:pStyle w:val="23"/>
              <w:numPr>
                <w:ilvl w:val="0"/>
                <w:numId w:val="0"/>
              </w:numPr>
              <w:ind w:firstLine="480" w:firstLineChars="200"/>
              <w:rPr>
                <w:rFonts w:hint="eastAsia" w:ascii="宋体" w:hAnsi="宋体" w:cs="宋体"/>
                <w:sz w:val="24"/>
                <w:highlight w:val="none"/>
              </w:rPr>
            </w:pPr>
            <w:r>
              <w:rPr>
                <w:rFonts w:hint="eastAsia" w:ascii="宋体" w:hAnsi="宋体" w:cs="宋体"/>
                <w:sz w:val="24"/>
                <w:highlight w:val="none"/>
              </w:rPr>
              <w:t>系统评估：及时发现系统脆弱性，识别变化的风险，了解系统安全状况。对照密码应用方案对系统开展评估。根据被评估对象的实际情况、所属行业及系统使用的密码产品情况，选择并确定测评依据。在系统真实环境下进行测评，以评估密码保障是否安全有效，密码使用是否合规、正确、有效。并通过测评发现系统存在的安全隐患和风险，提出可行性完善建议。</w:t>
            </w:r>
          </w:p>
          <w:p w14:paraId="72F6B31B">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密码技术应用测评：物理安全密码测评、网络安全密码测评、主机安全密码测评、应用安全密码测评、数据安全及备份恢复密码测评。测评验证不同安全等级信息系统的商用密码应用是否达到具有相应安全等级的安全保护能力，是否满足相应安全等级的保护要求。</w:t>
            </w:r>
          </w:p>
          <w:p w14:paraId="44D3AF67">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密钥管理测评：检测信息系统密钥管理各环节，包括对密钥的生成、存储、分发、导入、导出、使用、备份、恢复、归档与销毁等环节进行管理和策略制定的全过程是否符合要求。</w:t>
            </w:r>
          </w:p>
          <w:p w14:paraId="47F194D2">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安全管理测评：对制度、人员、实施和应急等四个方面安全管理的测评，并协助完善商用密码应用安全性管理制度，协助完善密码相关系统运维管理制度。</w:t>
            </w:r>
          </w:p>
          <w:p w14:paraId="0A1D05AE">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、服务成果</w:t>
            </w:r>
          </w:p>
          <w:p w14:paraId="2EF96A9B">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针对被评估系统编制密码应用安全性评估报告，报告按照国家密码管理局要求包含的内容编制或参考模板编制。报告中应协助被评估单位认清风险，查找漏洞，找出差距，提出有针对性的加强完善密码安全管理和防护建议，出具《商用密码应用安全性评估报告》，按采购人要求提供电子版、纸质版成果文件。</w:t>
            </w:r>
          </w:p>
          <w:p w14:paraId="37536B34">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三、第三方软件测试服务</w:t>
            </w:r>
          </w:p>
          <w:p w14:paraId="365ABE74">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1、服务内容</w:t>
            </w:r>
          </w:p>
          <w:p w14:paraId="41DCC2D3">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依据国家相关法律法规、标准和行为规范，对软件平台进行系统功能、性能等评估和测试，验证工程是否达到建设单位的建设需求，并对测试中发现的缺陷和不足，提出改进意见，以完善系统功能和性能；同时，对工程项目中的相关文档进行审核，并提出修改意见，便于信息系统的使用、维护。</w:t>
            </w:r>
          </w:p>
          <w:p w14:paraId="1478F9EC">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2、总体要求</w:t>
            </w:r>
          </w:p>
          <w:p w14:paraId="45A0197F">
            <w:pPr>
              <w:pStyle w:val="23"/>
              <w:numPr>
                <w:ilvl w:val="255"/>
                <w:numId w:val="0"/>
              </w:numPr>
              <w:ind w:firstLine="480" w:firstLineChars="200"/>
              <w:rPr>
                <w:rFonts w:hint="eastAsia" w:ascii="宋体" w:hAnsi="宋体" w:cs="宋体"/>
                <w:sz w:val="24"/>
                <w:highlight w:val="none"/>
                <w:lang w:eastAsia="zh-CN"/>
              </w:rPr>
            </w:pPr>
            <w:r>
              <w:rPr>
                <w:rFonts w:hint="eastAsia" w:ascii="宋体" w:hAnsi="宋体" w:cs="宋体"/>
                <w:sz w:val="24"/>
                <w:highlight w:val="none"/>
              </w:rPr>
              <w:t>对广西壮族自治区交通运输综合行政执法局的广西交通运输综合执法系统（二级）进行软件功能测试、性能测试</w:t>
            </w:r>
            <w:r>
              <w:rPr>
                <w:rFonts w:hint="eastAsia" w:ascii="宋体" w:hAnsi="宋体" w:cs="宋体"/>
                <w:sz w:val="24"/>
                <w:highlight w:val="none"/>
                <w:lang w:val="en-US" w:eastAsia="zh-CN"/>
              </w:rPr>
              <w:t>和</w:t>
            </w:r>
            <w:r>
              <w:rPr>
                <w:rFonts w:hint="eastAsia" w:ascii="宋体" w:hAnsi="宋体" w:cs="宋体"/>
                <w:sz w:val="24"/>
                <w:highlight w:val="none"/>
              </w:rPr>
              <w:t>源代码检测</w:t>
            </w:r>
            <w:r>
              <w:rPr>
                <w:rFonts w:hint="eastAsia" w:ascii="宋体" w:hAnsi="宋体" w:cs="宋体"/>
                <w:sz w:val="24"/>
                <w:highlight w:val="none"/>
                <w:lang w:eastAsia="zh-CN"/>
              </w:rPr>
              <w:t>。</w:t>
            </w:r>
          </w:p>
          <w:p w14:paraId="0406F6A4">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3、依据标准</w:t>
            </w:r>
          </w:p>
          <w:p w14:paraId="7CBC268A">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GB/T 25000.51-2016《系统与软件工程 系统与软件质量要求和评价(SQuaRE) 第51 部分:就绪可用软件产品(RUSP) 的质量要求和测试细则》</w:t>
            </w:r>
          </w:p>
          <w:p w14:paraId="1C6A13C2">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GB/T34944-2017《Java·语言源代码漏洞测试规范》</w:t>
            </w:r>
          </w:p>
          <w:p w14:paraId="4998BCD7">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SJ/T11683-2017《Java·语言源代码缺陷控制与测试指南》</w:t>
            </w:r>
          </w:p>
          <w:p w14:paraId="6B776369">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系统相关开发建设文档</w:t>
            </w:r>
          </w:p>
          <w:p w14:paraId="1C5D143B">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4、测试方法</w:t>
            </w:r>
          </w:p>
          <w:p w14:paraId="33839B27">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功能测试最少应采用边界值、等价划分等方法。</w:t>
            </w:r>
          </w:p>
          <w:p w14:paraId="21AF8C63">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5、服务成果</w:t>
            </w:r>
          </w:p>
          <w:p w14:paraId="410B85AA">
            <w:pPr>
              <w:pStyle w:val="23"/>
              <w:numPr>
                <w:ilvl w:val="255"/>
                <w:numId w:val="0"/>
              </w:numPr>
              <w:ind w:firstLine="480" w:firstLineChars="200"/>
              <w:rPr>
                <w:rFonts w:hint="eastAsia" w:ascii="宋体" w:hAnsi="宋体" w:cs="宋体"/>
                <w:sz w:val="24"/>
                <w:highlight w:val="none"/>
              </w:rPr>
            </w:pPr>
            <w:r>
              <w:rPr>
                <w:rFonts w:hint="eastAsia" w:ascii="宋体" w:hAnsi="宋体" w:cs="宋体"/>
                <w:sz w:val="24"/>
                <w:highlight w:val="none"/>
              </w:rPr>
              <w:t>出具的第三方测试报告应包含软件可靠性、易用性、可移植性、功能及用户文档测试数据及结果，</w:t>
            </w:r>
            <w:r>
              <w:rPr>
                <w:rFonts w:hint="eastAsia" w:ascii="宋体" w:hAnsi="宋体" w:cs="宋体"/>
                <w:sz w:val="24"/>
                <w:highlight w:val="none"/>
                <w:lang w:val="en-US" w:eastAsia="zh-CN"/>
              </w:rPr>
              <w:t>并根据</w:t>
            </w:r>
            <w:r>
              <w:rPr>
                <w:rFonts w:hint="eastAsia" w:ascii="宋体" w:hAnsi="宋体" w:cs="宋体"/>
                <w:sz w:val="24"/>
                <w:highlight w:val="none"/>
              </w:rPr>
              <w:t>被测系统的源代码安全漏洞及缺陷的检测，</w:t>
            </w:r>
            <w:r>
              <w:rPr>
                <w:rFonts w:hint="eastAsia" w:ascii="宋体" w:hAnsi="宋体" w:cs="宋体"/>
                <w:sz w:val="24"/>
                <w:highlight w:val="none"/>
                <w:lang w:val="en-US" w:eastAsia="zh-CN"/>
              </w:rPr>
              <w:t>出具</w:t>
            </w:r>
            <w:r>
              <w:rPr>
                <w:rFonts w:hint="eastAsia" w:ascii="宋体" w:hAnsi="宋体" w:cs="宋体"/>
                <w:sz w:val="24"/>
                <w:highlight w:val="none"/>
              </w:rPr>
              <w:t>源代码检测报告</w:t>
            </w:r>
            <w:r>
              <w:rPr>
                <w:rFonts w:hint="eastAsia" w:ascii="宋体" w:hAnsi="宋体" w:cs="宋体"/>
                <w:sz w:val="24"/>
                <w:highlight w:val="none"/>
                <w:lang w:eastAsia="zh-CN"/>
              </w:rPr>
              <w:t>，</w:t>
            </w:r>
            <w:r>
              <w:rPr>
                <w:rFonts w:hint="eastAsia" w:ascii="宋体" w:hAnsi="宋体" w:cs="宋体"/>
                <w:sz w:val="24"/>
                <w:highlight w:val="none"/>
              </w:rPr>
              <w:t>按采购人要求提供电子版、纸质版成果文件。</w:t>
            </w:r>
          </w:p>
          <w:p w14:paraId="2547FA7D">
            <w:pPr>
              <w:pStyle w:val="23"/>
              <w:numPr>
                <w:ilvl w:val="255"/>
                <w:numId w:val="0"/>
              </w:numPr>
              <w:ind w:firstLine="0" w:firstLineChars="0"/>
              <w:rPr>
                <w:rFonts w:ascii="宋体" w:hAnsi="宋体" w:cs="宋体"/>
                <w:sz w:val="24"/>
                <w:highlight w:val="none"/>
              </w:rPr>
            </w:pPr>
          </w:p>
        </w:tc>
        <w:tc>
          <w:tcPr>
            <w:tcW w:w="5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C4F444A">
            <w:pPr>
              <w:jc w:val="center"/>
              <w:textAlignment w:val="center"/>
              <w:rPr>
                <w:rFonts w:ascii="等线" w:hAnsi="等线" w:eastAsia="等线" w:cs="等线"/>
                <w:kern w:val="0"/>
                <w:sz w:val="22"/>
                <w:szCs w:val="22"/>
                <w:highlight w:val="none"/>
              </w:rPr>
            </w:pPr>
            <w:r>
              <w:rPr>
                <w:rFonts w:hint="eastAsia" w:ascii="等线" w:hAnsi="等线" w:eastAsia="等线" w:cs="等线"/>
                <w:kern w:val="0"/>
                <w:sz w:val="22"/>
                <w:szCs w:val="22"/>
                <w:highlight w:val="none"/>
              </w:rPr>
              <w:t>1</w:t>
            </w:r>
          </w:p>
        </w:tc>
        <w:tc>
          <w:tcPr>
            <w:tcW w:w="567" w:type="dxa"/>
            <w:tcBorders>
              <w:top w:val="single" w:color="auto" w:sz="4" w:space="0"/>
              <w:left w:val="single" w:color="000000" w:sz="4" w:space="0"/>
              <w:bottom w:val="single" w:color="auto" w:sz="4" w:space="0"/>
              <w:right w:val="single" w:color="000000" w:sz="4" w:space="0"/>
            </w:tcBorders>
            <w:shd w:val="clear" w:color="auto" w:fill="auto"/>
            <w:vAlign w:val="center"/>
          </w:tcPr>
          <w:p w14:paraId="347A0936">
            <w:pPr>
              <w:widowControl/>
              <w:jc w:val="center"/>
              <w:textAlignment w:val="center"/>
              <w:rPr>
                <w:rFonts w:ascii="等线" w:hAnsi="等线" w:eastAsia="等线" w:cs="等线"/>
                <w:kern w:val="0"/>
                <w:sz w:val="22"/>
                <w:szCs w:val="22"/>
                <w:highlight w:val="none"/>
              </w:rPr>
            </w:pPr>
            <w:r>
              <w:rPr>
                <w:rFonts w:hint="eastAsia" w:ascii="等线" w:hAnsi="等线" w:eastAsia="等线" w:cs="等线"/>
                <w:kern w:val="0"/>
                <w:sz w:val="22"/>
                <w:szCs w:val="22"/>
                <w:highlight w:val="none"/>
              </w:rPr>
              <w:t>项</w:t>
            </w:r>
          </w:p>
        </w:tc>
        <w:tc>
          <w:tcPr>
            <w:tcW w:w="99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1E88914">
            <w:pPr>
              <w:widowControl/>
              <w:jc w:val="center"/>
              <w:textAlignment w:val="center"/>
              <w:rPr>
                <w:rFonts w:ascii="等线" w:hAnsi="等线" w:eastAsia="等线" w:cs="等线"/>
                <w:kern w:val="0"/>
                <w:sz w:val="22"/>
                <w:szCs w:val="22"/>
                <w:highlight w:val="none"/>
              </w:rPr>
            </w:pPr>
          </w:p>
        </w:tc>
        <w:tc>
          <w:tcPr>
            <w:tcW w:w="70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7D2FA9E">
            <w:pPr>
              <w:widowControl/>
              <w:jc w:val="center"/>
              <w:textAlignment w:val="center"/>
              <w:rPr>
                <w:rFonts w:ascii="等线" w:hAnsi="等线" w:eastAsia="等线" w:cs="等线"/>
                <w:kern w:val="0"/>
                <w:sz w:val="22"/>
                <w:szCs w:val="22"/>
                <w:highlight w:val="none"/>
              </w:rPr>
            </w:pPr>
          </w:p>
        </w:tc>
      </w:tr>
      <w:bookmarkEnd w:id="2"/>
      <w:tr w14:paraId="1C2A562E">
        <w:tblPrEx>
          <w:tblCellMar>
            <w:top w:w="0" w:type="dxa"/>
            <w:left w:w="108" w:type="dxa"/>
            <w:bottom w:w="0" w:type="dxa"/>
            <w:right w:w="108" w:type="dxa"/>
          </w:tblCellMar>
        </w:tblPrEx>
        <w:trPr>
          <w:trHeight w:val="241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D123">
            <w:pPr>
              <w:widowControl/>
              <w:jc w:val="center"/>
              <w:textAlignment w:val="bottom"/>
              <w:rPr>
                <w:rFonts w:ascii="等线" w:hAnsi="等线" w:eastAsia="等线" w:cs="等线"/>
                <w:kern w:val="0"/>
                <w:sz w:val="22"/>
                <w:szCs w:val="22"/>
                <w:highlight w:val="none"/>
              </w:rPr>
            </w:pPr>
          </w:p>
          <w:p w14:paraId="6699D846">
            <w:pPr>
              <w:jc w:val="center"/>
              <w:rPr>
                <w:rFonts w:ascii="等线" w:hAnsi="等线" w:eastAsia="等线" w:cs="等线"/>
                <w:sz w:val="22"/>
                <w:szCs w:val="22"/>
                <w:highlight w:val="none"/>
              </w:rPr>
            </w:pPr>
            <w:r>
              <w:rPr>
                <w:rFonts w:hint="eastAsia" w:ascii="宋体" w:hAnsi="宋体" w:cs="宋体"/>
                <w:sz w:val="24"/>
                <w:szCs w:val="22"/>
                <w:highlight w:val="none"/>
              </w:rPr>
              <w:t>商务要求</w:t>
            </w:r>
          </w:p>
        </w:tc>
        <w:tc>
          <w:tcPr>
            <w:tcW w:w="1289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3369">
            <w:pPr>
              <w:pStyle w:val="23"/>
              <w:numPr>
                <w:ilvl w:val="255"/>
                <w:numId w:val="0"/>
              </w:numPr>
              <w:spacing w:line="300" w:lineRule="exact"/>
              <w:ind w:firstLine="480" w:firstLineChars="200"/>
              <w:rPr>
                <w:rFonts w:ascii="宋体" w:hAnsi="宋体" w:cs="宋体"/>
                <w:sz w:val="24"/>
                <w:highlight w:val="none"/>
              </w:rPr>
            </w:pPr>
            <w:r>
              <w:rPr>
                <w:rFonts w:hint="eastAsia" w:ascii="宋体" w:hAnsi="宋体" w:cs="宋体"/>
                <w:sz w:val="24"/>
                <w:highlight w:val="none"/>
              </w:rPr>
              <w:t>一、</w:t>
            </w:r>
            <w:r>
              <w:rPr>
                <w:rFonts w:hint="eastAsia" w:ascii="宋体" w:hAnsi="宋体" w:cs="宋体"/>
                <w:sz w:val="24"/>
                <w:highlight w:val="none"/>
                <w:lang w:val="en-US" w:eastAsia="zh-CN"/>
              </w:rPr>
              <w:t>报价方</w:t>
            </w:r>
            <w:r>
              <w:rPr>
                <w:rFonts w:hint="eastAsia" w:ascii="宋体" w:hAnsi="宋体" w:cs="宋体"/>
                <w:sz w:val="24"/>
                <w:highlight w:val="none"/>
              </w:rPr>
              <w:t>必须在报价文件中提供完整的服务方案和实施方案。</w:t>
            </w:r>
          </w:p>
          <w:p w14:paraId="658E21D2">
            <w:pPr>
              <w:pStyle w:val="23"/>
              <w:numPr>
                <w:ilvl w:val="255"/>
                <w:numId w:val="0"/>
              </w:numPr>
              <w:spacing w:line="300" w:lineRule="exact"/>
              <w:ind w:firstLine="480" w:firstLineChars="200"/>
              <w:rPr>
                <w:rFonts w:hint="eastAsia" w:ascii="宋体" w:hAnsi="宋体" w:cs="宋体"/>
                <w:sz w:val="24"/>
                <w:highlight w:val="none"/>
              </w:rPr>
            </w:pPr>
            <w:r>
              <w:rPr>
                <w:rFonts w:hint="eastAsia" w:ascii="宋体" w:hAnsi="宋体" w:cs="宋体"/>
                <w:sz w:val="24"/>
                <w:highlight w:val="none"/>
              </w:rPr>
              <w:t>二、服务范围：广西</w:t>
            </w:r>
            <w:r>
              <w:rPr>
                <w:rFonts w:hint="eastAsia" w:ascii="宋体" w:hAnsi="宋体" w:cs="宋体"/>
                <w:sz w:val="24"/>
                <w:highlight w:val="none"/>
                <w:lang w:val="en-US" w:eastAsia="zh-CN"/>
              </w:rPr>
              <w:t>南宁市</w:t>
            </w:r>
            <w:r>
              <w:rPr>
                <w:rFonts w:hint="eastAsia" w:ascii="宋体" w:hAnsi="宋体" w:cs="宋体"/>
                <w:sz w:val="24"/>
                <w:highlight w:val="none"/>
              </w:rPr>
              <w:t>内指定地点。</w:t>
            </w:r>
          </w:p>
          <w:p w14:paraId="5B89E95B">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三、服务要求：</w:t>
            </w:r>
          </w:p>
          <w:p w14:paraId="58F3D733">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1.成交方须与采购方签订保密合同，承诺对采购人数据、文档、图片等资料保密，如供应商泄露采购人资料，采购人根据国家保密法规定，依法追究供应商法律责任。</w:t>
            </w:r>
          </w:p>
          <w:p w14:paraId="0BC09FDB">
            <w:pPr>
              <w:pStyle w:val="23"/>
              <w:numPr>
                <w:ilvl w:val="255"/>
                <w:numId w:val="0"/>
              </w:numPr>
              <w:spacing w:line="3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2.成交方拟投入本项目服务人员必须签订采购人提供的保密协议，离岗时不得带走相关运维文档、业务数据等，不得泄露采购人的工作机密。</w:t>
            </w:r>
          </w:p>
          <w:p w14:paraId="04D132FF">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四</w:t>
            </w:r>
            <w:r>
              <w:rPr>
                <w:rFonts w:hint="eastAsia" w:ascii="宋体" w:hAnsi="宋体" w:cs="宋体"/>
                <w:sz w:val="24"/>
                <w:highlight w:val="none"/>
              </w:rPr>
              <w:t>、响应</w:t>
            </w:r>
            <w:r>
              <w:rPr>
                <w:rFonts w:hint="eastAsia" w:ascii="宋体" w:hAnsi="宋体" w:cs="宋体"/>
                <w:sz w:val="24"/>
                <w:highlight w:val="none"/>
                <w:lang w:val="en-US" w:eastAsia="zh-CN"/>
              </w:rPr>
              <w:t>要求：</w:t>
            </w:r>
          </w:p>
          <w:p w14:paraId="0BE91A02">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1.报价方应承诺投入本项目技术团队不少于3人。</w:t>
            </w:r>
          </w:p>
          <w:p w14:paraId="6DB22B00">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2.服务期：签订合同后，根据广西交通运输综合执法系统改造进度，自采购人向成交方发出入场通知书之日起，6个月内完成合同服务内容。</w:t>
            </w:r>
          </w:p>
          <w:p w14:paraId="20EC1F59">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3.服务期内，成交方提供政策、技术、制度等方面的的技术支持服务，在测评期间发生系统故障的，协助排查故障原因和修复。</w:t>
            </w:r>
          </w:p>
          <w:p w14:paraId="4E6BDC3C">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4.报价方在报价书中必须明确承诺达到用户的服务响应要求。</w:t>
            </w:r>
          </w:p>
          <w:p w14:paraId="5AEE767B">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5.报价方的报价为完成采购人指定服务内容的包干价，包含但不限于：</w:t>
            </w:r>
          </w:p>
          <w:p w14:paraId="39A8A65E">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（1）服务价格：包括拟投入本项目的人工费、交通费、住宿费、差旅费、伙食费；</w:t>
            </w:r>
          </w:p>
          <w:p w14:paraId="4C5D3AA6">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（2）完成服务内容所需的软硬件设备、专用工具的价格；</w:t>
            </w:r>
          </w:p>
          <w:p w14:paraId="790AD379">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（3）技术支持、售后服务费；</w:t>
            </w:r>
          </w:p>
          <w:p w14:paraId="55B010D2">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（4）采购代理服务费、保险费和各项税金。</w:t>
            </w:r>
          </w:p>
          <w:p w14:paraId="3645C3A9">
            <w:pPr>
              <w:pStyle w:val="23"/>
              <w:numPr>
                <w:ilvl w:val="255"/>
                <w:numId w:val="0"/>
              </w:numPr>
              <w:spacing w:line="300" w:lineRule="exact"/>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（5）包括项目整体验收各项费用。</w:t>
            </w:r>
          </w:p>
          <w:p w14:paraId="013F44B3">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6.服务期过后，报价方提供免费电话咨询服务，采购方需要继续由报价方提供售后服务的，该报价人应以优惠价格提供售后服务。</w:t>
            </w:r>
          </w:p>
          <w:p w14:paraId="5C313501">
            <w:pPr>
              <w:pStyle w:val="23"/>
              <w:numPr>
                <w:ilvl w:val="255"/>
                <w:numId w:val="0"/>
              </w:numPr>
              <w:spacing w:line="30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7.因成交供应商的原因，导致采购方系统出现安全事故，由成交方承担造成的所有损失。</w:t>
            </w:r>
          </w:p>
          <w:p w14:paraId="2C9874E8">
            <w:pPr>
              <w:pStyle w:val="23"/>
              <w:numPr>
                <w:ilvl w:val="255"/>
                <w:numId w:val="0"/>
              </w:numPr>
              <w:spacing w:line="300" w:lineRule="exact"/>
              <w:ind w:firstLine="482" w:firstLineChars="200"/>
              <w:rPr>
                <w:rFonts w:ascii="等线" w:hAnsi="等线" w:eastAsia="等线" w:cs="等线"/>
                <w:b/>
                <w:bCs/>
                <w:kern w:val="0"/>
                <w:sz w:val="22"/>
                <w:highlight w:val="none"/>
              </w:rPr>
            </w:pPr>
            <w:r>
              <w:rPr>
                <w:rFonts w:hint="eastAsia" w:ascii="宋体" w:hAnsi="宋体" w:cs="宋体"/>
                <w:b/>
                <w:bCs/>
                <w:sz w:val="24"/>
                <w:highlight w:val="none"/>
              </w:rPr>
              <w:t>四、报价人在报价书中必须明确响应本项目所有商务和技术要求，性能技术参数达到或优于需求说明，否则报价无效。</w:t>
            </w:r>
          </w:p>
        </w:tc>
      </w:tr>
    </w:tbl>
    <w:p w14:paraId="4E674934">
      <w:pPr>
        <w:ind w:firstLine="1120" w:firstLineChars="400"/>
        <w:rPr>
          <w:rFonts w:ascii="仿宋" w:hAnsi="仿宋" w:eastAsia="仿宋"/>
          <w:sz w:val="28"/>
          <w:szCs w:val="28"/>
          <w:highlight w:val="none"/>
        </w:rPr>
        <w:sectPr>
          <w:pgSz w:w="16838" w:h="11906" w:orient="landscape"/>
          <w:pgMar w:top="1800" w:right="1440" w:bottom="1800" w:left="1440" w:header="851" w:footer="992" w:gutter="0"/>
          <w:cols w:space="720" w:num="1"/>
          <w:docGrid w:type="lines" w:linePitch="312" w:charSpace="0"/>
        </w:sectPr>
      </w:pPr>
    </w:p>
    <w:p w14:paraId="60DE62DC">
      <w:pPr>
        <w:pStyle w:val="2"/>
        <w:spacing w:before="0" w:after="0"/>
        <w:ind w:firstLine="562" w:firstLineChars="200"/>
        <w:rPr>
          <w:rFonts w:ascii="仿宋" w:hAnsi="仿宋" w:eastAsia="仿宋"/>
          <w:b w:val="0"/>
          <w:bCs w:val="0"/>
          <w:sz w:val="28"/>
          <w:szCs w:val="28"/>
          <w:highlight w:val="none"/>
        </w:rPr>
      </w:pPr>
      <w:r>
        <w:rPr>
          <w:rFonts w:ascii="仿宋" w:hAnsi="仿宋" w:eastAsia="仿宋"/>
          <w:sz w:val="28"/>
          <w:szCs w:val="28"/>
          <w:highlight w:val="none"/>
        </w:rPr>
        <w:t>三、商务条款</w:t>
      </w:r>
    </w:p>
    <w:p w14:paraId="402F9D89">
      <w:pPr>
        <w:ind w:firstLine="560" w:firstLineChars="200"/>
        <w:rPr>
          <w:highlight w:val="none"/>
        </w:rPr>
      </w:pPr>
      <w:r>
        <w:rPr>
          <w:rFonts w:ascii="仿宋" w:hAnsi="仿宋" w:eastAsia="仿宋"/>
          <w:sz w:val="28"/>
          <w:szCs w:val="28"/>
          <w:highlight w:val="none"/>
        </w:rPr>
        <w:t>（一）</w:t>
      </w:r>
      <w:r>
        <w:rPr>
          <w:rFonts w:hint="eastAsia" w:ascii="仿宋" w:hAnsi="仿宋" w:eastAsia="仿宋"/>
          <w:sz w:val="28"/>
          <w:szCs w:val="28"/>
          <w:highlight w:val="none"/>
        </w:rPr>
        <w:t>报价</w:t>
      </w:r>
      <w:r>
        <w:rPr>
          <w:rFonts w:ascii="仿宋" w:hAnsi="仿宋" w:eastAsia="仿宋"/>
          <w:sz w:val="28"/>
          <w:szCs w:val="28"/>
          <w:highlight w:val="none"/>
        </w:rPr>
        <w:t>方须有合法的经营资格，必须提供下列有效证照材料：营业执照、法人身份证（复印件）以及</w:t>
      </w:r>
      <w:r>
        <w:rPr>
          <w:rFonts w:hint="eastAsia" w:ascii="仿宋" w:hAnsi="仿宋" w:eastAsia="仿宋"/>
          <w:sz w:val="28"/>
          <w:szCs w:val="28"/>
          <w:highlight w:val="none"/>
        </w:rPr>
        <w:t>报价</w:t>
      </w:r>
      <w:r>
        <w:rPr>
          <w:rFonts w:ascii="仿宋" w:hAnsi="仿宋" w:eastAsia="仿宋"/>
          <w:sz w:val="28"/>
          <w:szCs w:val="28"/>
          <w:highlight w:val="none"/>
        </w:rPr>
        <w:t>方认为需要提供的资料</w:t>
      </w:r>
      <w:r>
        <w:rPr>
          <w:rFonts w:hint="eastAsia" w:ascii="仿宋" w:hAnsi="仿宋" w:eastAsia="仿宋"/>
          <w:sz w:val="28"/>
          <w:szCs w:val="28"/>
          <w:highlight w:val="none"/>
        </w:rPr>
        <w:t>,</w:t>
      </w:r>
      <w:r>
        <w:rPr>
          <w:rFonts w:hint="eastAsia" w:ascii="仿宋" w:hAnsi="仿宋" w:eastAsia="仿宋"/>
          <w:b/>
          <w:bCs/>
          <w:sz w:val="28"/>
          <w:szCs w:val="28"/>
          <w:highlight w:val="none"/>
        </w:rPr>
        <w:t>相关复印件需签“与原件相符”并盖单位公章（下同）</w:t>
      </w:r>
      <w:r>
        <w:rPr>
          <w:rFonts w:ascii="仿宋" w:hAnsi="仿宋" w:eastAsia="仿宋"/>
          <w:b/>
          <w:bCs/>
          <w:sz w:val="28"/>
          <w:szCs w:val="28"/>
          <w:highlight w:val="none"/>
        </w:rPr>
        <w:t>。</w:t>
      </w:r>
    </w:p>
    <w:p w14:paraId="2DEE2D58">
      <w:pPr>
        <w:numPr>
          <w:ilvl w:val="0"/>
          <w:numId w:val="2"/>
        </w:numPr>
        <w:ind w:firstLine="560" w:firstLineChars="200"/>
        <w:rPr>
          <w:rFonts w:ascii="仿宋" w:hAnsi="仿宋" w:eastAsia="仿宋"/>
          <w:sz w:val="28"/>
          <w:szCs w:val="28"/>
          <w:highlight w:val="none"/>
        </w:rPr>
      </w:pPr>
      <w:r>
        <w:rPr>
          <w:rFonts w:hint="eastAsia" w:ascii="仿宋" w:hAnsi="仿宋" w:eastAsia="仿宋"/>
          <w:sz w:val="28"/>
          <w:szCs w:val="28"/>
          <w:highlight w:val="none"/>
        </w:rPr>
        <w:t>报价方未被“信用中国”（www.creditchina.gov.cn）、中国政府采购网（www.ccgp.gov.cn）列入失信被执行人、重大税收违法案件当事人名单、政府采购严重违法失信行为记录名单。供应商需提供相关网页资料打印件等材料。</w:t>
      </w:r>
    </w:p>
    <w:p w14:paraId="61648AEF">
      <w:pPr>
        <w:ind w:firstLine="562" w:firstLineChars="200"/>
        <w:rPr>
          <w:rFonts w:hint="eastAsia" w:ascii="仿宋" w:hAnsi="仿宋" w:eastAsia="仿宋"/>
          <w:b/>
          <w:bCs/>
          <w:sz w:val="28"/>
          <w:szCs w:val="28"/>
          <w:highlight w:val="none"/>
        </w:rPr>
      </w:pPr>
      <w:r>
        <w:rPr>
          <w:rFonts w:hint="eastAsia" w:ascii="仿宋" w:hAnsi="仿宋" w:eastAsia="仿宋"/>
          <w:b/>
          <w:bCs/>
          <w:sz w:val="28"/>
          <w:szCs w:val="28"/>
          <w:highlight w:val="none"/>
          <w:lang w:eastAsia="zh-CN"/>
        </w:rPr>
        <w:t>（</w:t>
      </w:r>
      <w:r>
        <w:rPr>
          <w:rFonts w:hint="eastAsia" w:ascii="仿宋" w:hAnsi="仿宋" w:eastAsia="仿宋"/>
          <w:b/>
          <w:bCs/>
          <w:sz w:val="28"/>
          <w:szCs w:val="28"/>
          <w:highlight w:val="none"/>
          <w:lang w:val="en-US" w:eastAsia="zh-CN"/>
        </w:rPr>
        <w:t>三</w:t>
      </w:r>
      <w:r>
        <w:rPr>
          <w:rFonts w:hint="eastAsia" w:ascii="仿宋" w:hAnsi="仿宋" w:eastAsia="仿宋"/>
          <w:b/>
          <w:bCs/>
          <w:sz w:val="28"/>
          <w:szCs w:val="28"/>
          <w:highlight w:val="none"/>
          <w:lang w:eastAsia="zh-CN"/>
        </w:rPr>
        <w:t>）</w:t>
      </w:r>
      <w:r>
        <w:rPr>
          <w:rFonts w:hint="eastAsia" w:ascii="仿宋" w:hAnsi="仿宋" w:eastAsia="仿宋"/>
          <w:b/>
          <w:bCs/>
          <w:sz w:val="28"/>
          <w:szCs w:val="28"/>
          <w:highlight w:val="none"/>
        </w:rPr>
        <w:t>报价方必须具备公安部第三研究所认证颁发的《网络安全服务认证证书等级保护测评服务认证》，提供证书或证明复印件并加盖公章。</w:t>
      </w:r>
    </w:p>
    <w:p w14:paraId="07B36FD6">
      <w:pPr>
        <w:ind w:firstLine="562" w:firstLineChars="200"/>
        <w:rPr>
          <w:rFonts w:hint="eastAsia" w:ascii="仿宋" w:hAnsi="仿宋" w:eastAsia="仿宋"/>
          <w:b/>
          <w:bCs/>
          <w:sz w:val="28"/>
          <w:szCs w:val="28"/>
          <w:highlight w:val="none"/>
        </w:rPr>
      </w:pPr>
      <w:r>
        <w:rPr>
          <w:rFonts w:hint="eastAsia" w:ascii="仿宋" w:hAnsi="仿宋" w:eastAsia="仿宋"/>
          <w:b/>
          <w:bCs/>
          <w:sz w:val="28"/>
          <w:szCs w:val="28"/>
          <w:highlight w:val="none"/>
          <w:lang w:eastAsia="zh-CN"/>
        </w:rPr>
        <w:t>（</w:t>
      </w:r>
      <w:r>
        <w:rPr>
          <w:rFonts w:hint="eastAsia" w:ascii="仿宋" w:hAnsi="仿宋" w:eastAsia="仿宋"/>
          <w:b/>
          <w:bCs/>
          <w:sz w:val="28"/>
          <w:szCs w:val="28"/>
          <w:highlight w:val="none"/>
          <w:lang w:val="en-US" w:eastAsia="zh-CN"/>
        </w:rPr>
        <w:t>四</w:t>
      </w:r>
      <w:r>
        <w:rPr>
          <w:rFonts w:hint="eastAsia" w:ascii="仿宋" w:hAnsi="仿宋" w:eastAsia="仿宋"/>
          <w:b/>
          <w:bCs/>
          <w:sz w:val="28"/>
          <w:szCs w:val="28"/>
          <w:highlight w:val="none"/>
          <w:lang w:eastAsia="zh-CN"/>
        </w:rPr>
        <w:t>）</w:t>
      </w:r>
      <w:r>
        <w:rPr>
          <w:rFonts w:hint="eastAsia" w:ascii="仿宋" w:hAnsi="仿宋" w:eastAsia="仿宋"/>
          <w:b/>
          <w:bCs/>
          <w:sz w:val="28"/>
          <w:szCs w:val="28"/>
          <w:highlight w:val="none"/>
        </w:rPr>
        <w:t>报价方必须具备国家密码管理局颁发的《商用密码检测机构资质证书》（业务范围包含商用密码应用安全性评估），提供证书或证明复印件并加盖公章。</w:t>
      </w:r>
    </w:p>
    <w:p w14:paraId="7D49CD62">
      <w:pPr>
        <w:ind w:firstLine="560" w:firstLineChars="200"/>
        <w:rPr>
          <w:rFonts w:ascii="仿宋" w:hAnsi="仿宋" w:eastAsia="仿宋"/>
          <w:sz w:val="28"/>
          <w:szCs w:val="28"/>
          <w:highlight w:val="none"/>
        </w:rPr>
      </w:pPr>
      <w:r>
        <w:rPr>
          <w:rFonts w:hint="eastAsia" w:ascii="仿宋" w:hAnsi="仿宋" w:eastAsia="仿宋"/>
          <w:sz w:val="28"/>
          <w:szCs w:val="28"/>
          <w:highlight w:val="none"/>
        </w:rPr>
        <w:t>（五）</w:t>
      </w:r>
      <w:r>
        <w:rPr>
          <w:rFonts w:ascii="仿宋" w:hAnsi="仿宋" w:eastAsia="仿宋"/>
          <w:sz w:val="28"/>
          <w:szCs w:val="28"/>
          <w:highlight w:val="none"/>
        </w:rPr>
        <w:t>不可抗力：如因不可抗</w:t>
      </w:r>
      <w:r>
        <w:rPr>
          <w:rFonts w:hint="eastAsia" w:ascii="仿宋" w:hAnsi="仿宋" w:eastAsia="仿宋"/>
          <w:sz w:val="28"/>
          <w:szCs w:val="28"/>
          <w:highlight w:val="none"/>
        </w:rPr>
        <w:t>力</w:t>
      </w:r>
      <w:r>
        <w:rPr>
          <w:rFonts w:ascii="仿宋" w:hAnsi="仿宋" w:eastAsia="仿宋"/>
          <w:sz w:val="28"/>
          <w:szCs w:val="28"/>
          <w:highlight w:val="none"/>
        </w:rPr>
        <w:t>问题导致无法或延迟履行合同的，应在不可抗力事件发生后三天内通知对方，并协商寻求减少损失的办法或对双方都公正合理的另外安排。</w:t>
      </w:r>
    </w:p>
    <w:p w14:paraId="54DAF356">
      <w:pPr>
        <w:pStyle w:val="2"/>
        <w:spacing w:before="0" w:after="0"/>
        <w:ind w:firstLine="562" w:firstLineChars="200"/>
        <w:rPr>
          <w:rFonts w:ascii="仿宋" w:hAnsi="仿宋" w:eastAsia="仿宋"/>
          <w:b w:val="0"/>
          <w:bCs w:val="0"/>
          <w:sz w:val="28"/>
          <w:szCs w:val="28"/>
          <w:highlight w:val="none"/>
        </w:rPr>
      </w:pPr>
      <w:r>
        <w:rPr>
          <w:rFonts w:hint="eastAsia" w:ascii="仿宋" w:hAnsi="仿宋" w:eastAsia="仿宋"/>
          <w:sz w:val="28"/>
          <w:szCs w:val="28"/>
          <w:highlight w:val="none"/>
        </w:rPr>
        <w:t>四、验收标准</w:t>
      </w:r>
    </w:p>
    <w:p w14:paraId="52A23A15">
      <w:pPr>
        <w:ind w:firstLine="560" w:firstLineChars="200"/>
        <w:rPr>
          <w:rFonts w:ascii="仿宋" w:hAnsi="仿宋" w:eastAsia="仿宋"/>
          <w:sz w:val="28"/>
          <w:szCs w:val="28"/>
          <w:highlight w:val="none"/>
        </w:rPr>
      </w:pPr>
      <w:r>
        <w:rPr>
          <w:rFonts w:hint="eastAsia" w:ascii="仿宋" w:hAnsi="仿宋" w:eastAsia="仿宋"/>
          <w:sz w:val="28"/>
          <w:szCs w:val="28"/>
          <w:highlight w:val="none"/>
        </w:rPr>
        <w:t>成交方按合同要求</w:t>
      </w:r>
      <w:r>
        <w:rPr>
          <w:rFonts w:hint="eastAsia" w:ascii="仿宋" w:hAnsi="仿宋" w:eastAsia="仿宋"/>
          <w:sz w:val="28"/>
          <w:szCs w:val="28"/>
          <w:highlight w:val="none"/>
          <w:lang w:val="en-US" w:eastAsia="zh-CN"/>
        </w:rPr>
        <w:t>完成</w:t>
      </w:r>
      <w:r>
        <w:rPr>
          <w:rFonts w:hint="eastAsia" w:ascii="仿宋" w:hAnsi="仿宋" w:eastAsia="仿宋"/>
          <w:sz w:val="28"/>
          <w:szCs w:val="28"/>
          <w:highlight w:val="none"/>
        </w:rPr>
        <w:t>执法系统网络安全等级保护测评、商用密码应用安全性评估及第三方软件测试服务，指导、配合采购人完成安全整改，并出具符合国家、自治区相关规范标准的测评报告，验收通过。</w:t>
      </w:r>
    </w:p>
    <w:p w14:paraId="1AD43167">
      <w:pPr>
        <w:pStyle w:val="2"/>
        <w:spacing w:before="0" w:after="0"/>
        <w:ind w:firstLine="562" w:firstLineChars="200"/>
        <w:rPr>
          <w:rFonts w:ascii="仿宋" w:hAnsi="仿宋" w:eastAsia="仿宋"/>
          <w:b w:val="0"/>
          <w:bCs w:val="0"/>
          <w:sz w:val="28"/>
          <w:szCs w:val="28"/>
          <w:highlight w:val="none"/>
        </w:rPr>
      </w:pPr>
      <w:r>
        <w:rPr>
          <w:rFonts w:hint="eastAsia" w:ascii="仿宋" w:hAnsi="仿宋" w:eastAsia="仿宋"/>
          <w:sz w:val="28"/>
          <w:szCs w:val="28"/>
          <w:highlight w:val="none"/>
        </w:rPr>
        <w:t>五、付款方式</w:t>
      </w:r>
    </w:p>
    <w:p w14:paraId="05FF6BA6">
      <w:pPr>
        <w:ind w:firstLine="560" w:firstLineChars="200"/>
        <w:rPr>
          <w:rFonts w:ascii="仿宋" w:hAnsi="仿宋" w:eastAsia="仿宋"/>
          <w:sz w:val="28"/>
          <w:szCs w:val="28"/>
          <w:highlight w:val="none"/>
        </w:rPr>
      </w:pPr>
      <w:r>
        <w:rPr>
          <w:rFonts w:hint="eastAsia" w:ascii="仿宋" w:hAnsi="仿宋" w:eastAsia="仿宋"/>
          <w:sz w:val="28"/>
          <w:szCs w:val="28"/>
          <w:highlight w:val="none"/>
        </w:rPr>
        <w:t>（一）履约保证金：成交方在签订合同后10个工作日内</w:t>
      </w:r>
      <w:r>
        <w:rPr>
          <w:rFonts w:hint="eastAsia" w:ascii="仿宋" w:hAnsi="仿宋" w:eastAsia="仿宋"/>
          <w:sz w:val="28"/>
          <w:szCs w:val="28"/>
          <w:highlight w:val="none"/>
          <w:lang w:eastAsia="zh-CN"/>
        </w:rPr>
        <w:t>，</w:t>
      </w:r>
      <w:r>
        <w:rPr>
          <w:rFonts w:hint="eastAsia" w:ascii="仿宋" w:hAnsi="仿宋" w:eastAsia="仿宋"/>
          <w:sz w:val="28"/>
          <w:szCs w:val="28"/>
          <w:highlight w:val="none"/>
        </w:rPr>
        <w:t>按合同金额的5%（</w:t>
      </w:r>
      <w:r>
        <w:rPr>
          <w:rFonts w:hint="eastAsia" w:ascii="仿宋" w:hAnsi="仿宋" w:eastAsia="仿宋"/>
          <w:sz w:val="28"/>
          <w:szCs w:val="28"/>
          <w:highlight w:val="none"/>
          <w:lang w:val="en-US" w:eastAsia="zh-CN"/>
        </w:rPr>
        <w:t>中</w:t>
      </w:r>
      <w:r>
        <w:rPr>
          <w:rFonts w:hint="eastAsia" w:ascii="仿宋" w:hAnsi="仿宋" w:eastAsia="仿宋"/>
          <w:sz w:val="28"/>
          <w:szCs w:val="28"/>
          <w:highlight w:val="none"/>
        </w:rPr>
        <w:t>小企业按合同金额的2%）向采购方支付履约保证金，服务期到期并履约验收</w:t>
      </w:r>
      <w:r>
        <w:rPr>
          <w:rFonts w:hint="eastAsia" w:ascii="仿宋" w:hAnsi="仿宋" w:eastAsia="仿宋"/>
          <w:sz w:val="28"/>
          <w:szCs w:val="28"/>
          <w:highlight w:val="none"/>
          <w:lang w:val="en-US" w:eastAsia="zh-CN"/>
        </w:rPr>
        <w:t>合格</w:t>
      </w:r>
      <w:r>
        <w:rPr>
          <w:rFonts w:hint="eastAsia" w:ascii="仿宋" w:hAnsi="仿宋" w:eastAsia="仿宋"/>
          <w:sz w:val="28"/>
          <w:szCs w:val="28"/>
          <w:highlight w:val="none"/>
        </w:rPr>
        <w:t>后，采购方接成交方来函10个工作日内无息退还成交方。</w:t>
      </w:r>
    </w:p>
    <w:p w14:paraId="75F95D78">
      <w:pPr>
        <w:ind w:firstLine="560" w:firstLineChars="200"/>
        <w:rPr>
          <w:rFonts w:ascii="仿宋" w:hAnsi="仿宋" w:eastAsia="仿宋"/>
          <w:sz w:val="28"/>
          <w:szCs w:val="28"/>
          <w:highlight w:val="none"/>
        </w:rPr>
      </w:pPr>
      <w:r>
        <w:rPr>
          <w:rFonts w:hint="eastAsia" w:ascii="仿宋" w:hAnsi="仿宋" w:eastAsia="仿宋"/>
          <w:sz w:val="28"/>
          <w:szCs w:val="28"/>
          <w:highlight w:val="none"/>
        </w:rPr>
        <w:t>（二）采购方与成交方合同签订后10个工作日内，成交方提交</w:t>
      </w:r>
      <w:r>
        <w:rPr>
          <w:rFonts w:hint="eastAsia" w:ascii="仿宋" w:hAnsi="仿宋" w:eastAsia="仿宋"/>
          <w:sz w:val="28"/>
          <w:szCs w:val="28"/>
          <w:highlight w:val="none"/>
          <w:lang w:val="en-US" w:eastAsia="zh-CN"/>
        </w:rPr>
        <w:t>经采购方认可的</w:t>
      </w:r>
      <w:r>
        <w:rPr>
          <w:rFonts w:hint="eastAsia" w:ascii="仿宋" w:hAnsi="仿宋" w:eastAsia="仿宋"/>
          <w:sz w:val="28"/>
          <w:szCs w:val="28"/>
          <w:highlight w:val="none"/>
        </w:rPr>
        <w:t>项目服务方案，采购方向成交方支付合同总额的40%；成交方按合同要求完成网络安全等级保护测评、商用密码应用安全性评估及第三方软件测试</w:t>
      </w:r>
      <w:r>
        <w:rPr>
          <w:rFonts w:hint="eastAsia" w:ascii="仿宋" w:hAnsi="仿宋" w:eastAsia="仿宋"/>
          <w:sz w:val="28"/>
          <w:szCs w:val="28"/>
          <w:highlight w:val="none"/>
          <w:lang w:val="en-US" w:eastAsia="zh-CN"/>
        </w:rPr>
        <w:t>服务，并出具合规的相应测评报告，</w:t>
      </w:r>
      <w:r>
        <w:rPr>
          <w:rFonts w:hint="eastAsia" w:ascii="仿宋" w:hAnsi="仿宋" w:eastAsia="仿宋"/>
          <w:sz w:val="28"/>
          <w:szCs w:val="28"/>
          <w:highlight w:val="none"/>
        </w:rPr>
        <w:t xml:space="preserve">经验收合格后，采购方向成交方支付合同金额的60%。 </w:t>
      </w:r>
    </w:p>
    <w:p w14:paraId="171442B2">
      <w:pPr>
        <w:ind w:firstLine="560" w:firstLineChars="200"/>
        <w:rPr>
          <w:rFonts w:ascii="仿宋" w:hAnsi="仿宋" w:eastAsia="仿宋"/>
          <w:sz w:val="28"/>
          <w:szCs w:val="28"/>
          <w:highlight w:val="none"/>
        </w:rPr>
      </w:pPr>
      <w:r>
        <w:rPr>
          <w:rFonts w:hint="eastAsia" w:ascii="仿宋" w:hAnsi="仿宋" w:eastAsia="仿宋"/>
          <w:sz w:val="28"/>
          <w:szCs w:val="28"/>
          <w:highlight w:val="none"/>
        </w:rPr>
        <w:t>（三）成交方申请支付合同价款前，应开具相应金额合规发票给采购方。</w:t>
      </w:r>
    </w:p>
    <w:p w14:paraId="09844BC4">
      <w:pPr>
        <w:ind w:firstLine="560" w:firstLineChars="200"/>
        <w:rPr>
          <w:rFonts w:ascii="仿宋" w:hAnsi="仿宋" w:eastAsia="仿宋"/>
          <w:sz w:val="28"/>
          <w:szCs w:val="28"/>
          <w:highlight w:val="none"/>
        </w:rPr>
      </w:pPr>
      <w:r>
        <w:rPr>
          <w:rFonts w:hint="eastAsia" w:ascii="仿宋" w:hAnsi="仿宋" w:eastAsia="仿宋"/>
          <w:sz w:val="28"/>
          <w:szCs w:val="28"/>
          <w:highlight w:val="none"/>
        </w:rPr>
        <w:t>（四）本项目报价为总包干价，报价必须包括实施和完成该项目所需的设备和服务、税费等一切费用，以及合同明示所有责任、义务和一般风险，采购方不再支付任何费用。</w:t>
      </w:r>
    </w:p>
    <w:p w14:paraId="4C07DAB5">
      <w:pPr>
        <w:pStyle w:val="2"/>
        <w:spacing w:before="0" w:after="0"/>
        <w:ind w:firstLine="562" w:firstLineChars="200"/>
        <w:rPr>
          <w:rFonts w:ascii="仿宋" w:hAnsi="仿宋" w:eastAsia="仿宋"/>
          <w:b w:val="0"/>
          <w:bCs w:val="0"/>
          <w:sz w:val="28"/>
          <w:szCs w:val="28"/>
          <w:highlight w:val="none"/>
        </w:rPr>
      </w:pPr>
      <w:r>
        <w:rPr>
          <w:rFonts w:hint="eastAsia" w:ascii="仿宋" w:hAnsi="仿宋" w:eastAsia="仿宋"/>
          <w:sz w:val="28"/>
          <w:szCs w:val="28"/>
          <w:highlight w:val="none"/>
        </w:rPr>
        <w:t>六、评审和推荐成交候选人</w:t>
      </w:r>
    </w:p>
    <w:p w14:paraId="28CD5AC4">
      <w:pPr>
        <w:ind w:firstLine="560" w:firstLineChars="200"/>
        <w:rPr>
          <w:rFonts w:ascii="仿宋" w:hAnsi="仿宋" w:eastAsia="仿宋"/>
          <w:sz w:val="28"/>
          <w:szCs w:val="28"/>
          <w:highlight w:val="none"/>
        </w:rPr>
      </w:pPr>
      <w:r>
        <w:rPr>
          <w:rFonts w:hint="eastAsia" w:ascii="仿宋" w:hAnsi="仿宋" w:eastAsia="仿宋"/>
          <w:sz w:val="28"/>
          <w:szCs w:val="28"/>
          <w:highlight w:val="none"/>
        </w:rPr>
        <w:t>（一）“评审委员会”构成：本采购项目的“评审委员会”由执法局根据有关要求抽取3人及以上单数作为评委和1名监督员构成。</w:t>
      </w:r>
    </w:p>
    <w:p w14:paraId="2B2C8098">
      <w:pPr>
        <w:ind w:firstLine="560" w:firstLineChars="200"/>
        <w:rPr>
          <w:rFonts w:ascii="仿宋" w:hAnsi="仿宋" w:eastAsia="仿宋"/>
          <w:sz w:val="28"/>
          <w:szCs w:val="28"/>
          <w:highlight w:val="none"/>
        </w:rPr>
      </w:pPr>
      <w:r>
        <w:rPr>
          <w:rFonts w:hint="eastAsia" w:ascii="仿宋" w:hAnsi="仿宋" w:eastAsia="仿宋"/>
          <w:sz w:val="28"/>
          <w:szCs w:val="28"/>
          <w:highlight w:val="none"/>
        </w:rPr>
        <w:t>（二）评审条件：“评审委员会”将以采购文件、报价文件为评审依据，对报价方的报价最终报价、产品质量、服务质量、资质条件等开展评审工作。</w:t>
      </w:r>
    </w:p>
    <w:p w14:paraId="4B4E31F0">
      <w:pPr>
        <w:ind w:firstLine="560" w:firstLineChars="200"/>
        <w:rPr>
          <w:rFonts w:ascii="仿宋" w:hAnsi="仿宋" w:eastAsia="仿宋"/>
          <w:sz w:val="28"/>
          <w:szCs w:val="28"/>
          <w:highlight w:val="none"/>
        </w:rPr>
      </w:pPr>
      <w:r>
        <w:rPr>
          <w:rFonts w:hint="eastAsia" w:ascii="仿宋" w:hAnsi="仿宋" w:eastAsia="仿宋"/>
          <w:sz w:val="28"/>
          <w:szCs w:val="28"/>
          <w:highlight w:val="none"/>
        </w:rPr>
        <w:t>（三）评审采用综合评分法，即报价方的报价文件完全响应采购文件的前提下，综合评分最高者推荐为第一成交候选人。</w:t>
      </w:r>
    </w:p>
    <w:p w14:paraId="6CC387E4">
      <w:pPr>
        <w:pStyle w:val="2"/>
        <w:spacing w:before="0" w:after="0"/>
        <w:ind w:firstLine="562" w:firstLineChars="200"/>
        <w:rPr>
          <w:rFonts w:ascii="仿宋" w:hAnsi="仿宋" w:eastAsia="仿宋"/>
          <w:sz w:val="28"/>
          <w:szCs w:val="28"/>
          <w:highlight w:val="none"/>
        </w:rPr>
      </w:pPr>
      <w:r>
        <w:rPr>
          <w:rFonts w:hint="eastAsia" w:ascii="仿宋" w:hAnsi="仿宋" w:eastAsia="仿宋"/>
          <w:sz w:val="28"/>
          <w:szCs w:val="28"/>
          <w:highlight w:val="none"/>
        </w:rPr>
        <w:t>七、评分方法及标准</w:t>
      </w:r>
    </w:p>
    <w:tbl>
      <w:tblPr>
        <w:tblStyle w:val="12"/>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51"/>
        <w:gridCol w:w="6238"/>
        <w:gridCol w:w="901"/>
      </w:tblGrid>
      <w:tr w14:paraId="763B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noWrap/>
            <w:vAlign w:val="center"/>
          </w:tcPr>
          <w:p w14:paraId="3EC5C61B">
            <w:pPr>
              <w:widowControl/>
              <w:spacing w:line="360" w:lineRule="auto"/>
              <w:jc w:val="center"/>
              <w:rPr>
                <w:rFonts w:ascii="仿宋_GB2312" w:hAnsi="宋体" w:eastAsia="仿宋_GB2312" w:cs="Tahoma"/>
                <w:b/>
                <w:bCs/>
                <w:kern w:val="0"/>
                <w:sz w:val="24"/>
                <w:highlight w:val="none"/>
              </w:rPr>
            </w:pPr>
            <w:bookmarkStart w:id="3" w:name="PO_TDCUS_ITEM_SM_TABLE_1"/>
            <w:r>
              <w:rPr>
                <w:rFonts w:hint="eastAsia" w:ascii="仿宋_GB2312" w:hAnsi="宋体" w:eastAsia="仿宋_GB2312" w:cs="Tahoma"/>
                <w:b/>
                <w:bCs/>
                <w:kern w:val="0"/>
                <w:sz w:val="24"/>
                <w:highlight w:val="none"/>
              </w:rPr>
              <w:t>序号</w:t>
            </w:r>
          </w:p>
        </w:tc>
        <w:tc>
          <w:tcPr>
            <w:tcW w:w="1251" w:type="dxa"/>
            <w:noWrap/>
            <w:vAlign w:val="center"/>
          </w:tcPr>
          <w:p w14:paraId="34C9B642">
            <w:pPr>
              <w:widowControl/>
              <w:spacing w:line="360" w:lineRule="auto"/>
              <w:jc w:val="center"/>
              <w:rPr>
                <w:rFonts w:ascii="仿宋_GB2312" w:hAnsi="宋体" w:eastAsia="仿宋_GB2312" w:cs="Tahoma"/>
                <w:b/>
                <w:bCs/>
                <w:kern w:val="0"/>
                <w:sz w:val="24"/>
                <w:highlight w:val="none"/>
              </w:rPr>
            </w:pPr>
            <w:r>
              <w:rPr>
                <w:rFonts w:hint="eastAsia" w:ascii="仿宋_GB2312" w:hAnsi="宋体" w:eastAsia="仿宋_GB2312" w:cs="Tahoma"/>
                <w:b/>
                <w:bCs/>
                <w:kern w:val="0"/>
                <w:sz w:val="24"/>
                <w:highlight w:val="none"/>
              </w:rPr>
              <w:t>评审因素</w:t>
            </w:r>
          </w:p>
        </w:tc>
        <w:tc>
          <w:tcPr>
            <w:tcW w:w="6238" w:type="dxa"/>
            <w:noWrap/>
            <w:vAlign w:val="center"/>
          </w:tcPr>
          <w:p w14:paraId="02598919">
            <w:pPr>
              <w:widowControl/>
              <w:spacing w:line="360" w:lineRule="auto"/>
              <w:jc w:val="center"/>
              <w:rPr>
                <w:rFonts w:ascii="仿宋_GB2312" w:hAnsi="宋体" w:eastAsia="仿宋_GB2312" w:cs="Tahoma"/>
                <w:b/>
                <w:bCs/>
                <w:kern w:val="0"/>
                <w:sz w:val="24"/>
                <w:highlight w:val="none"/>
              </w:rPr>
            </w:pPr>
            <w:r>
              <w:rPr>
                <w:rFonts w:hint="eastAsia" w:ascii="仿宋_GB2312" w:hAnsi="宋体" w:eastAsia="仿宋_GB2312" w:cs="Tahoma"/>
                <w:b/>
                <w:bCs/>
                <w:kern w:val="0"/>
                <w:sz w:val="24"/>
                <w:highlight w:val="none"/>
              </w:rPr>
              <w:t>评审因素具体内容</w:t>
            </w:r>
          </w:p>
        </w:tc>
        <w:tc>
          <w:tcPr>
            <w:tcW w:w="901" w:type="dxa"/>
            <w:noWrap/>
            <w:vAlign w:val="center"/>
          </w:tcPr>
          <w:p w14:paraId="75159750">
            <w:pPr>
              <w:widowControl/>
              <w:spacing w:line="360" w:lineRule="auto"/>
              <w:jc w:val="center"/>
              <w:rPr>
                <w:rFonts w:ascii="仿宋_GB2312" w:hAnsi="宋体" w:eastAsia="仿宋_GB2312" w:cs="Tahoma"/>
                <w:b/>
                <w:bCs/>
                <w:kern w:val="0"/>
                <w:sz w:val="24"/>
                <w:highlight w:val="none"/>
              </w:rPr>
            </w:pPr>
            <w:r>
              <w:rPr>
                <w:rFonts w:hint="eastAsia" w:ascii="仿宋_GB2312" w:hAnsi="宋体" w:eastAsia="仿宋_GB2312" w:cs="Tahoma"/>
                <w:b/>
                <w:bCs/>
                <w:kern w:val="0"/>
                <w:sz w:val="24"/>
                <w:highlight w:val="none"/>
              </w:rPr>
              <w:t>分值</w:t>
            </w:r>
          </w:p>
        </w:tc>
      </w:tr>
      <w:tr w14:paraId="5FE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noWrap/>
            <w:vAlign w:val="center"/>
          </w:tcPr>
          <w:p w14:paraId="261F7473">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1</w:t>
            </w:r>
          </w:p>
        </w:tc>
        <w:tc>
          <w:tcPr>
            <w:tcW w:w="1251" w:type="dxa"/>
            <w:noWrap/>
            <w:vAlign w:val="center"/>
          </w:tcPr>
          <w:p w14:paraId="224F4885">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价格分</w:t>
            </w:r>
          </w:p>
        </w:tc>
        <w:tc>
          <w:tcPr>
            <w:tcW w:w="6238" w:type="dxa"/>
            <w:noWrap/>
          </w:tcPr>
          <w:p w14:paraId="6591240C">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（1）评审价为供应商的最后报价进行政策性扣除后的价格，评审价只是作为评审时使用。最终成交供应商的成交金额等于最后报价（如有修正，以确认修正后的最后报价为准）。</w:t>
            </w:r>
          </w:p>
          <w:p w14:paraId="6782FDCE">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（2）政府采购政策性扣除计算方法</w:t>
            </w:r>
          </w:p>
          <w:p w14:paraId="4900C1C1">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根据《政府采购促进中小企业发展管理办法》（财库〔2020〕46号）及《广西壮族自治区财政厅关于进一步发挥政府采购政策功能促进企业发展的通知》（桂财采〔2022〕30号）的规定，供应商在其响应文件中提供《中小企业声明函》，且服务全部由小微企业承接，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4 %的扣除，用扣除后的价格参加评审，扣除后的价格为评审价，即评审价=竞标报价×（1- 4 %）。除上述情况外，评审价=竞标报价。</w:t>
            </w:r>
          </w:p>
          <w:p w14:paraId="198B3BCB">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w:t>
            </w:r>
            <w:r>
              <w:rPr>
                <w:rFonts w:hint="eastAsia" w:ascii="宋体" w:hAnsi="宋体" w:cs="宋体"/>
                <w:bCs/>
                <w:kern w:val="2"/>
                <w:sz w:val="21"/>
                <w:szCs w:val="21"/>
                <w:highlight w:val="none"/>
                <w:lang w:val="en-US" w:eastAsia="zh-CN" w:bidi="ar"/>
              </w:rPr>
              <w:t xml:space="preserve">  </w:t>
            </w:r>
            <w:r>
              <w:rPr>
                <w:rFonts w:hint="eastAsia" w:ascii="宋体" w:hAnsi="宋体" w:cs="宋体"/>
                <w:bCs/>
                <w:kern w:val="2"/>
                <w:sz w:val="21"/>
                <w:szCs w:val="21"/>
                <w:highlight w:val="none"/>
                <w:lang w:bidi="ar"/>
              </w:rPr>
              <w:t>团）出具的属于监狱企业的证明文件。监狱企业属于小型、微型企业的，不重复享受政策。</w:t>
            </w:r>
          </w:p>
          <w:p w14:paraId="1842A4BE">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5FD94FB">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（5）价格分计算公式：</w:t>
            </w:r>
          </w:p>
          <w:p w14:paraId="6EBF2352">
            <w:pPr>
              <w:pStyle w:val="11"/>
              <w:spacing w:line="400" w:lineRule="exact"/>
              <w:ind w:firstLine="420" w:firstLineChars="200"/>
              <w:rPr>
                <w:rFonts w:hint="eastAsia" w:ascii="宋体" w:hAnsi="宋体" w:cs="宋体"/>
                <w:bCs/>
                <w:kern w:val="2"/>
                <w:sz w:val="21"/>
                <w:szCs w:val="21"/>
                <w:highlight w:val="none"/>
                <w:lang w:bidi="ar"/>
              </w:rPr>
            </w:pPr>
          </w:p>
          <w:p w14:paraId="273B9AAA">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　                 供应商最低评标价金额</w:t>
            </w:r>
          </w:p>
          <w:p w14:paraId="3E24FB25">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mc:AlternateContent>
                <mc:Choice Requires="wps">
                  <w:drawing>
                    <wp:anchor distT="0" distB="0" distL="114300" distR="114300" simplePos="0" relativeHeight="251659264" behindDoc="0" locked="0" layoutInCell="1" allowOverlap="1">
                      <wp:simplePos x="0" y="0"/>
                      <wp:positionH relativeFrom="column">
                        <wp:posOffset>1400175</wp:posOffset>
                      </wp:positionH>
                      <wp:positionV relativeFrom="paragraph">
                        <wp:posOffset>106045</wp:posOffset>
                      </wp:positionV>
                      <wp:extent cx="16002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0.25pt;margin-top:8.35pt;height:0pt;width:126pt;z-index:251659264;mso-width-relative:page;mso-height-relative:page;" filled="f" stroked="t" coordsize="21600,21600" o:gfxdata="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1UuN7VAAAACQEAAA8AAAAAAAAAAQAgAAAAIgAAAGRycy9kb3ducmV2LnhtbFBLAQIUABQAAAAI&#10;AIdO4kCAKLXg8AEAAOYDAAAOAAAAAAAAAAEAIAAAACQBAABkcnMvZTJvRG9jLnhtbFBLBQYAAAAA&#10;BgAGAFkBAACGBQAAAAA=&#10;">
                      <v:fill on="f" focussize="0,0"/>
                      <v:stroke color="#000000" joinstyle="round"/>
                      <v:imagedata o:title=""/>
                      <o:lock v:ext="edit" aspectratio="f"/>
                    </v:line>
                  </w:pict>
                </mc:Fallback>
              </mc:AlternateContent>
            </w:r>
            <w:r>
              <w:rPr>
                <w:rFonts w:hint="eastAsia" w:ascii="宋体" w:hAnsi="宋体" w:cs="宋体"/>
                <w:bCs/>
                <w:kern w:val="2"/>
                <w:sz w:val="21"/>
                <w:szCs w:val="21"/>
                <w:highlight w:val="none"/>
                <w:lang w:bidi="ar"/>
              </w:rPr>
              <w:t>某供应商价格分 ＝                          ×10分</w:t>
            </w:r>
          </w:p>
          <w:p w14:paraId="03767D40">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 xml:space="preserve">                   　某供应商评标价金额</w:t>
            </w:r>
          </w:p>
          <w:p w14:paraId="0D3874B2">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 xml:space="preserve"> </w:t>
            </w:r>
          </w:p>
        </w:tc>
        <w:tc>
          <w:tcPr>
            <w:tcW w:w="901" w:type="dxa"/>
            <w:noWrap/>
            <w:vAlign w:val="center"/>
          </w:tcPr>
          <w:p w14:paraId="6ADC7C97">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10分</w:t>
            </w:r>
          </w:p>
        </w:tc>
      </w:tr>
      <w:tr w14:paraId="1A46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noWrap/>
            <w:vAlign w:val="center"/>
          </w:tcPr>
          <w:p w14:paraId="4B0ABA21">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2</w:t>
            </w:r>
          </w:p>
        </w:tc>
        <w:tc>
          <w:tcPr>
            <w:tcW w:w="1251" w:type="dxa"/>
            <w:noWrap/>
            <w:vAlign w:val="center"/>
          </w:tcPr>
          <w:p w14:paraId="6E9E5697">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技术分</w:t>
            </w:r>
          </w:p>
        </w:tc>
        <w:tc>
          <w:tcPr>
            <w:tcW w:w="6238" w:type="dxa"/>
            <w:noWrap/>
            <w:vAlign w:val="center"/>
          </w:tcPr>
          <w:p w14:paraId="6A406976">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评审因素</w:t>
            </w:r>
          </w:p>
        </w:tc>
        <w:tc>
          <w:tcPr>
            <w:tcW w:w="901" w:type="dxa"/>
            <w:vAlign w:val="center"/>
          </w:tcPr>
          <w:p w14:paraId="3242F870">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70</w:t>
            </w:r>
            <w:r>
              <w:rPr>
                <w:rFonts w:hint="eastAsia" w:ascii="宋体" w:hAnsi="宋体" w:cs="宋体"/>
                <w:bCs/>
                <w:kern w:val="2"/>
                <w:sz w:val="21"/>
                <w:szCs w:val="21"/>
                <w:highlight w:val="none"/>
                <w:lang w:bidi="ar"/>
              </w:rPr>
              <w:t>分</w:t>
            </w:r>
          </w:p>
        </w:tc>
      </w:tr>
      <w:tr w14:paraId="5B70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0" w:type="dxa"/>
            <w:noWrap/>
            <w:vAlign w:val="center"/>
          </w:tcPr>
          <w:p w14:paraId="0F305F17">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2.1</w:t>
            </w:r>
          </w:p>
        </w:tc>
        <w:tc>
          <w:tcPr>
            <w:tcW w:w="1251" w:type="dxa"/>
            <w:noWrap/>
            <w:vAlign w:val="center"/>
          </w:tcPr>
          <w:p w14:paraId="7E5B5560">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技术服务方案分</w:t>
            </w:r>
          </w:p>
        </w:tc>
        <w:tc>
          <w:tcPr>
            <w:tcW w:w="6238" w:type="dxa"/>
            <w:noWrap/>
            <w:vAlign w:val="center"/>
          </w:tcPr>
          <w:p w14:paraId="2F28325B">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一档（2</w:t>
            </w:r>
            <w:r>
              <w:rPr>
                <w:rFonts w:hint="eastAsia" w:ascii="宋体" w:hAnsi="宋体" w:cs="宋体"/>
                <w:bCs/>
                <w:kern w:val="2"/>
                <w:sz w:val="21"/>
                <w:szCs w:val="21"/>
                <w:highlight w:val="none"/>
                <w:lang w:val="en-US" w:eastAsia="zh-CN" w:bidi="ar"/>
              </w:rPr>
              <w:t>4</w:t>
            </w:r>
            <w:r>
              <w:rPr>
                <w:rFonts w:hint="eastAsia" w:ascii="宋体" w:hAnsi="宋体" w:cs="宋体"/>
                <w:bCs/>
                <w:kern w:val="2"/>
                <w:sz w:val="21"/>
                <w:szCs w:val="21"/>
                <w:highlight w:val="none"/>
                <w:lang w:bidi="ar"/>
              </w:rPr>
              <w:t>分）：供应商提供的方案符合采购文件要求，测评措施方法满足项目要求。</w:t>
            </w:r>
          </w:p>
          <w:p w14:paraId="305CB532">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二档（</w:t>
            </w:r>
            <w:r>
              <w:rPr>
                <w:rFonts w:hint="eastAsia" w:ascii="宋体" w:hAnsi="宋体" w:cs="宋体"/>
                <w:bCs/>
                <w:kern w:val="2"/>
                <w:sz w:val="21"/>
                <w:szCs w:val="21"/>
                <w:highlight w:val="none"/>
                <w:lang w:val="en-US" w:eastAsia="zh-CN" w:bidi="ar"/>
              </w:rPr>
              <w:t>28</w:t>
            </w:r>
            <w:r>
              <w:rPr>
                <w:rFonts w:hint="eastAsia" w:ascii="宋体" w:hAnsi="宋体" w:cs="宋体"/>
                <w:bCs/>
                <w:kern w:val="2"/>
                <w:sz w:val="21"/>
                <w:szCs w:val="21"/>
                <w:highlight w:val="none"/>
                <w:lang w:bidi="ar"/>
              </w:rPr>
              <w:t>分）：供应商提供的方案符合采购文件要求，方案</w:t>
            </w:r>
            <w:r>
              <w:rPr>
                <w:rFonts w:hint="eastAsia" w:ascii="宋体" w:hAnsi="宋体" w:cs="宋体"/>
                <w:bCs/>
                <w:kern w:val="2"/>
                <w:sz w:val="21"/>
                <w:szCs w:val="21"/>
                <w:highlight w:val="none"/>
                <w:lang w:val="en-US" w:eastAsia="zh-CN" w:bidi="ar"/>
              </w:rPr>
              <w:t>涵盖</w:t>
            </w:r>
            <w:r>
              <w:rPr>
                <w:rFonts w:hint="eastAsia" w:ascii="宋体" w:hAnsi="宋体" w:cs="宋体"/>
                <w:bCs/>
                <w:kern w:val="2"/>
                <w:sz w:val="21"/>
                <w:szCs w:val="21"/>
                <w:highlight w:val="none"/>
                <w:lang w:bidi="ar"/>
              </w:rPr>
              <w:t>测评的主要内容、采用的测评标准和测评方法</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有具体的人员结构、任务分配和进度安排。</w:t>
            </w:r>
          </w:p>
          <w:p w14:paraId="016F6599">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三档（3</w:t>
            </w:r>
            <w:r>
              <w:rPr>
                <w:rFonts w:hint="eastAsia" w:ascii="宋体" w:hAnsi="宋体" w:cs="宋体"/>
                <w:bCs/>
                <w:kern w:val="2"/>
                <w:sz w:val="21"/>
                <w:szCs w:val="21"/>
                <w:highlight w:val="none"/>
                <w:lang w:val="en-US" w:eastAsia="zh-CN" w:bidi="ar"/>
              </w:rPr>
              <w:t>2</w:t>
            </w:r>
            <w:r>
              <w:rPr>
                <w:rFonts w:hint="eastAsia" w:ascii="宋体" w:hAnsi="宋体" w:cs="宋体"/>
                <w:bCs/>
                <w:kern w:val="2"/>
                <w:sz w:val="21"/>
                <w:szCs w:val="21"/>
                <w:highlight w:val="none"/>
                <w:lang w:bidi="ar"/>
              </w:rPr>
              <w:t>分）：供应商提供的方案完全满足采购文件要求，方案能结合项目实际</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详细描述测评的主要内容、采用的测评标准、测评设备的型号、测评方法和保密承诺</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val="en-US" w:eastAsia="zh-CN" w:bidi="ar"/>
              </w:rPr>
              <w:t>安排</w:t>
            </w:r>
            <w:r>
              <w:rPr>
                <w:rFonts w:hint="eastAsia" w:ascii="宋体" w:hAnsi="宋体" w:cs="宋体"/>
                <w:bCs/>
                <w:kern w:val="2"/>
                <w:sz w:val="21"/>
                <w:szCs w:val="21"/>
                <w:highlight w:val="none"/>
                <w:lang w:bidi="ar"/>
              </w:rPr>
              <w:t>人员结构科学，任务分配妥当，进度合理，质量保证措施具体、可操作性强。</w:t>
            </w:r>
          </w:p>
        </w:tc>
        <w:tc>
          <w:tcPr>
            <w:tcW w:w="901" w:type="dxa"/>
            <w:noWrap/>
            <w:vAlign w:val="center"/>
          </w:tcPr>
          <w:p w14:paraId="7387EDED">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32</w:t>
            </w:r>
            <w:r>
              <w:rPr>
                <w:rFonts w:hint="eastAsia" w:ascii="宋体" w:hAnsi="宋体" w:cs="宋体"/>
                <w:bCs/>
                <w:kern w:val="2"/>
                <w:sz w:val="21"/>
                <w:szCs w:val="21"/>
                <w:highlight w:val="none"/>
                <w:lang w:bidi="ar"/>
              </w:rPr>
              <w:t>分</w:t>
            </w:r>
          </w:p>
        </w:tc>
      </w:tr>
      <w:tr w14:paraId="7836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0" w:type="dxa"/>
            <w:noWrap/>
            <w:vAlign w:val="center"/>
          </w:tcPr>
          <w:p w14:paraId="30BC5818">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2.2</w:t>
            </w:r>
          </w:p>
        </w:tc>
        <w:tc>
          <w:tcPr>
            <w:tcW w:w="1251" w:type="dxa"/>
            <w:noWrap/>
            <w:vAlign w:val="center"/>
          </w:tcPr>
          <w:p w14:paraId="53ACF5E0">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服务方案分</w:t>
            </w:r>
          </w:p>
        </w:tc>
        <w:tc>
          <w:tcPr>
            <w:tcW w:w="6238" w:type="dxa"/>
            <w:noWrap/>
            <w:vAlign w:val="center"/>
          </w:tcPr>
          <w:p w14:paraId="30F4BBE0">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一档（</w:t>
            </w:r>
            <w:r>
              <w:rPr>
                <w:rFonts w:hint="eastAsia" w:ascii="宋体" w:hAnsi="宋体" w:cs="宋体"/>
                <w:bCs/>
                <w:kern w:val="2"/>
                <w:sz w:val="21"/>
                <w:szCs w:val="21"/>
                <w:highlight w:val="none"/>
                <w:lang w:val="en-US" w:eastAsia="zh-CN" w:bidi="ar"/>
              </w:rPr>
              <w:t>14</w:t>
            </w:r>
            <w:r>
              <w:rPr>
                <w:rFonts w:hint="eastAsia" w:ascii="宋体" w:hAnsi="宋体" w:cs="宋体"/>
                <w:bCs/>
                <w:kern w:val="2"/>
                <w:sz w:val="21"/>
                <w:szCs w:val="21"/>
                <w:highlight w:val="none"/>
                <w:lang w:bidi="ar"/>
              </w:rPr>
              <w:t>分）：拟投入的技术服务人员3-5人</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提供人员名单；方案</w:t>
            </w:r>
            <w:r>
              <w:rPr>
                <w:rFonts w:hint="eastAsia" w:ascii="宋体" w:hAnsi="宋体" w:cs="宋体"/>
                <w:bCs/>
                <w:kern w:val="2"/>
                <w:sz w:val="21"/>
                <w:szCs w:val="21"/>
                <w:highlight w:val="none"/>
                <w:lang w:val="en-US" w:eastAsia="zh-CN" w:bidi="ar"/>
              </w:rPr>
              <w:t>内容完整，</w:t>
            </w:r>
            <w:r>
              <w:rPr>
                <w:rFonts w:hint="eastAsia" w:ascii="宋体" w:hAnsi="宋体" w:cs="宋体"/>
                <w:bCs/>
                <w:kern w:val="2"/>
                <w:sz w:val="21"/>
                <w:szCs w:val="21"/>
                <w:highlight w:val="none"/>
                <w:lang w:bidi="ar"/>
              </w:rPr>
              <w:t>满足采购要求。</w:t>
            </w:r>
          </w:p>
          <w:p w14:paraId="37D841A3">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二档（</w:t>
            </w:r>
            <w:r>
              <w:rPr>
                <w:rFonts w:hint="eastAsia" w:ascii="宋体" w:hAnsi="宋体" w:cs="宋体"/>
                <w:bCs/>
                <w:kern w:val="2"/>
                <w:sz w:val="21"/>
                <w:szCs w:val="21"/>
                <w:highlight w:val="none"/>
                <w:lang w:val="en-US" w:eastAsia="zh-CN" w:bidi="ar"/>
              </w:rPr>
              <w:t>18</w:t>
            </w:r>
            <w:r>
              <w:rPr>
                <w:rFonts w:hint="eastAsia" w:ascii="宋体" w:hAnsi="宋体" w:cs="宋体"/>
                <w:bCs/>
                <w:kern w:val="2"/>
                <w:sz w:val="21"/>
                <w:szCs w:val="21"/>
                <w:highlight w:val="none"/>
                <w:lang w:bidi="ar"/>
              </w:rPr>
              <w:t>分）：拟投入的服务人员6-8人</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提供人员名单</w:t>
            </w:r>
            <w:r>
              <w:rPr>
                <w:rFonts w:hint="eastAsia" w:ascii="宋体" w:hAnsi="宋体" w:cs="宋体"/>
                <w:bCs/>
                <w:kern w:val="2"/>
                <w:sz w:val="21"/>
                <w:szCs w:val="21"/>
                <w:highlight w:val="none"/>
                <w:lang w:val="en-US" w:eastAsia="zh-CN" w:bidi="ar"/>
              </w:rPr>
              <w:t>和岗位</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val="en-US" w:eastAsia="zh-CN" w:bidi="ar"/>
              </w:rPr>
              <w:t>方案</w:t>
            </w:r>
            <w:r>
              <w:rPr>
                <w:rFonts w:hint="eastAsia" w:ascii="宋体" w:hAnsi="宋体" w:cs="宋体"/>
                <w:bCs/>
                <w:kern w:val="2"/>
                <w:sz w:val="21"/>
                <w:szCs w:val="21"/>
                <w:highlight w:val="none"/>
                <w:lang w:bidi="ar"/>
              </w:rPr>
              <w:t>内容</w:t>
            </w:r>
            <w:r>
              <w:rPr>
                <w:rFonts w:hint="eastAsia" w:ascii="宋体" w:hAnsi="宋体" w:cs="宋体"/>
                <w:bCs/>
                <w:kern w:val="2"/>
                <w:sz w:val="21"/>
                <w:szCs w:val="21"/>
                <w:highlight w:val="none"/>
                <w:lang w:val="en-US" w:eastAsia="zh-CN" w:bidi="ar"/>
              </w:rPr>
              <w:t>完整</w:t>
            </w:r>
            <w:r>
              <w:rPr>
                <w:rFonts w:hint="eastAsia" w:ascii="宋体" w:hAnsi="宋体" w:cs="宋体"/>
                <w:bCs/>
                <w:kern w:val="2"/>
                <w:sz w:val="21"/>
                <w:szCs w:val="21"/>
                <w:highlight w:val="none"/>
                <w:lang w:bidi="ar"/>
              </w:rPr>
              <w:t>、保障措施具体；服务方案满足采购要求。</w:t>
            </w:r>
          </w:p>
          <w:p w14:paraId="07F812C3">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三档（</w:t>
            </w:r>
            <w:r>
              <w:rPr>
                <w:rFonts w:hint="eastAsia" w:ascii="宋体" w:hAnsi="宋体" w:cs="宋体"/>
                <w:bCs/>
                <w:kern w:val="2"/>
                <w:sz w:val="21"/>
                <w:szCs w:val="21"/>
                <w:highlight w:val="none"/>
                <w:lang w:val="en-US" w:eastAsia="zh-CN" w:bidi="ar"/>
              </w:rPr>
              <w:t>22</w:t>
            </w:r>
            <w:r>
              <w:rPr>
                <w:rFonts w:hint="eastAsia" w:ascii="宋体" w:hAnsi="宋体" w:cs="宋体"/>
                <w:bCs/>
                <w:kern w:val="2"/>
                <w:sz w:val="21"/>
                <w:szCs w:val="21"/>
                <w:highlight w:val="none"/>
                <w:lang w:bidi="ar"/>
              </w:rPr>
              <w:t>分）：拟投入的服务人员9人及以上，提供人员名单</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val="en-US" w:eastAsia="zh-CN" w:bidi="ar"/>
              </w:rPr>
              <w:t>岗位和具体职责；方案内容</w:t>
            </w:r>
            <w:r>
              <w:rPr>
                <w:rFonts w:hint="eastAsia" w:ascii="宋体" w:hAnsi="宋体" w:cs="宋体"/>
                <w:bCs/>
                <w:kern w:val="2"/>
                <w:sz w:val="21"/>
                <w:szCs w:val="21"/>
                <w:highlight w:val="none"/>
                <w:lang w:bidi="ar"/>
              </w:rPr>
              <w:t>清晰、全面、合理，方案描述科学合理的技术服务机制，提供完善的故障解决措施，有针对性的服务流程，提供本地化服务（提供服务本地化服务承诺函或本地服务分支机构有效证明材料）</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服务方案完全满足采购要求。</w:t>
            </w:r>
          </w:p>
        </w:tc>
        <w:tc>
          <w:tcPr>
            <w:tcW w:w="901" w:type="dxa"/>
            <w:noWrap/>
            <w:vAlign w:val="center"/>
          </w:tcPr>
          <w:p w14:paraId="6B518CF7">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22</w:t>
            </w:r>
            <w:r>
              <w:rPr>
                <w:rFonts w:hint="eastAsia" w:ascii="宋体" w:hAnsi="宋体" w:cs="宋体"/>
                <w:bCs/>
                <w:kern w:val="2"/>
                <w:sz w:val="21"/>
                <w:szCs w:val="21"/>
                <w:highlight w:val="none"/>
                <w:lang w:bidi="ar"/>
              </w:rPr>
              <w:t>分</w:t>
            </w:r>
          </w:p>
        </w:tc>
      </w:tr>
      <w:tr w14:paraId="61B0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0" w:type="dxa"/>
            <w:noWrap/>
            <w:vAlign w:val="center"/>
          </w:tcPr>
          <w:p w14:paraId="716BBB05">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2.3</w:t>
            </w:r>
          </w:p>
        </w:tc>
        <w:tc>
          <w:tcPr>
            <w:tcW w:w="1251" w:type="dxa"/>
            <w:noWrap/>
            <w:vAlign w:val="center"/>
          </w:tcPr>
          <w:p w14:paraId="79FD246F">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人员配置分</w:t>
            </w:r>
          </w:p>
        </w:tc>
        <w:tc>
          <w:tcPr>
            <w:tcW w:w="6238" w:type="dxa"/>
            <w:noWrap/>
            <w:vAlign w:val="center"/>
          </w:tcPr>
          <w:p w14:paraId="6E42E157">
            <w:pPr>
              <w:pStyle w:val="11"/>
              <w:numPr>
                <w:ilvl w:val="0"/>
                <w:numId w:val="3"/>
              </w:numPr>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项目经理：具有公安部信息安全等级保护评估中心颁发的《信息/网络安全等级测评师证书》（高级）的，得</w:t>
            </w:r>
            <w:r>
              <w:rPr>
                <w:rFonts w:hint="eastAsia" w:ascii="宋体" w:hAnsi="宋体" w:cs="宋体"/>
                <w:bCs/>
                <w:kern w:val="2"/>
                <w:sz w:val="21"/>
                <w:szCs w:val="21"/>
                <w:highlight w:val="none"/>
                <w:lang w:val="en-US" w:eastAsia="zh-CN" w:bidi="ar"/>
              </w:rPr>
              <w:t>4</w:t>
            </w:r>
            <w:r>
              <w:rPr>
                <w:rFonts w:hint="eastAsia" w:ascii="宋体" w:hAnsi="宋体" w:cs="宋体"/>
                <w:bCs/>
                <w:kern w:val="2"/>
                <w:sz w:val="21"/>
                <w:szCs w:val="21"/>
                <w:highlight w:val="none"/>
                <w:lang w:bidi="ar"/>
              </w:rPr>
              <w:t>分</w:t>
            </w:r>
            <w:r>
              <w:rPr>
                <w:rFonts w:hint="eastAsia" w:ascii="宋体" w:hAnsi="宋体" w:cs="宋体"/>
                <w:bCs/>
                <w:kern w:val="2"/>
                <w:sz w:val="21"/>
                <w:szCs w:val="21"/>
                <w:highlight w:val="none"/>
                <w:lang w:eastAsia="zh-CN" w:bidi="ar"/>
              </w:rPr>
              <w:t>。</w:t>
            </w:r>
          </w:p>
          <w:p w14:paraId="16CBC3AA">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val="en-US" w:eastAsia="zh-CN" w:bidi="ar"/>
              </w:rPr>
              <w:t>2</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服务团队成员具有CISAW信息安全保障人员或CISP注册信息安全专业人员</w:t>
            </w:r>
            <w:r>
              <w:rPr>
                <w:rFonts w:hint="eastAsia" w:ascii="宋体" w:hAnsi="宋体" w:cs="宋体"/>
                <w:bCs/>
                <w:kern w:val="2"/>
                <w:sz w:val="21"/>
                <w:szCs w:val="21"/>
                <w:highlight w:val="none"/>
                <w:lang w:eastAsia="zh-CN" w:bidi="ar"/>
              </w:rPr>
              <w:t>的</w:t>
            </w:r>
            <w:r>
              <w:rPr>
                <w:rFonts w:hint="eastAsia" w:ascii="宋体" w:hAnsi="宋体" w:cs="宋体"/>
                <w:bCs/>
                <w:kern w:val="2"/>
                <w:sz w:val="21"/>
                <w:szCs w:val="21"/>
                <w:highlight w:val="none"/>
                <w:lang w:bidi="ar"/>
              </w:rPr>
              <w:t>，每个得2分，本项满分12分。</w:t>
            </w:r>
          </w:p>
          <w:p w14:paraId="425FCDAB">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注：须在响应文件中明确拟投项目团队人员的岗位，同一人员不重复计分。响应文件中须提供以上人员证书扫描件及截标时间前半年内任意1个月的社保证明材料或劳动合同扫描件，并加盖单位公章。</w:t>
            </w:r>
          </w:p>
        </w:tc>
        <w:tc>
          <w:tcPr>
            <w:tcW w:w="901" w:type="dxa"/>
            <w:noWrap/>
            <w:vAlign w:val="center"/>
          </w:tcPr>
          <w:p w14:paraId="6566D678">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16</w:t>
            </w:r>
            <w:r>
              <w:rPr>
                <w:rFonts w:hint="eastAsia" w:ascii="宋体" w:hAnsi="宋体" w:cs="宋体"/>
                <w:bCs/>
                <w:kern w:val="2"/>
                <w:sz w:val="21"/>
                <w:szCs w:val="21"/>
                <w:highlight w:val="none"/>
                <w:lang w:bidi="ar"/>
              </w:rPr>
              <w:t>分</w:t>
            </w:r>
          </w:p>
        </w:tc>
      </w:tr>
      <w:tr w14:paraId="7E6A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00" w:type="dxa"/>
            <w:noWrap/>
            <w:vAlign w:val="center"/>
          </w:tcPr>
          <w:p w14:paraId="4F5730E3">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3</w:t>
            </w:r>
          </w:p>
        </w:tc>
        <w:tc>
          <w:tcPr>
            <w:tcW w:w="1251" w:type="dxa"/>
            <w:noWrap/>
            <w:vAlign w:val="center"/>
          </w:tcPr>
          <w:p w14:paraId="2EA4C4B6">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商务分</w:t>
            </w:r>
          </w:p>
        </w:tc>
        <w:tc>
          <w:tcPr>
            <w:tcW w:w="6238" w:type="dxa"/>
            <w:noWrap/>
            <w:vAlign w:val="center"/>
          </w:tcPr>
          <w:p w14:paraId="1DA1A1DD">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评审因素</w:t>
            </w:r>
          </w:p>
        </w:tc>
        <w:tc>
          <w:tcPr>
            <w:tcW w:w="901" w:type="dxa"/>
            <w:vAlign w:val="center"/>
          </w:tcPr>
          <w:p w14:paraId="38D6AAAD">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2</w:t>
            </w:r>
            <w:r>
              <w:rPr>
                <w:rFonts w:hint="eastAsia" w:ascii="宋体" w:hAnsi="宋体" w:cs="宋体"/>
                <w:bCs/>
                <w:kern w:val="2"/>
                <w:sz w:val="21"/>
                <w:szCs w:val="21"/>
                <w:highlight w:val="none"/>
                <w:lang w:val="en-US" w:eastAsia="zh-CN" w:bidi="ar"/>
              </w:rPr>
              <w:t>0</w:t>
            </w:r>
            <w:r>
              <w:rPr>
                <w:rFonts w:hint="eastAsia" w:ascii="宋体" w:hAnsi="宋体" w:cs="宋体"/>
                <w:bCs/>
                <w:kern w:val="2"/>
                <w:sz w:val="21"/>
                <w:szCs w:val="21"/>
                <w:highlight w:val="none"/>
                <w:lang w:bidi="ar"/>
              </w:rPr>
              <w:t>分</w:t>
            </w:r>
          </w:p>
        </w:tc>
      </w:tr>
      <w:tr w14:paraId="3C49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noWrap/>
            <w:vAlign w:val="center"/>
          </w:tcPr>
          <w:p w14:paraId="676A3DC7">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3.1</w:t>
            </w:r>
          </w:p>
        </w:tc>
        <w:tc>
          <w:tcPr>
            <w:tcW w:w="1251" w:type="dxa"/>
            <w:noWrap/>
            <w:vAlign w:val="center"/>
          </w:tcPr>
          <w:p w14:paraId="1120DF7E">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信誉分</w:t>
            </w:r>
          </w:p>
        </w:tc>
        <w:tc>
          <w:tcPr>
            <w:tcW w:w="6238" w:type="dxa"/>
            <w:noWrap/>
            <w:vAlign w:val="center"/>
          </w:tcPr>
          <w:p w14:paraId="200754AA">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val="en-US" w:eastAsia="zh-CN" w:bidi="ar"/>
              </w:rPr>
              <w:t>1</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供应商具有ISO900</w:t>
            </w:r>
            <w:r>
              <w:rPr>
                <w:rFonts w:hint="eastAsia" w:ascii="宋体" w:hAnsi="宋体" w:cs="宋体"/>
                <w:bCs/>
                <w:kern w:val="2"/>
                <w:sz w:val="21"/>
                <w:szCs w:val="21"/>
                <w:highlight w:val="none"/>
                <w:lang w:val="en-US" w:eastAsia="zh-CN" w:bidi="ar"/>
              </w:rPr>
              <w:t>1</w:t>
            </w:r>
            <w:r>
              <w:rPr>
                <w:rFonts w:hint="eastAsia" w:ascii="宋体" w:hAnsi="宋体" w:cs="宋体"/>
                <w:bCs/>
                <w:kern w:val="2"/>
                <w:sz w:val="21"/>
                <w:szCs w:val="21"/>
                <w:highlight w:val="none"/>
                <w:lang w:bidi="ar"/>
              </w:rPr>
              <w:t xml:space="preserve"> 质量管理体系认证证书、ISO20000信息技术服务管理体系认证证书、ISO27001信息安全管理体系认证证书</w:t>
            </w:r>
            <w:r>
              <w:rPr>
                <w:rFonts w:hint="eastAsia" w:ascii="宋体" w:hAnsi="宋体" w:cs="宋体"/>
                <w:bCs/>
                <w:kern w:val="2"/>
                <w:sz w:val="21"/>
                <w:szCs w:val="21"/>
                <w:highlight w:val="none"/>
                <w:lang w:eastAsia="zh-CN" w:bidi="ar"/>
              </w:rPr>
              <w:t>的</w:t>
            </w:r>
            <w:r>
              <w:rPr>
                <w:rFonts w:hint="eastAsia" w:ascii="宋体" w:hAnsi="宋体" w:cs="宋体"/>
                <w:bCs/>
                <w:kern w:val="2"/>
                <w:sz w:val="21"/>
                <w:szCs w:val="21"/>
                <w:highlight w:val="none"/>
                <w:lang w:bidi="ar"/>
              </w:rPr>
              <w:t>，每个得</w:t>
            </w:r>
            <w:r>
              <w:rPr>
                <w:rFonts w:hint="eastAsia" w:ascii="宋体" w:hAnsi="宋体" w:cs="宋体"/>
                <w:bCs/>
                <w:kern w:val="2"/>
                <w:sz w:val="21"/>
                <w:szCs w:val="21"/>
                <w:highlight w:val="none"/>
                <w:lang w:val="en-US" w:eastAsia="zh-CN" w:bidi="ar"/>
              </w:rPr>
              <w:t>2</w:t>
            </w:r>
            <w:r>
              <w:rPr>
                <w:rFonts w:hint="eastAsia" w:ascii="宋体" w:hAnsi="宋体" w:cs="宋体"/>
                <w:bCs/>
                <w:kern w:val="2"/>
                <w:sz w:val="21"/>
                <w:szCs w:val="21"/>
                <w:highlight w:val="none"/>
                <w:lang w:bidi="ar"/>
              </w:rPr>
              <w:t>分，本项满分</w:t>
            </w:r>
            <w:r>
              <w:rPr>
                <w:rFonts w:hint="eastAsia" w:ascii="宋体" w:hAnsi="宋体" w:cs="宋体"/>
                <w:bCs/>
                <w:kern w:val="2"/>
                <w:sz w:val="21"/>
                <w:szCs w:val="21"/>
                <w:highlight w:val="none"/>
                <w:lang w:val="en-US" w:eastAsia="zh-CN" w:bidi="ar"/>
              </w:rPr>
              <w:t>6</w:t>
            </w:r>
            <w:r>
              <w:rPr>
                <w:rFonts w:hint="eastAsia" w:ascii="宋体" w:hAnsi="宋体" w:cs="宋体"/>
                <w:bCs/>
                <w:kern w:val="2"/>
                <w:sz w:val="21"/>
                <w:szCs w:val="21"/>
                <w:highlight w:val="none"/>
                <w:lang w:bidi="ar"/>
              </w:rPr>
              <w:t>分。</w:t>
            </w:r>
          </w:p>
          <w:p w14:paraId="6FED5847">
            <w:pPr>
              <w:pStyle w:val="11"/>
              <w:spacing w:line="400" w:lineRule="exact"/>
              <w:ind w:firstLine="420" w:firstLineChars="200"/>
              <w:rPr>
                <w:rFonts w:hint="eastAsia" w:ascii="宋体" w:hAnsi="宋体" w:eastAsia="宋体" w:cs="宋体"/>
                <w:bCs/>
                <w:kern w:val="2"/>
                <w:sz w:val="21"/>
                <w:szCs w:val="21"/>
                <w:highlight w:val="none"/>
                <w:lang w:eastAsia="zh-CN" w:bidi="ar"/>
              </w:rPr>
            </w:pP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val="en-US" w:eastAsia="zh-CN" w:bidi="ar"/>
              </w:rPr>
              <w:t>2</w:t>
            </w:r>
            <w:r>
              <w:rPr>
                <w:rFonts w:hint="eastAsia" w:ascii="宋体" w:hAnsi="宋体" w:cs="宋体"/>
                <w:bCs/>
                <w:kern w:val="2"/>
                <w:sz w:val="21"/>
                <w:szCs w:val="21"/>
                <w:highlight w:val="none"/>
                <w:lang w:eastAsia="zh-CN" w:bidi="ar"/>
              </w:rPr>
              <w:t>）</w:t>
            </w:r>
            <w:r>
              <w:rPr>
                <w:rFonts w:hint="eastAsia" w:ascii="宋体" w:hAnsi="宋体" w:cs="宋体"/>
                <w:bCs/>
                <w:kern w:val="2"/>
                <w:sz w:val="21"/>
                <w:szCs w:val="21"/>
                <w:highlight w:val="none"/>
                <w:lang w:bidi="ar"/>
              </w:rPr>
              <w:t>供应商具有相关行政管理部门颁发的检验检测机构资质认定证书(CMA)或者中国合格评定国家认可委员会实验室认可证书(CNAS)</w:t>
            </w:r>
            <w:r>
              <w:rPr>
                <w:rFonts w:hint="eastAsia" w:ascii="宋体" w:hAnsi="宋体" w:cs="宋体"/>
                <w:bCs/>
                <w:kern w:val="2"/>
                <w:sz w:val="21"/>
                <w:szCs w:val="21"/>
                <w:highlight w:val="none"/>
                <w:lang w:eastAsia="zh-CN" w:bidi="ar"/>
              </w:rPr>
              <w:t>的</w:t>
            </w:r>
            <w:r>
              <w:rPr>
                <w:rFonts w:hint="eastAsia" w:ascii="宋体" w:hAnsi="宋体" w:cs="宋体"/>
                <w:bCs/>
                <w:kern w:val="2"/>
                <w:sz w:val="21"/>
                <w:szCs w:val="21"/>
                <w:highlight w:val="none"/>
                <w:lang w:bidi="ar"/>
              </w:rPr>
              <w:t>，</w:t>
            </w:r>
            <w:r>
              <w:rPr>
                <w:rFonts w:hint="eastAsia" w:ascii="宋体" w:hAnsi="宋体" w:cs="宋体"/>
                <w:bCs/>
                <w:kern w:val="2"/>
                <w:sz w:val="21"/>
                <w:szCs w:val="21"/>
                <w:highlight w:val="none"/>
                <w:lang w:val="en-US" w:eastAsia="zh-CN" w:bidi="ar"/>
              </w:rPr>
              <w:t>得2分，</w:t>
            </w:r>
            <w:r>
              <w:rPr>
                <w:rFonts w:hint="eastAsia" w:ascii="宋体" w:hAnsi="宋体" w:cs="宋体"/>
                <w:bCs/>
                <w:kern w:val="2"/>
                <w:sz w:val="21"/>
                <w:szCs w:val="21"/>
                <w:highlight w:val="none"/>
                <w:lang w:bidi="ar"/>
              </w:rPr>
              <w:t>本项满分</w:t>
            </w:r>
            <w:r>
              <w:rPr>
                <w:rFonts w:hint="eastAsia" w:ascii="宋体" w:hAnsi="宋体" w:cs="宋体"/>
                <w:bCs/>
                <w:kern w:val="2"/>
                <w:sz w:val="21"/>
                <w:szCs w:val="21"/>
                <w:highlight w:val="none"/>
                <w:lang w:val="en-US" w:eastAsia="zh-CN" w:bidi="ar"/>
              </w:rPr>
              <w:t>2</w:t>
            </w:r>
            <w:r>
              <w:rPr>
                <w:rFonts w:hint="eastAsia" w:ascii="宋体" w:hAnsi="宋体" w:cs="宋体"/>
                <w:bCs/>
                <w:kern w:val="2"/>
                <w:sz w:val="21"/>
                <w:szCs w:val="21"/>
                <w:highlight w:val="none"/>
                <w:lang w:bidi="ar"/>
              </w:rPr>
              <w:t>分。</w:t>
            </w:r>
          </w:p>
          <w:p w14:paraId="74FC5A04">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注：须提供相应证书扫描件并加盖单位公章。</w:t>
            </w:r>
          </w:p>
        </w:tc>
        <w:tc>
          <w:tcPr>
            <w:tcW w:w="901" w:type="dxa"/>
            <w:noWrap/>
            <w:vAlign w:val="center"/>
          </w:tcPr>
          <w:p w14:paraId="695C2928">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8</w:t>
            </w:r>
            <w:r>
              <w:rPr>
                <w:rFonts w:hint="eastAsia" w:ascii="宋体" w:hAnsi="宋体" w:cs="宋体"/>
                <w:bCs/>
                <w:kern w:val="2"/>
                <w:sz w:val="21"/>
                <w:szCs w:val="21"/>
                <w:highlight w:val="none"/>
                <w:lang w:bidi="ar"/>
              </w:rPr>
              <w:t>分</w:t>
            </w:r>
          </w:p>
        </w:tc>
      </w:tr>
      <w:tr w14:paraId="03D0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700" w:type="dxa"/>
            <w:noWrap/>
            <w:vAlign w:val="center"/>
          </w:tcPr>
          <w:p w14:paraId="08A880C2">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3.2</w:t>
            </w:r>
          </w:p>
        </w:tc>
        <w:tc>
          <w:tcPr>
            <w:tcW w:w="1251" w:type="dxa"/>
            <w:noWrap/>
            <w:vAlign w:val="center"/>
          </w:tcPr>
          <w:p w14:paraId="47468E10">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业绩分</w:t>
            </w:r>
          </w:p>
        </w:tc>
        <w:tc>
          <w:tcPr>
            <w:tcW w:w="6238" w:type="dxa"/>
            <w:noWrap/>
            <w:vAlign w:val="center"/>
          </w:tcPr>
          <w:p w14:paraId="0A1F7AC8">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自2023年1月1日以来，供应商具有同类服务业绩的，每个得</w:t>
            </w:r>
            <w:r>
              <w:rPr>
                <w:rFonts w:hint="eastAsia" w:ascii="宋体" w:hAnsi="宋体" w:cs="宋体"/>
                <w:bCs/>
                <w:kern w:val="2"/>
                <w:sz w:val="21"/>
                <w:szCs w:val="21"/>
                <w:highlight w:val="none"/>
                <w:lang w:val="en-US" w:eastAsia="zh-CN" w:bidi="ar"/>
              </w:rPr>
              <w:t>1</w:t>
            </w:r>
            <w:r>
              <w:rPr>
                <w:rFonts w:hint="eastAsia" w:ascii="宋体" w:hAnsi="宋体" w:cs="宋体"/>
                <w:bCs/>
                <w:kern w:val="2"/>
                <w:sz w:val="21"/>
                <w:szCs w:val="21"/>
                <w:highlight w:val="none"/>
                <w:lang w:bidi="ar"/>
              </w:rPr>
              <w:t>分，本项满分</w:t>
            </w:r>
            <w:r>
              <w:rPr>
                <w:rFonts w:hint="eastAsia" w:ascii="宋体" w:hAnsi="宋体" w:cs="宋体"/>
                <w:bCs/>
                <w:kern w:val="2"/>
                <w:sz w:val="21"/>
                <w:szCs w:val="21"/>
                <w:highlight w:val="none"/>
                <w:lang w:val="en-US" w:eastAsia="zh-CN" w:bidi="ar"/>
              </w:rPr>
              <w:t>12</w:t>
            </w:r>
            <w:r>
              <w:rPr>
                <w:rFonts w:hint="eastAsia" w:ascii="宋体" w:hAnsi="宋体" w:cs="宋体"/>
                <w:bCs/>
                <w:kern w:val="2"/>
                <w:sz w:val="21"/>
                <w:szCs w:val="21"/>
                <w:highlight w:val="none"/>
                <w:lang w:bidi="ar"/>
              </w:rPr>
              <w:t>分。</w:t>
            </w:r>
          </w:p>
          <w:p w14:paraId="0B540105">
            <w:pPr>
              <w:pStyle w:val="11"/>
              <w:spacing w:line="400" w:lineRule="exact"/>
              <w:ind w:firstLine="420" w:firstLineChars="200"/>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bidi="ar"/>
              </w:rPr>
              <w:t>注：须提供相应业绩的合同（包括封面页、合同内容关键页、签字盖章页）扫描件并加盖单位公章。</w:t>
            </w:r>
          </w:p>
        </w:tc>
        <w:tc>
          <w:tcPr>
            <w:tcW w:w="901" w:type="dxa"/>
            <w:noWrap/>
            <w:vAlign w:val="center"/>
          </w:tcPr>
          <w:p w14:paraId="4B82416D">
            <w:pPr>
              <w:pStyle w:val="11"/>
              <w:spacing w:line="400" w:lineRule="exact"/>
              <w:rPr>
                <w:rFonts w:hint="eastAsia" w:ascii="宋体" w:hAnsi="宋体" w:cs="宋体"/>
                <w:bCs/>
                <w:kern w:val="2"/>
                <w:sz w:val="21"/>
                <w:szCs w:val="21"/>
                <w:highlight w:val="none"/>
                <w:lang w:bidi="ar"/>
              </w:rPr>
            </w:pPr>
            <w:r>
              <w:rPr>
                <w:rFonts w:hint="eastAsia" w:ascii="宋体" w:hAnsi="宋体" w:cs="宋体"/>
                <w:bCs/>
                <w:kern w:val="2"/>
                <w:sz w:val="21"/>
                <w:szCs w:val="21"/>
                <w:highlight w:val="none"/>
                <w:lang w:val="en-US" w:eastAsia="zh-CN" w:bidi="ar"/>
              </w:rPr>
              <w:t>12</w:t>
            </w:r>
            <w:r>
              <w:rPr>
                <w:rFonts w:hint="eastAsia" w:ascii="宋体" w:hAnsi="宋体" w:cs="宋体"/>
                <w:bCs/>
                <w:kern w:val="2"/>
                <w:sz w:val="21"/>
                <w:szCs w:val="21"/>
                <w:highlight w:val="none"/>
                <w:lang w:bidi="ar"/>
              </w:rPr>
              <w:t>分</w:t>
            </w:r>
          </w:p>
        </w:tc>
      </w:tr>
      <w:tr w14:paraId="5246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090" w:type="dxa"/>
            <w:gridSpan w:val="4"/>
            <w:noWrap/>
          </w:tcPr>
          <w:p w14:paraId="18799991">
            <w:pPr>
              <w:widowControl/>
              <w:spacing w:line="360" w:lineRule="auto"/>
              <w:jc w:val="center"/>
              <w:rPr>
                <w:rFonts w:ascii="仿宋_GB2312" w:hAnsi="宋体" w:eastAsia="仿宋_GB2312" w:cs="Tahoma"/>
                <w:kern w:val="0"/>
                <w:sz w:val="24"/>
                <w:highlight w:val="none"/>
              </w:rPr>
            </w:pPr>
            <w:r>
              <w:rPr>
                <w:rFonts w:hint="eastAsia" w:ascii="仿宋_GB2312" w:hAnsi="宋体" w:eastAsia="仿宋_GB2312" w:cs="Tahoma"/>
                <w:b/>
                <w:bCs/>
                <w:kern w:val="0"/>
                <w:sz w:val="24"/>
                <w:highlight w:val="none"/>
              </w:rPr>
              <w:t>总得分＝1＋2＋3</w:t>
            </w:r>
          </w:p>
        </w:tc>
      </w:tr>
      <w:bookmarkEnd w:id="3"/>
    </w:tbl>
    <w:p w14:paraId="75A197DE">
      <w:pPr>
        <w:rPr>
          <w:highlight w:val="none"/>
        </w:rPr>
      </w:pPr>
    </w:p>
    <w:p w14:paraId="21547E62">
      <w:pPr>
        <w:ind w:firstLine="560"/>
        <w:rPr>
          <w:highlight w:val="none"/>
        </w:rPr>
      </w:pPr>
    </w:p>
    <w:p w14:paraId="0555B041">
      <w:pPr>
        <w:pStyle w:val="6"/>
        <w:rPr>
          <w:highlight w:val="none"/>
        </w:rPr>
      </w:pPr>
    </w:p>
    <w:p w14:paraId="4A2AF13F">
      <w:pPr>
        <w:ind w:firstLine="560" w:firstLineChars="200"/>
        <w:rPr>
          <w:rFonts w:ascii="仿宋" w:hAnsi="仿宋" w:eastAsia="仿宋"/>
          <w:sz w:val="28"/>
          <w:szCs w:val="28"/>
          <w:highlight w:val="none"/>
        </w:rPr>
      </w:pPr>
      <w:r>
        <w:rPr>
          <w:rFonts w:hint="eastAsia" w:ascii="仿宋" w:hAnsi="仿宋" w:eastAsia="仿宋"/>
          <w:sz w:val="28"/>
          <w:szCs w:val="28"/>
          <w:highlight w:val="none"/>
        </w:rPr>
        <w:t xml:space="preserve">                       </w:t>
      </w:r>
    </w:p>
    <w:p w14:paraId="0681FCBC">
      <w:pPr>
        <w:ind w:left="3639" w:leftChars="266" w:hanging="3080" w:hangingChars="1100"/>
        <w:jc w:val="right"/>
        <w:rPr>
          <w:rFonts w:ascii="仿宋_GB2312" w:eastAsia="仿宋_GB2312"/>
          <w:b/>
          <w:sz w:val="28"/>
          <w:szCs w:val="28"/>
          <w:highlight w:val="none"/>
        </w:rPr>
      </w:pPr>
      <w:r>
        <w:rPr>
          <w:rFonts w:hint="eastAsia" w:ascii="仿宋" w:hAnsi="仿宋" w:eastAsia="仿宋"/>
          <w:sz w:val="28"/>
          <w:szCs w:val="28"/>
          <w:highlight w:val="none"/>
        </w:rPr>
        <w:t xml:space="preserve">                广西壮族自治区交通运输综合行政执法局2025年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27</w:t>
      </w:r>
      <w:r>
        <w:rPr>
          <w:rFonts w:hint="eastAsia" w:ascii="仿宋" w:hAnsi="仿宋" w:eastAsia="仿宋"/>
          <w:sz w:val="28"/>
          <w:szCs w:val="28"/>
          <w:highlight w:val="none"/>
        </w:rPr>
        <w:t>日</w:t>
      </w:r>
      <w:r>
        <w:rPr>
          <w:rFonts w:ascii="仿宋_GB2312" w:eastAsia="仿宋_GB2312"/>
          <w:b/>
          <w:sz w:val="28"/>
          <w:szCs w:val="28"/>
          <w:highlight w:val="none"/>
        </w:rPr>
        <w:br w:type="page"/>
      </w:r>
    </w:p>
    <w:p w14:paraId="1CAF4F04">
      <w:pPr>
        <w:jc w:val="center"/>
        <w:rPr>
          <w:rFonts w:ascii="仿宋_GB2312" w:eastAsia="仿宋_GB2312"/>
          <w:b/>
          <w:sz w:val="28"/>
          <w:szCs w:val="28"/>
          <w:highlight w:val="none"/>
        </w:rPr>
      </w:pPr>
      <w:r>
        <w:rPr>
          <w:rFonts w:hint="eastAsia" w:ascii="仿宋_GB2312" w:eastAsia="仿宋_GB2312"/>
          <w:b/>
          <w:sz w:val="28"/>
          <w:szCs w:val="28"/>
          <w:highlight w:val="none"/>
        </w:rPr>
        <w:t>报价文件格式</w:t>
      </w:r>
    </w:p>
    <w:p w14:paraId="5AE0C50C">
      <w:pPr>
        <w:rPr>
          <w:rFonts w:ascii="仿宋_GB2312" w:hAnsi="宋体" w:eastAsia="仿宋_GB2312"/>
          <w:b/>
          <w:sz w:val="28"/>
          <w:szCs w:val="21"/>
          <w:highlight w:val="none"/>
        </w:rPr>
      </w:pPr>
      <w:r>
        <w:rPr>
          <w:rFonts w:hint="eastAsia" w:ascii="仿宋_GB2312" w:hAnsi="宋体" w:eastAsia="仿宋_GB2312"/>
          <w:b/>
          <w:sz w:val="28"/>
          <w:szCs w:val="21"/>
          <w:highlight w:val="none"/>
        </w:rPr>
        <w:t>一、声明书</w:t>
      </w:r>
    </w:p>
    <w:p w14:paraId="32576F1A">
      <w:pPr>
        <w:rPr>
          <w:rFonts w:ascii="仿宋_GB2312" w:hAnsi="宋体" w:eastAsia="仿宋_GB2312"/>
          <w:b/>
          <w:sz w:val="28"/>
          <w:szCs w:val="21"/>
          <w:highlight w:val="none"/>
        </w:rPr>
      </w:pPr>
      <w:r>
        <w:rPr>
          <w:rFonts w:hint="eastAsia" w:ascii="仿宋_GB2312" w:hAnsi="宋体" w:eastAsia="仿宋_GB2312"/>
          <w:b/>
          <w:sz w:val="28"/>
          <w:szCs w:val="21"/>
          <w:highlight w:val="none"/>
        </w:rPr>
        <w:t>二、服务方案</w:t>
      </w:r>
    </w:p>
    <w:p w14:paraId="38114E97">
      <w:pPr>
        <w:rPr>
          <w:rFonts w:ascii="仿宋_GB2312" w:hAnsi="宋体" w:eastAsia="仿宋_GB2312"/>
          <w:b/>
          <w:sz w:val="28"/>
          <w:szCs w:val="21"/>
          <w:highlight w:val="none"/>
        </w:rPr>
      </w:pPr>
      <w:r>
        <w:rPr>
          <w:rFonts w:hint="eastAsia" w:ascii="仿宋_GB2312" w:hAnsi="宋体" w:eastAsia="仿宋_GB2312"/>
          <w:b/>
          <w:sz w:val="28"/>
          <w:szCs w:val="21"/>
          <w:highlight w:val="none"/>
        </w:rPr>
        <w:t>三、报价表</w:t>
      </w:r>
    </w:p>
    <w:p w14:paraId="2B0E6742">
      <w:pPr>
        <w:rPr>
          <w:rFonts w:ascii="仿宋_GB2312" w:hAnsi="宋体" w:eastAsia="仿宋_GB2312"/>
          <w:b/>
          <w:sz w:val="28"/>
          <w:szCs w:val="21"/>
          <w:highlight w:val="none"/>
        </w:rPr>
      </w:pPr>
      <w:r>
        <w:rPr>
          <w:rFonts w:hint="eastAsia" w:ascii="仿宋_GB2312" w:hAnsi="宋体" w:eastAsia="仿宋_GB2312"/>
          <w:b/>
          <w:sz w:val="28"/>
          <w:szCs w:val="21"/>
          <w:highlight w:val="none"/>
        </w:rPr>
        <w:t>四</w:t>
      </w:r>
      <w:r>
        <w:rPr>
          <w:rFonts w:ascii="仿宋_GB2312" w:hAnsi="宋体" w:eastAsia="仿宋_GB2312"/>
          <w:b/>
          <w:sz w:val="28"/>
          <w:szCs w:val="21"/>
          <w:highlight w:val="none"/>
        </w:rPr>
        <w:t>、</w:t>
      </w:r>
      <w:r>
        <w:rPr>
          <w:rFonts w:hint="eastAsia" w:ascii="仿宋_GB2312" w:hAnsi="宋体" w:eastAsia="仿宋_GB2312"/>
          <w:b/>
          <w:sz w:val="28"/>
          <w:szCs w:val="21"/>
          <w:highlight w:val="none"/>
        </w:rPr>
        <w:t>营业执照复印件</w:t>
      </w:r>
    </w:p>
    <w:p w14:paraId="7E685EEB">
      <w:pPr>
        <w:rPr>
          <w:rFonts w:ascii="仿宋_GB2312" w:hAnsi="宋体" w:eastAsia="仿宋_GB2312"/>
          <w:b/>
          <w:sz w:val="28"/>
          <w:szCs w:val="21"/>
          <w:highlight w:val="none"/>
        </w:rPr>
      </w:pPr>
      <w:r>
        <w:rPr>
          <w:rFonts w:hint="eastAsia" w:ascii="仿宋_GB2312" w:hAnsi="宋体" w:eastAsia="仿宋_GB2312"/>
          <w:b/>
          <w:sz w:val="28"/>
          <w:szCs w:val="21"/>
          <w:highlight w:val="none"/>
        </w:rPr>
        <w:t>五、法定代表人授权书（如非法定代表人报价请提供）</w:t>
      </w:r>
    </w:p>
    <w:p w14:paraId="1ED7B2FD">
      <w:pPr>
        <w:rPr>
          <w:rFonts w:ascii="仿宋_GB2312" w:hAnsi="宋体" w:eastAsia="仿宋_GB2312"/>
          <w:b/>
          <w:sz w:val="28"/>
          <w:szCs w:val="21"/>
          <w:highlight w:val="none"/>
        </w:rPr>
      </w:pPr>
      <w:r>
        <w:rPr>
          <w:rFonts w:hint="eastAsia" w:ascii="仿宋_GB2312" w:hAnsi="宋体" w:eastAsia="仿宋_GB2312"/>
          <w:b/>
          <w:sz w:val="28"/>
          <w:szCs w:val="21"/>
          <w:highlight w:val="none"/>
        </w:rPr>
        <w:t>六、相关业绩证明材料</w:t>
      </w:r>
    </w:p>
    <w:p w14:paraId="5F2B3033">
      <w:pPr>
        <w:rPr>
          <w:rFonts w:ascii="仿宋_GB2312" w:hAnsi="宋体" w:eastAsia="仿宋_GB2312"/>
          <w:b/>
          <w:sz w:val="28"/>
          <w:szCs w:val="21"/>
          <w:highlight w:val="none"/>
        </w:rPr>
      </w:pPr>
      <w:r>
        <w:rPr>
          <w:rFonts w:hint="eastAsia" w:ascii="仿宋_GB2312" w:hAnsi="宋体" w:eastAsia="仿宋_GB2312"/>
          <w:b/>
          <w:sz w:val="28"/>
          <w:szCs w:val="21"/>
          <w:highlight w:val="none"/>
        </w:rPr>
        <w:t>七、其他需要提供的材料</w:t>
      </w:r>
    </w:p>
    <w:p w14:paraId="0D6FAA9F">
      <w:pPr>
        <w:rPr>
          <w:rFonts w:ascii="仿宋_GB2312" w:hAnsi="宋体" w:eastAsia="仿宋_GB2312"/>
          <w:b/>
          <w:sz w:val="28"/>
          <w:szCs w:val="21"/>
          <w:highlight w:val="none"/>
        </w:rPr>
      </w:pPr>
    </w:p>
    <w:p w14:paraId="603D2594">
      <w:pPr>
        <w:rPr>
          <w:rFonts w:ascii="仿宋_GB2312" w:hAnsi="宋体" w:eastAsia="仿宋_GB2312"/>
          <w:b/>
          <w:sz w:val="28"/>
          <w:szCs w:val="21"/>
          <w:highlight w:val="none"/>
        </w:rPr>
      </w:pPr>
    </w:p>
    <w:p w14:paraId="45D0F927">
      <w:pPr>
        <w:rPr>
          <w:rFonts w:ascii="仿宋_GB2312" w:hAnsi="宋体" w:eastAsia="仿宋_GB2312"/>
          <w:b/>
          <w:sz w:val="28"/>
          <w:szCs w:val="21"/>
          <w:highlight w:val="none"/>
        </w:rPr>
      </w:pPr>
    </w:p>
    <w:p w14:paraId="5A53E8BE">
      <w:pPr>
        <w:rPr>
          <w:rFonts w:ascii="仿宋_GB2312" w:hAnsi="宋体" w:eastAsia="仿宋_GB2312"/>
          <w:b/>
          <w:sz w:val="28"/>
          <w:szCs w:val="21"/>
          <w:highlight w:val="none"/>
        </w:rPr>
      </w:pPr>
    </w:p>
    <w:p w14:paraId="12F6D9B6">
      <w:pPr>
        <w:rPr>
          <w:rFonts w:ascii="仿宋_GB2312" w:hAnsi="宋体" w:eastAsia="仿宋_GB2312"/>
          <w:b/>
          <w:sz w:val="28"/>
          <w:szCs w:val="21"/>
          <w:highlight w:val="none"/>
        </w:rPr>
      </w:pPr>
    </w:p>
    <w:p w14:paraId="2CAE3B9F">
      <w:pPr>
        <w:rPr>
          <w:rFonts w:ascii="仿宋_GB2312" w:hAnsi="宋体" w:eastAsia="仿宋_GB2312"/>
          <w:b/>
          <w:sz w:val="28"/>
          <w:szCs w:val="21"/>
          <w:highlight w:val="none"/>
        </w:rPr>
      </w:pPr>
    </w:p>
    <w:p w14:paraId="2BF8A091">
      <w:pPr>
        <w:rPr>
          <w:rFonts w:ascii="仿宋_GB2312" w:hAnsi="宋体" w:eastAsia="仿宋_GB2312"/>
          <w:b/>
          <w:sz w:val="28"/>
          <w:szCs w:val="21"/>
          <w:highlight w:val="none"/>
        </w:rPr>
      </w:pPr>
    </w:p>
    <w:p w14:paraId="7BFA922F">
      <w:pPr>
        <w:rPr>
          <w:rFonts w:ascii="仿宋_GB2312" w:hAnsi="宋体" w:eastAsia="仿宋_GB2312"/>
          <w:b/>
          <w:sz w:val="28"/>
          <w:szCs w:val="21"/>
          <w:highlight w:val="none"/>
        </w:rPr>
      </w:pPr>
    </w:p>
    <w:p w14:paraId="01994531">
      <w:pPr>
        <w:rPr>
          <w:rFonts w:ascii="仿宋_GB2312" w:hAnsi="宋体" w:eastAsia="仿宋_GB2312"/>
          <w:b/>
          <w:sz w:val="28"/>
          <w:szCs w:val="21"/>
          <w:highlight w:val="none"/>
        </w:rPr>
      </w:pPr>
    </w:p>
    <w:p w14:paraId="2B8F7D52">
      <w:pPr>
        <w:rPr>
          <w:rFonts w:ascii="仿宋_GB2312" w:hAnsi="宋体" w:eastAsia="仿宋_GB2312"/>
          <w:b/>
          <w:sz w:val="28"/>
          <w:szCs w:val="21"/>
          <w:highlight w:val="none"/>
        </w:rPr>
      </w:pPr>
    </w:p>
    <w:p w14:paraId="721A971C">
      <w:pPr>
        <w:rPr>
          <w:rFonts w:ascii="仿宋_GB2312" w:hAnsi="宋体" w:eastAsia="仿宋_GB2312"/>
          <w:b/>
          <w:sz w:val="28"/>
          <w:szCs w:val="21"/>
          <w:highlight w:val="none"/>
        </w:rPr>
      </w:pPr>
    </w:p>
    <w:p w14:paraId="7FAECFD1">
      <w:pPr>
        <w:rPr>
          <w:rFonts w:ascii="仿宋_GB2312" w:hAnsi="宋体" w:eastAsia="仿宋_GB2312"/>
          <w:b/>
          <w:sz w:val="28"/>
          <w:szCs w:val="21"/>
          <w:highlight w:val="none"/>
        </w:rPr>
      </w:pPr>
    </w:p>
    <w:p w14:paraId="6039FAA2">
      <w:pPr>
        <w:rPr>
          <w:rFonts w:ascii="仿宋_GB2312" w:hAnsi="宋体" w:eastAsia="仿宋_GB2312"/>
          <w:b/>
          <w:sz w:val="28"/>
          <w:szCs w:val="21"/>
          <w:highlight w:val="none"/>
        </w:rPr>
      </w:pPr>
    </w:p>
    <w:p w14:paraId="1D1E8B6F">
      <w:pPr>
        <w:widowControl/>
        <w:jc w:val="left"/>
        <w:rPr>
          <w:rFonts w:ascii="仿宋_GB2312" w:hAnsi="楷体" w:eastAsia="仿宋_GB2312"/>
          <w:b/>
          <w:sz w:val="32"/>
          <w:szCs w:val="32"/>
          <w:highlight w:val="none"/>
        </w:rPr>
      </w:pPr>
      <w:r>
        <w:rPr>
          <w:rFonts w:ascii="仿宋_GB2312" w:hAnsi="楷体" w:eastAsia="仿宋_GB2312"/>
          <w:b/>
          <w:sz w:val="32"/>
          <w:szCs w:val="32"/>
          <w:highlight w:val="none"/>
        </w:rPr>
        <w:br w:type="page"/>
      </w:r>
    </w:p>
    <w:p w14:paraId="1B9ACC34">
      <w:pPr>
        <w:spacing w:line="240" w:lineRule="atLeast"/>
        <w:ind w:right="-317" w:rightChars="-151"/>
        <w:jc w:val="center"/>
        <w:rPr>
          <w:rFonts w:ascii="仿宋_GB2312" w:hAnsi="楷体" w:eastAsia="仿宋_GB2312"/>
          <w:b/>
          <w:sz w:val="32"/>
          <w:szCs w:val="32"/>
          <w:highlight w:val="none"/>
        </w:rPr>
      </w:pPr>
      <w:r>
        <w:rPr>
          <w:rFonts w:hint="eastAsia" w:ascii="仿宋_GB2312" w:hAnsi="楷体" w:eastAsia="仿宋_GB2312"/>
          <w:b/>
          <w:sz w:val="32"/>
          <w:szCs w:val="32"/>
          <w:highlight w:val="none"/>
        </w:rPr>
        <w:t>声明书</w:t>
      </w:r>
    </w:p>
    <w:p w14:paraId="77E2FCDE">
      <w:pPr>
        <w:spacing w:line="360" w:lineRule="auto"/>
        <w:rPr>
          <w:rFonts w:ascii="仿宋_GB2312" w:hAnsi="宋体" w:eastAsia="仿宋_GB2312"/>
          <w:sz w:val="24"/>
          <w:highlight w:val="none"/>
        </w:rPr>
      </w:pPr>
      <w:r>
        <w:rPr>
          <w:rFonts w:hint="eastAsia" w:ascii="仿宋_GB2312" w:hAnsi="宋体" w:eastAsia="仿宋_GB2312"/>
          <w:sz w:val="24"/>
          <w:highlight w:val="none"/>
        </w:rPr>
        <w:t>广西壮族自治区交通运输综合行政执法局：</w:t>
      </w:r>
    </w:p>
    <w:p w14:paraId="4CA030BD">
      <w:pPr>
        <w:spacing w:line="360" w:lineRule="auto"/>
        <w:ind w:firstLine="480" w:firstLineChars="200"/>
        <w:rPr>
          <w:rFonts w:ascii="仿宋_GB2312" w:hAnsi="宋体" w:eastAsia="仿宋_GB2312" w:cs="仿宋_GB2312"/>
          <w:sz w:val="24"/>
          <w:highlight w:val="none"/>
          <w:u w:val="single"/>
        </w:rPr>
      </w:pPr>
      <w:r>
        <w:rPr>
          <w:rFonts w:hint="eastAsia" w:ascii="仿宋_GB2312" w:hAnsi="宋体" w:eastAsia="仿宋_GB2312" w:cs="仿宋_GB2312"/>
          <w:sz w:val="24"/>
          <w:highlight w:val="none"/>
        </w:rPr>
        <w:t>依据贵方</w:t>
      </w:r>
      <w:r>
        <w:rPr>
          <w:rFonts w:hint="eastAsia" w:ascii="仿宋_GB2312" w:hAnsi="宋体" w:eastAsia="仿宋_GB2312" w:cs="仿宋_GB2312"/>
          <w:sz w:val="24"/>
          <w:highlight w:val="none"/>
          <w:u w:val="single"/>
        </w:rPr>
        <w:t>广西交通运输综合执法系统第三方评测服务项目</w:t>
      </w:r>
      <w:r>
        <w:rPr>
          <w:rFonts w:hint="eastAsia" w:ascii="仿宋_GB2312" w:hAnsi="宋体" w:eastAsia="仿宋_GB2312" w:cs="仿宋_GB2312"/>
          <w:sz w:val="24"/>
          <w:highlight w:val="none"/>
        </w:rPr>
        <w:t>的询价采购</w:t>
      </w:r>
      <w:r>
        <w:rPr>
          <w:rFonts w:hint="eastAsia" w:ascii="仿宋_GB2312" w:hAnsi="宋体" w:eastAsia="仿宋_GB2312" w:cs="仿宋_GB2312"/>
          <w:sz w:val="24"/>
          <w:highlight w:val="none"/>
          <w:lang w:val="en-US" w:eastAsia="zh-CN"/>
        </w:rPr>
        <w:t>需求</w:t>
      </w:r>
      <w:r>
        <w:rPr>
          <w:rFonts w:hint="eastAsia" w:ascii="仿宋_GB2312" w:hAnsi="宋体" w:eastAsia="仿宋_GB2312" w:cs="仿宋_GB2312"/>
          <w:sz w:val="24"/>
          <w:highlight w:val="none"/>
        </w:rPr>
        <w:t>，我方</w:t>
      </w:r>
      <w:r>
        <w:rPr>
          <w:rFonts w:hint="eastAsia" w:ascii="仿宋_GB2312" w:hAnsi="宋体" w:eastAsia="仿宋_GB2312" w:cs="仿宋_GB2312"/>
          <w:sz w:val="24"/>
          <w:highlight w:val="none"/>
          <w:u w:val="single"/>
        </w:rPr>
        <w:t xml:space="preserve">（委托代理人名字）    </w:t>
      </w:r>
      <w:r>
        <w:rPr>
          <w:rFonts w:hint="eastAsia" w:ascii="仿宋_GB2312" w:hAnsi="宋体" w:eastAsia="仿宋_GB2312" w:cs="仿宋_GB2312"/>
          <w:sz w:val="24"/>
          <w:highlight w:val="none"/>
        </w:rPr>
        <w:t>经正式授权并代表报价方</w:t>
      </w:r>
      <w:r>
        <w:rPr>
          <w:rFonts w:hint="eastAsia" w:ascii="仿宋_GB2312" w:hAnsi="宋体" w:eastAsia="仿宋_GB2312" w:cs="仿宋_GB2312"/>
          <w:sz w:val="24"/>
          <w:highlight w:val="none"/>
          <w:u w:val="single"/>
        </w:rPr>
        <w:t xml:space="preserve">      （名称）</w:t>
      </w:r>
      <w:r>
        <w:rPr>
          <w:rFonts w:hint="eastAsia" w:ascii="仿宋_GB2312" w:hAnsi="宋体" w:eastAsia="仿宋_GB2312"/>
          <w:sz w:val="24"/>
          <w:highlight w:val="none"/>
        </w:rPr>
        <w:t>提交“报价文件”正本一份，副本两份。</w:t>
      </w:r>
    </w:p>
    <w:p w14:paraId="0A689EF6">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在此，授权代表宣布同意如下：</w:t>
      </w:r>
    </w:p>
    <w:p w14:paraId="63694279">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1.报价方已详细审查“采购文件”，已经了解我方对于采购文件、采购过程、采购结果有依法进行询问、质疑、投诉的权利及相关渠道和要求。</w:t>
      </w:r>
      <w:bookmarkStart w:id="4" w:name="_GoBack"/>
      <w:bookmarkEnd w:id="4"/>
    </w:p>
    <w:p w14:paraId="00C7E5D3">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2.报价方在报价之前已经与采购方进行了充分的沟通，完全理解并接受采购文件的各项规定和要求，对采购文件的合理性、合法性不再有异议。</w:t>
      </w:r>
    </w:p>
    <w:p w14:paraId="3EE745F8">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3.本报价有效期自开标日起</w:t>
      </w:r>
      <w:r>
        <w:rPr>
          <w:rFonts w:hint="eastAsia" w:ascii="仿宋_GB2312" w:hAnsi="宋体" w:eastAsia="仿宋_GB2312"/>
          <w:sz w:val="24"/>
          <w:highlight w:val="none"/>
          <w:u w:val="single"/>
        </w:rPr>
        <w:t xml:space="preserve"> </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个自然日。</w:t>
      </w:r>
    </w:p>
    <w:p w14:paraId="7B2D650A">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4.如成交，本报价文件至本项目合同履行完毕止均保持有效，报价方将按“采购文件”及政府采购法律、法规的规定履行合同责任和义务。</w:t>
      </w:r>
    </w:p>
    <w:p w14:paraId="7863CE9A">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5.报价方同意按照采购方要求提供与报价有关的一切数据或资料。</w:t>
      </w:r>
    </w:p>
    <w:p w14:paraId="69939FDD">
      <w:pPr>
        <w:ind w:firstLine="5400" w:firstLineChars="2250"/>
        <w:rPr>
          <w:rFonts w:ascii="仿宋_GB2312" w:hAnsi="宋体" w:eastAsia="仿宋_GB2312"/>
          <w:sz w:val="24"/>
          <w:highlight w:val="none"/>
        </w:rPr>
      </w:pPr>
    </w:p>
    <w:p w14:paraId="50E274CF">
      <w:pPr>
        <w:ind w:firstLine="5400" w:firstLineChars="2250"/>
        <w:rPr>
          <w:rFonts w:ascii="仿宋_GB2312" w:hAnsi="宋体" w:eastAsia="仿宋_GB2312"/>
          <w:sz w:val="24"/>
          <w:highlight w:val="none"/>
        </w:rPr>
      </w:pPr>
    </w:p>
    <w:p w14:paraId="7C767B79">
      <w:pPr>
        <w:ind w:firstLine="5400" w:firstLineChars="2250"/>
        <w:rPr>
          <w:rFonts w:ascii="仿宋_GB2312" w:hAnsi="宋体" w:eastAsia="仿宋_GB2312"/>
          <w:sz w:val="24"/>
          <w:highlight w:val="none"/>
        </w:rPr>
      </w:pPr>
    </w:p>
    <w:p w14:paraId="61087582">
      <w:pPr>
        <w:ind w:firstLine="5400" w:firstLineChars="2250"/>
        <w:rPr>
          <w:rFonts w:ascii="仿宋_GB2312" w:hAnsi="宋体" w:eastAsia="仿宋_GB2312"/>
          <w:sz w:val="24"/>
          <w:highlight w:val="none"/>
        </w:rPr>
      </w:pPr>
      <w:r>
        <w:rPr>
          <w:rFonts w:hint="eastAsia" w:ascii="仿宋_GB2312" w:hAnsi="宋体" w:eastAsia="仿宋_GB2312"/>
          <w:sz w:val="24"/>
          <w:highlight w:val="none"/>
        </w:rPr>
        <w:t>日期：        年   月  日</w:t>
      </w:r>
    </w:p>
    <w:p w14:paraId="32112D58">
      <w:pPr>
        <w:spacing w:line="360" w:lineRule="auto"/>
        <w:rPr>
          <w:rFonts w:ascii="仿宋_GB2312" w:hAnsi="宋体" w:eastAsia="仿宋_GB2312"/>
          <w:sz w:val="24"/>
          <w:highlight w:val="none"/>
        </w:rPr>
      </w:pPr>
    </w:p>
    <w:p w14:paraId="5580B3AB">
      <w:pPr>
        <w:spacing w:line="360" w:lineRule="auto"/>
        <w:rPr>
          <w:rFonts w:ascii="仿宋_GB2312" w:hAnsi="宋体" w:eastAsia="仿宋_GB2312"/>
          <w:sz w:val="24"/>
          <w:highlight w:val="none"/>
        </w:rPr>
      </w:pPr>
    </w:p>
    <w:p w14:paraId="01C6C0FC">
      <w:pPr>
        <w:spacing w:line="360" w:lineRule="auto"/>
        <w:rPr>
          <w:rFonts w:ascii="仿宋_GB2312" w:hAnsi="宋体" w:eastAsia="仿宋_GB2312"/>
          <w:sz w:val="24"/>
          <w:highlight w:val="none"/>
        </w:rPr>
      </w:pPr>
    </w:p>
    <w:p w14:paraId="26046632">
      <w:pPr>
        <w:spacing w:line="360" w:lineRule="auto"/>
        <w:rPr>
          <w:rFonts w:ascii="仿宋_GB2312" w:hAnsi="宋体" w:eastAsia="仿宋_GB2312"/>
          <w:sz w:val="24"/>
          <w:highlight w:val="none"/>
        </w:rPr>
      </w:pPr>
    </w:p>
    <w:p w14:paraId="12B9CDCD">
      <w:pPr>
        <w:spacing w:line="360" w:lineRule="auto"/>
        <w:rPr>
          <w:rFonts w:ascii="仿宋_GB2312" w:hAnsi="宋体" w:eastAsia="仿宋_GB2312"/>
          <w:sz w:val="24"/>
          <w:highlight w:val="none"/>
        </w:rPr>
      </w:pPr>
      <w:r>
        <w:rPr>
          <w:rFonts w:hint="eastAsia" w:ascii="仿宋_GB2312" w:hAnsi="宋体" w:eastAsia="仿宋_GB2312"/>
          <w:sz w:val="24"/>
          <w:highlight w:val="none"/>
        </w:rPr>
        <w:t>报价方法定代表人或委托代理人签字：</w:t>
      </w:r>
    </w:p>
    <w:p w14:paraId="02F9B5A8">
      <w:pPr>
        <w:spacing w:line="360" w:lineRule="auto"/>
        <w:rPr>
          <w:rFonts w:ascii="仿宋_GB2312" w:hAnsi="宋体" w:eastAsia="仿宋_GB2312"/>
          <w:sz w:val="24"/>
          <w:highlight w:val="none"/>
          <w:u w:val="single"/>
        </w:rPr>
      </w:pPr>
      <w:r>
        <w:rPr>
          <w:rFonts w:hint="eastAsia" w:ascii="仿宋_GB2312" w:hAnsi="宋体" w:eastAsia="仿宋_GB2312"/>
          <w:sz w:val="24"/>
          <w:highlight w:val="none"/>
        </w:rPr>
        <w:t>报价方名称（公章）：</w:t>
      </w:r>
    </w:p>
    <w:p w14:paraId="448DE10F">
      <w:pPr>
        <w:spacing w:line="360" w:lineRule="auto"/>
        <w:rPr>
          <w:rFonts w:ascii="仿宋_GB2312" w:hAnsi="宋体" w:eastAsia="仿宋_GB2312"/>
          <w:sz w:val="24"/>
          <w:highlight w:val="none"/>
          <w:u w:val="single"/>
        </w:rPr>
      </w:pPr>
      <w:r>
        <w:rPr>
          <w:rFonts w:hint="eastAsia" w:ascii="仿宋_GB2312" w:hAnsi="宋体" w:eastAsia="仿宋_GB2312"/>
          <w:sz w:val="24"/>
          <w:highlight w:val="none"/>
        </w:rPr>
        <w:t>开户名称：</w:t>
      </w:r>
    </w:p>
    <w:p w14:paraId="62F361CB">
      <w:pPr>
        <w:pStyle w:val="7"/>
        <w:spacing w:line="360" w:lineRule="auto"/>
        <w:rPr>
          <w:rFonts w:ascii="仿宋_GB2312" w:hAnsi="宋体" w:eastAsia="仿宋_GB2312" w:cs="宋体"/>
          <w:sz w:val="24"/>
          <w:szCs w:val="24"/>
          <w:highlight w:val="none"/>
          <w:u w:val="single"/>
        </w:rPr>
      </w:pPr>
      <w:r>
        <w:rPr>
          <w:rFonts w:hint="eastAsia" w:ascii="仿宋_GB2312" w:hAnsi="宋体" w:eastAsia="仿宋_GB2312"/>
          <w:sz w:val="24"/>
          <w:szCs w:val="24"/>
          <w:highlight w:val="none"/>
        </w:rPr>
        <w:t>开户银行：</w:t>
      </w:r>
    </w:p>
    <w:p w14:paraId="1351FF08">
      <w:pPr>
        <w:spacing w:line="240" w:lineRule="atLeast"/>
        <w:ind w:right="-317" w:rightChars="-151"/>
        <w:rPr>
          <w:rFonts w:ascii="仿宋_GB2312" w:hAnsi="宋体" w:eastAsia="仿宋_GB2312"/>
          <w:b/>
          <w:sz w:val="28"/>
          <w:szCs w:val="21"/>
          <w:highlight w:val="none"/>
        </w:rPr>
      </w:pPr>
      <w:r>
        <w:rPr>
          <w:rFonts w:hint="eastAsia" w:ascii="仿宋_GB2312" w:hAnsi="宋体" w:eastAsia="仿宋_GB2312"/>
          <w:sz w:val="24"/>
          <w:highlight w:val="none"/>
        </w:rPr>
        <w:t>账    号：</w:t>
      </w:r>
      <w:r>
        <w:rPr>
          <w:rFonts w:hint="eastAsia" w:ascii="仿宋_GB2312" w:hAnsi="宋体" w:eastAsia="仿宋_GB2312"/>
          <w:b/>
          <w:sz w:val="28"/>
          <w:szCs w:val="21"/>
          <w:highlight w:val="none"/>
        </w:rPr>
        <w:t xml:space="preserve"> </w:t>
      </w:r>
    </w:p>
    <w:p w14:paraId="35562D3F">
      <w:pPr>
        <w:spacing w:line="240" w:lineRule="atLeast"/>
        <w:ind w:right="-317" w:rightChars="-151"/>
        <w:jc w:val="center"/>
        <w:rPr>
          <w:rFonts w:ascii="仿宋_GB2312" w:hAnsi="宋体" w:eastAsia="仿宋_GB2312"/>
          <w:b/>
          <w:sz w:val="28"/>
          <w:szCs w:val="21"/>
          <w:highlight w:val="none"/>
        </w:rPr>
      </w:pPr>
    </w:p>
    <w:p w14:paraId="6933FC3E">
      <w:pPr>
        <w:spacing w:line="240" w:lineRule="atLeast"/>
        <w:ind w:right="-317" w:rightChars="-151"/>
        <w:jc w:val="center"/>
        <w:rPr>
          <w:rFonts w:ascii="仿宋_GB2312" w:hAnsi="宋体" w:eastAsia="仿宋_GB2312"/>
          <w:b/>
          <w:sz w:val="28"/>
          <w:szCs w:val="21"/>
          <w:highlight w:val="none"/>
        </w:rPr>
      </w:pPr>
    </w:p>
    <w:p w14:paraId="7FBE88F4">
      <w:pPr>
        <w:spacing w:line="240" w:lineRule="atLeast"/>
        <w:ind w:right="-317" w:rightChars="-151"/>
        <w:jc w:val="center"/>
        <w:rPr>
          <w:rFonts w:ascii="仿宋_GB2312" w:hAnsi="宋体" w:eastAsia="仿宋_GB2312"/>
          <w:b/>
          <w:sz w:val="28"/>
          <w:szCs w:val="21"/>
          <w:highlight w:val="none"/>
        </w:rPr>
      </w:pPr>
    </w:p>
    <w:p w14:paraId="1CBB898A">
      <w:pPr>
        <w:spacing w:line="240" w:lineRule="atLeast"/>
        <w:ind w:right="-317" w:rightChars="-151"/>
        <w:rPr>
          <w:rFonts w:ascii="仿宋_GB2312" w:hAnsi="宋体" w:eastAsia="仿宋_GB2312"/>
          <w:b/>
          <w:sz w:val="28"/>
          <w:szCs w:val="21"/>
          <w:highlight w:val="none"/>
        </w:rPr>
      </w:pPr>
    </w:p>
    <w:p w14:paraId="6C30FBE4">
      <w:pPr>
        <w:spacing w:line="240" w:lineRule="atLeast"/>
        <w:ind w:right="-317" w:rightChars="-151"/>
        <w:jc w:val="center"/>
        <w:rPr>
          <w:rFonts w:ascii="仿宋_GB2312" w:hAnsi="楷体" w:eastAsia="仿宋_GB2312"/>
          <w:b/>
          <w:sz w:val="32"/>
          <w:szCs w:val="32"/>
          <w:highlight w:val="none"/>
        </w:rPr>
      </w:pPr>
      <w:r>
        <w:rPr>
          <w:rFonts w:hint="eastAsia" w:ascii="仿宋_GB2312" w:hAnsi="楷体" w:eastAsia="仿宋_GB2312"/>
          <w:b/>
          <w:sz w:val="32"/>
          <w:szCs w:val="32"/>
          <w:highlight w:val="none"/>
        </w:rPr>
        <w:t>服务方案</w:t>
      </w:r>
    </w:p>
    <w:p w14:paraId="64EF881E">
      <w:pPr>
        <w:spacing w:line="240" w:lineRule="atLeast"/>
        <w:ind w:right="-317" w:rightChars="-151"/>
        <w:jc w:val="center"/>
        <w:rPr>
          <w:rFonts w:ascii="仿宋_GB2312" w:hAnsi="楷体" w:eastAsia="仿宋_GB2312"/>
          <w:b/>
          <w:sz w:val="32"/>
          <w:szCs w:val="32"/>
          <w:highlight w:val="none"/>
        </w:rPr>
      </w:pPr>
    </w:p>
    <w:p w14:paraId="616A1716">
      <w:pPr>
        <w:spacing w:line="240" w:lineRule="atLeast"/>
        <w:ind w:right="-317" w:rightChars="-151"/>
        <w:jc w:val="center"/>
        <w:rPr>
          <w:rFonts w:ascii="仿宋_GB2312" w:hAnsi="楷体" w:eastAsia="仿宋_GB2312"/>
          <w:b/>
          <w:sz w:val="32"/>
          <w:szCs w:val="32"/>
          <w:highlight w:val="none"/>
        </w:rPr>
      </w:pPr>
    </w:p>
    <w:p w14:paraId="185D0DBE">
      <w:pPr>
        <w:spacing w:line="240" w:lineRule="atLeast"/>
        <w:ind w:right="-317" w:rightChars="-151"/>
        <w:jc w:val="center"/>
        <w:rPr>
          <w:rFonts w:ascii="仿宋_GB2312" w:hAnsi="楷体" w:eastAsia="仿宋_GB2312"/>
          <w:b/>
          <w:sz w:val="32"/>
          <w:szCs w:val="32"/>
          <w:highlight w:val="none"/>
        </w:rPr>
      </w:pPr>
    </w:p>
    <w:p w14:paraId="6F4A817D">
      <w:pPr>
        <w:spacing w:line="240" w:lineRule="atLeast"/>
        <w:ind w:right="-317" w:rightChars="-151"/>
        <w:jc w:val="center"/>
        <w:rPr>
          <w:rFonts w:ascii="仿宋_GB2312" w:hAnsi="楷体" w:eastAsia="仿宋_GB2312"/>
          <w:b/>
          <w:sz w:val="32"/>
          <w:szCs w:val="32"/>
          <w:highlight w:val="none"/>
        </w:rPr>
      </w:pPr>
    </w:p>
    <w:p w14:paraId="6DCBB21F">
      <w:pPr>
        <w:spacing w:line="240" w:lineRule="atLeast"/>
        <w:ind w:right="-317" w:rightChars="-151"/>
        <w:jc w:val="center"/>
        <w:rPr>
          <w:rFonts w:ascii="仿宋_GB2312" w:hAnsi="楷体" w:eastAsia="仿宋_GB2312"/>
          <w:b/>
          <w:sz w:val="32"/>
          <w:szCs w:val="32"/>
          <w:highlight w:val="none"/>
        </w:rPr>
      </w:pPr>
    </w:p>
    <w:p w14:paraId="1323D596">
      <w:pPr>
        <w:spacing w:line="240" w:lineRule="atLeast"/>
        <w:ind w:right="-317" w:rightChars="-151"/>
        <w:jc w:val="center"/>
        <w:rPr>
          <w:rFonts w:ascii="仿宋_GB2312" w:hAnsi="楷体" w:eastAsia="仿宋_GB2312"/>
          <w:b/>
          <w:sz w:val="32"/>
          <w:szCs w:val="32"/>
          <w:highlight w:val="none"/>
        </w:rPr>
      </w:pPr>
    </w:p>
    <w:p w14:paraId="21D0C624">
      <w:pPr>
        <w:spacing w:line="240" w:lineRule="atLeast"/>
        <w:ind w:right="-317" w:rightChars="-151"/>
        <w:jc w:val="center"/>
        <w:rPr>
          <w:rFonts w:ascii="仿宋_GB2312" w:hAnsi="楷体" w:eastAsia="仿宋_GB2312"/>
          <w:b/>
          <w:sz w:val="32"/>
          <w:szCs w:val="32"/>
          <w:highlight w:val="none"/>
        </w:rPr>
      </w:pPr>
    </w:p>
    <w:p w14:paraId="7556E0E5">
      <w:pPr>
        <w:spacing w:line="240" w:lineRule="atLeast"/>
        <w:ind w:right="-317" w:rightChars="-151"/>
        <w:jc w:val="center"/>
        <w:rPr>
          <w:rFonts w:ascii="仿宋_GB2312" w:hAnsi="楷体" w:eastAsia="仿宋_GB2312"/>
          <w:b/>
          <w:sz w:val="32"/>
          <w:szCs w:val="32"/>
          <w:highlight w:val="none"/>
        </w:rPr>
      </w:pPr>
    </w:p>
    <w:p w14:paraId="44DAA132">
      <w:pPr>
        <w:spacing w:line="240" w:lineRule="atLeast"/>
        <w:ind w:right="-317" w:rightChars="-151"/>
        <w:jc w:val="center"/>
        <w:rPr>
          <w:rFonts w:ascii="仿宋_GB2312" w:hAnsi="楷体" w:eastAsia="仿宋_GB2312"/>
          <w:b/>
          <w:sz w:val="32"/>
          <w:szCs w:val="32"/>
          <w:highlight w:val="none"/>
        </w:rPr>
      </w:pPr>
    </w:p>
    <w:p w14:paraId="21BE061C">
      <w:pPr>
        <w:spacing w:line="240" w:lineRule="atLeast"/>
        <w:ind w:right="-317" w:rightChars="-151"/>
        <w:jc w:val="center"/>
        <w:rPr>
          <w:rFonts w:ascii="仿宋_GB2312" w:hAnsi="楷体" w:eastAsia="仿宋_GB2312"/>
          <w:b/>
          <w:sz w:val="32"/>
          <w:szCs w:val="32"/>
          <w:highlight w:val="none"/>
        </w:rPr>
      </w:pPr>
    </w:p>
    <w:p w14:paraId="26946143">
      <w:pPr>
        <w:spacing w:line="240" w:lineRule="atLeast"/>
        <w:ind w:right="-317" w:rightChars="-151"/>
        <w:jc w:val="center"/>
        <w:rPr>
          <w:rFonts w:ascii="仿宋_GB2312" w:hAnsi="楷体" w:eastAsia="仿宋_GB2312"/>
          <w:b/>
          <w:sz w:val="32"/>
          <w:szCs w:val="32"/>
          <w:highlight w:val="none"/>
        </w:rPr>
      </w:pPr>
    </w:p>
    <w:p w14:paraId="44A6C9E0">
      <w:pPr>
        <w:spacing w:line="240" w:lineRule="atLeast"/>
        <w:ind w:right="-317" w:rightChars="-151"/>
        <w:jc w:val="center"/>
        <w:rPr>
          <w:rFonts w:ascii="仿宋_GB2312" w:hAnsi="楷体" w:eastAsia="仿宋_GB2312"/>
          <w:b/>
          <w:sz w:val="32"/>
          <w:szCs w:val="32"/>
          <w:highlight w:val="none"/>
        </w:rPr>
      </w:pPr>
    </w:p>
    <w:p w14:paraId="5955D956">
      <w:pPr>
        <w:spacing w:line="240" w:lineRule="atLeast"/>
        <w:ind w:right="-317" w:rightChars="-151"/>
        <w:jc w:val="center"/>
        <w:rPr>
          <w:rFonts w:ascii="仿宋_GB2312" w:hAnsi="楷体" w:eastAsia="仿宋_GB2312"/>
          <w:b/>
          <w:sz w:val="32"/>
          <w:szCs w:val="32"/>
          <w:highlight w:val="none"/>
        </w:rPr>
      </w:pPr>
    </w:p>
    <w:p w14:paraId="3AA49B02">
      <w:pPr>
        <w:spacing w:line="240" w:lineRule="atLeast"/>
        <w:ind w:right="-317" w:rightChars="-151"/>
        <w:jc w:val="center"/>
        <w:rPr>
          <w:rFonts w:ascii="仿宋_GB2312" w:hAnsi="楷体" w:eastAsia="仿宋_GB2312"/>
          <w:b/>
          <w:sz w:val="32"/>
          <w:szCs w:val="32"/>
          <w:highlight w:val="none"/>
        </w:rPr>
      </w:pPr>
    </w:p>
    <w:p w14:paraId="7DD46907">
      <w:pPr>
        <w:spacing w:line="240" w:lineRule="atLeast"/>
        <w:ind w:right="-317" w:rightChars="-151"/>
        <w:jc w:val="center"/>
        <w:rPr>
          <w:rFonts w:ascii="仿宋_GB2312" w:hAnsi="楷体" w:eastAsia="仿宋_GB2312"/>
          <w:b/>
          <w:sz w:val="32"/>
          <w:szCs w:val="32"/>
          <w:highlight w:val="none"/>
        </w:rPr>
      </w:pPr>
    </w:p>
    <w:p w14:paraId="0AEBE1D7">
      <w:pPr>
        <w:spacing w:line="240" w:lineRule="atLeast"/>
        <w:ind w:right="-317" w:rightChars="-151"/>
        <w:jc w:val="center"/>
        <w:rPr>
          <w:rFonts w:ascii="仿宋_GB2312" w:hAnsi="楷体" w:eastAsia="仿宋_GB2312"/>
          <w:b/>
          <w:sz w:val="32"/>
          <w:szCs w:val="32"/>
          <w:highlight w:val="none"/>
        </w:rPr>
      </w:pPr>
    </w:p>
    <w:p w14:paraId="07EE8FEC">
      <w:pPr>
        <w:spacing w:line="240" w:lineRule="atLeast"/>
        <w:ind w:right="-317" w:rightChars="-151"/>
        <w:jc w:val="center"/>
        <w:rPr>
          <w:rFonts w:ascii="仿宋_GB2312" w:hAnsi="楷体" w:eastAsia="仿宋_GB2312"/>
          <w:b/>
          <w:sz w:val="32"/>
          <w:szCs w:val="32"/>
          <w:highlight w:val="none"/>
        </w:rPr>
      </w:pPr>
    </w:p>
    <w:p w14:paraId="01317755">
      <w:pPr>
        <w:spacing w:line="240" w:lineRule="atLeast"/>
        <w:ind w:right="-317" w:rightChars="-151"/>
        <w:jc w:val="center"/>
        <w:rPr>
          <w:rFonts w:ascii="仿宋_GB2312" w:hAnsi="楷体" w:eastAsia="仿宋_GB2312"/>
          <w:b/>
          <w:sz w:val="32"/>
          <w:szCs w:val="32"/>
          <w:highlight w:val="none"/>
        </w:rPr>
      </w:pPr>
    </w:p>
    <w:p w14:paraId="089ED032">
      <w:pPr>
        <w:spacing w:line="240" w:lineRule="atLeast"/>
        <w:ind w:right="-317" w:rightChars="-151"/>
        <w:jc w:val="center"/>
        <w:rPr>
          <w:rFonts w:ascii="仿宋_GB2312" w:hAnsi="楷体" w:eastAsia="仿宋_GB2312"/>
          <w:b/>
          <w:sz w:val="32"/>
          <w:szCs w:val="32"/>
          <w:highlight w:val="none"/>
        </w:rPr>
      </w:pPr>
    </w:p>
    <w:p w14:paraId="04B0D131">
      <w:pPr>
        <w:spacing w:line="240" w:lineRule="atLeast"/>
        <w:ind w:right="-317" w:rightChars="-151"/>
        <w:jc w:val="center"/>
        <w:rPr>
          <w:rFonts w:ascii="仿宋_GB2312" w:hAnsi="楷体" w:eastAsia="仿宋_GB2312"/>
          <w:b/>
          <w:sz w:val="32"/>
          <w:szCs w:val="32"/>
          <w:highlight w:val="none"/>
        </w:rPr>
      </w:pPr>
    </w:p>
    <w:p w14:paraId="5E242ECF">
      <w:pPr>
        <w:spacing w:line="240" w:lineRule="atLeast"/>
        <w:ind w:right="-317" w:rightChars="-151"/>
        <w:jc w:val="center"/>
        <w:rPr>
          <w:rFonts w:ascii="仿宋_GB2312" w:hAnsi="楷体" w:eastAsia="仿宋_GB2312"/>
          <w:b/>
          <w:sz w:val="32"/>
          <w:szCs w:val="32"/>
          <w:highlight w:val="none"/>
        </w:rPr>
      </w:pPr>
    </w:p>
    <w:p w14:paraId="3A4A9789">
      <w:pPr>
        <w:spacing w:line="240" w:lineRule="atLeast"/>
        <w:ind w:right="-317" w:rightChars="-151"/>
        <w:jc w:val="center"/>
        <w:rPr>
          <w:rFonts w:ascii="仿宋_GB2312" w:hAnsi="楷体" w:eastAsia="仿宋_GB2312"/>
          <w:sz w:val="32"/>
          <w:szCs w:val="32"/>
          <w:highlight w:val="none"/>
        </w:rPr>
      </w:pPr>
      <w:r>
        <w:rPr>
          <w:rFonts w:hint="eastAsia" w:ascii="仿宋_GB2312" w:hAnsi="楷体" w:eastAsia="仿宋_GB2312"/>
          <w:b/>
          <w:sz w:val="32"/>
          <w:szCs w:val="32"/>
          <w:highlight w:val="none"/>
        </w:rPr>
        <w:t>报价表</w:t>
      </w:r>
    </w:p>
    <w:p w14:paraId="47738458">
      <w:pPr>
        <w:spacing w:line="240" w:lineRule="atLeast"/>
        <w:rPr>
          <w:rFonts w:ascii="仿宋_GB2312" w:hAnsi="宋体" w:eastAsia="仿宋_GB2312"/>
          <w:szCs w:val="21"/>
          <w:highlight w:val="none"/>
        </w:rPr>
      </w:pPr>
    </w:p>
    <w:tbl>
      <w:tblPr>
        <w:tblStyle w:val="12"/>
        <w:tblW w:w="7899" w:type="dxa"/>
        <w:jc w:val="center"/>
        <w:tblLayout w:type="autofit"/>
        <w:tblCellMar>
          <w:top w:w="0" w:type="dxa"/>
          <w:left w:w="108" w:type="dxa"/>
          <w:bottom w:w="0" w:type="dxa"/>
          <w:right w:w="108" w:type="dxa"/>
        </w:tblCellMar>
      </w:tblPr>
      <w:tblGrid>
        <w:gridCol w:w="836"/>
        <w:gridCol w:w="1266"/>
        <w:gridCol w:w="3932"/>
        <w:gridCol w:w="1865"/>
      </w:tblGrid>
      <w:tr w14:paraId="32A86CEB">
        <w:tblPrEx>
          <w:tblCellMar>
            <w:top w:w="0" w:type="dxa"/>
            <w:left w:w="108" w:type="dxa"/>
            <w:bottom w:w="0" w:type="dxa"/>
            <w:right w:w="108" w:type="dxa"/>
          </w:tblCellMar>
        </w:tblPrEx>
        <w:trPr>
          <w:trHeight w:val="113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DFB2313">
            <w:pPr>
              <w:jc w:val="center"/>
              <w:rPr>
                <w:rFonts w:ascii="宋体" w:hAnsi="宋体" w:cs="宋体"/>
                <w:sz w:val="24"/>
                <w:highlight w:val="none"/>
              </w:rPr>
            </w:pPr>
            <w:r>
              <w:rPr>
                <w:rFonts w:hint="eastAsia" w:ascii="宋体" w:hAnsi="宋体" w:cs="宋体"/>
                <w:sz w:val="24"/>
                <w:highlight w:val="none"/>
              </w:rPr>
              <w:t>序号</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216A9E34">
            <w:pPr>
              <w:jc w:val="center"/>
              <w:rPr>
                <w:rFonts w:ascii="宋体" w:hAnsi="宋体" w:cs="宋体"/>
                <w:sz w:val="24"/>
                <w:highlight w:val="none"/>
              </w:rPr>
            </w:pPr>
            <w:r>
              <w:rPr>
                <w:rFonts w:hint="eastAsia" w:ascii="宋体" w:hAnsi="宋体" w:cs="宋体"/>
                <w:sz w:val="24"/>
                <w:highlight w:val="none"/>
              </w:rPr>
              <w:t>项目名称</w:t>
            </w:r>
          </w:p>
        </w:tc>
        <w:tc>
          <w:tcPr>
            <w:tcW w:w="3932" w:type="dxa"/>
            <w:tcBorders>
              <w:top w:val="single" w:color="000000" w:sz="4" w:space="0"/>
              <w:left w:val="nil"/>
              <w:bottom w:val="nil"/>
              <w:right w:val="single" w:color="auto" w:sz="4" w:space="0"/>
            </w:tcBorders>
            <w:shd w:val="clear" w:color="auto" w:fill="auto"/>
            <w:vAlign w:val="center"/>
          </w:tcPr>
          <w:p w14:paraId="68808806">
            <w:pPr>
              <w:jc w:val="center"/>
              <w:rPr>
                <w:rFonts w:ascii="宋体" w:hAnsi="宋体" w:cs="宋体"/>
                <w:sz w:val="24"/>
                <w:highlight w:val="none"/>
              </w:rPr>
            </w:pPr>
            <w:r>
              <w:rPr>
                <w:rFonts w:hint="eastAsia" w:ascii="宋体" w:hAnsi="宋体" w:cs="宋体"/>
                <w:sz w:val="24"/>
                <w:highlight w:val="none"/>
              </w:rPr>
              <w:t>采购需求</w:t>
            </w:r>
          </w:p>
        </w:tc>
        <w:tc>
          <w:tcPr>
            <w:tcW w:w="1865" w:type="dxa"/>
            <w:tcBorders>
              <w:top w:val="single" w:color="000000" w:sz="4" w:space="0"/>
              <w:left w:val="nil"/>
              <w:bottom w:val="single" w:color="000000" w:sz="4" w:space="0"/>
              <w:right w:val="single" w:color="000000" w:sz="4" w:space="0"/>
            </w:tcBorders>
            <w:shd w:val="clear" w:color="auto" w:fill="auto"/>
            <w:vAlign w:val="center"/>
          </w:tcPr>
          <w:p w14:paraId="2AE0E169">
            <w:pPr>
              <w:widowControl/>
              <w:jc w:val="center"/>
              <w:rPr>
                <w:rFonts w:ascii="宋体" w:hAnsi="宋体" w:cs="宋体"/>
                <w:color w:val="000000"/>
                <w:kern w:val="0"/>
                <w:sz w:val="20"/>
                <w:szCs w:val="20"/>
                <w:highlight w:val="none"/>
              </w:rPr>
            </w:pPr>
            <w:r>
              <w:rPr>
                <w:rFonts w:hint="eastAsia" w:ascii="宋体" w:hAnsi="宋体" w:cs="宋体"/>
                <w:color w:val="000000"/>
                <w:kern w:val="0"/>
                <w:sz w:val="24"/>
                <w:szCs w:val="20"/>
                <w:highlight w:val="none"/>
              </w:rPr>
              <w:t>合计（人民币，元）</w:t>
            </w:r>
          </w:p>
        </w:tc>
      </w:tr>
      <w:tr w14:paraId="75CB2ACB">
        <w:tblPrEx>
          <w:tblCellMar>
            <w:top w:w="0" w:type="dxa"/>
            <w:left w:w="108" w:type="dxa"/>
            <w:bottom w:w="0" w:type="dxa"/>
            <w:right w:w="108" w:type="dxa"/>
          </w:tblCellMar>
        </w:tblPrEx>
        <w:trPr>
          <w:trHeight w:val="1980" w:hRule="atLeast"/>
          <w:jc w:val="center"/>
        </w:trPr>
        <w:tc>
          <w:tcPr>
            <w:tcW w:w="836" w:type="dxa"/>
            <w:tcBorders>
              <w:top w:val="nil"/>
              <w:left w:val="single" w:color="auto" w:sz="4" w:space="0"/>
              <w:bottom w:val="single" w:color="auto" w:sz="4" w:space="0"/>
              <w:right w:val="single" w:color="auto" w:sz="4" w:space="0"/>
            </w:tcBorders>
            <w:vAlign w:val="center"/>
          </w:tcPr>
          <w:p w14:paraId="460EB87B">
            <w:pPr>
              <w:jc w:val="center"/>
              <w:rPr>
                <w:rFonts w:ascii="宋体" w:hAnsi="宋体" w:cs="宋体"/>
                <w:sz w:val="24"/>
                <w:highlight w:val="none"/>
              </w:rPr>
            </w:pPr>
            <w:r>
              <w:rPr>
                <w:rFonts w:hint="eastAsia" w:ascii="宋体" w:hAnsi="宋体" w:cs="宋体"/>
                <w:sz w:val="24"/>
                <w:highlight w:val="none"/>
              </w:rPr>
              <w:t>1</w:t>
            </w:r>
          </w:p>
        </w:tc>
        <w:tc>
          <w:tcPr>
            <w:tcW w:w="1266" w:type="dxa"/>
            <w:tcBorders>
              <w:top w:val="nil"/>
              <w:left w:val="single" w:color="auto" w:sz="4" w:space="0"/>
              <w:bottom w:val="single" w:color="auto" w:sz="4" w:space="0"/>
              <w:right w:val="single" w:color="auto" w:sz="4" w:space="0"/>
            </w:tcBorders>
            <w:shd w:val="clear" w:color="auto" w:fill="auto"/>
            <w:vAlign w:val="center"/>
          </w:tcPr>
          <w:p w14:paraId="205B1BB7">
            <w:pPr>
              <w:jc w:val="center"/>
              <w:rPr>
                <w:rFonts w:ascii="宋体" w:hAnsi="宋体" w:cs="宋体"/>
                <w:sz w:val="24"/>
                <w:highlight w:val="none"/>
              </w:rPr>
            </w:pPr>
            <w:r>
              <w:rPr>
                <w:rFonts w:hint="eastAsia" w:ascii="宋体" w:hAnsi="宋体" w:cs="宋体"/>
                <w:sz w:val="24"/>
                <w:highlight w:val="none"/>
              </w:rPr>
              <w:t>广西交通运输综合执法系统第三方评测服务</w:t>
            </w:r>
          </w:p>
        </w:tc>
        <w:tc>
          <w:tcPr>
            <w:tcW w:w="3932" w:type="dxa"/>
            <w:tcBorders>
              <w:top w:val="single" w:color="auto" w:sz="4" w:space="0"/>
              <w:left w:val="nil"/>
              <w:bottom w:val="single" w:color="auto" w:sz="4" w:space="0"/>
              <w:right w:val="single" w:color="auto" w:sz="4" w:space="0"/>
            </w:tcBorders>
            <w:shd w:val="clear" w:color="auto" w:fill="auto"/>
          </w:tcPr>
          <w:p w14:paraId="49FB9A51">
            <w:pPr>
              <w:pStyle w:val="23"/>
              <w:ind w:firstLine="480"/>
              <w:rPr>
                <w:rFonts w:ascii="宋体" w:hAnsi="宋体" w:cs="宋体"/>
                <w:sz w:val="24"/>
                <w:highlight w:val="none"/>
              </w:rPr>
            </w:pPr>
            <w:r>
              <w:rPr>
                <w:rFonts w:hint="eastAsia" w:ascii="宋体" w:hAnsi="宋体" w:cs="宋体"/>
                <w:sz w:val="24"/>
                <w:highlight w:val="none"/>
              </w:rPr>
              <w:t>针对我局广西交通运输综合执法系统完成信创适配迁移后，提供网络安全等级保护测评、商用密码应用安全性评估及第三方软件测试服务，指导、配合采购人完成安全整改，并出具符合国家、自治区相关规范标准的测评报告。</w:t>
            </w:r>
          </w:p>
        </w:tc>
        <w:tc>
          <w:tcPr>
            <w:tcW w:w="1865" w:type="dxa"/>
            <w:tcBorders>
              <w:top w:val="nil"/>
              <w:left w:val="nil"/>
              <w:bottom w:val="single" w:color="auto" w:sz="4" w:space="0"/>
              <w:right w:val="single" w:color="auto" w:sz="4" w:space="0"/>
            </w:tcBorders>
            <w:shd w:val="clear" w:color="auto" w:fill="auto"/>
            <w:vAlign w:val="center"/>
          </w:tcPr>
          <w:p w14:paraId="00FEED2C">
            <w:pPr>
              <w:widowControl/>
              <w:jc w:val="center"/>
              <w:rPr>
                <w:rFonts w:ascii="宋体" w:hAnsi="宋体" w:cs="宋体"/>
                <w:kern w:val="0"/>
                <w:sz w:val="24"/>
                <w:highlight w:val="none"/>
              </w:rPr>
            </w:pPr>
          </w:p>
        </w:tc>
      </w:tr>
    </w:tbl>
    <w:p w14:paraId="49F455C8">
      <w:pPr>
        <w:spacing w:line="360" w:lineRule="auto"/>
        <w:rPr>
          <w:rFonts w:ascii="仿宋_GB2312" w:hAnsi="宋体" w:eastAsia="仿宋_GB2312"/>
          <w:szCs w:val="21"/>
          <w:highlight w:val="none"/>
          <w:u w:val="single"/>
        </w:rPr>
      </w:pPr>
      <w:r>
        <w:rPr>
          <w:rFonts w:hint="eastAsia" w:ascii="仿宋_GB2312" w:hAnsi="宋体" w:eastAsia="仿宋_GB2312"/>
          <w:szCs w:val="21"/>
          <w:highlight w:val="none"/>
        </w:rPr>
        <w:t>法定代表人或委托代理人（签字）：</w:t>
      </w:r>
    </w:p>
    <w:p w14:paraId="4D9503FB">
      <w:pPr>
        <w:spacing w:line="360" w:lineRule="auto"/>
        <w:rPr>
          <w:rFonts w:ascii="仿宋_GB2312" w:hAnsi="宋体" w:eastAsia="仿宋_GB2312"/>
          <w:szCs w:val="21"/>
          <w:highlight w:val="none"/>
        </w:rPr>
      </w:pPr>
      <w:r>
        <w:rPr>
          <w:rFonts w:hint="eastAsia" w:ascii="仿宋_GB2312" w:hAnsi="宋体" w:eastAsia="仿宋_GB2312"/>
          <w:szCs w:val="21"/>
          <w:highlight w:val="none"/>
        </w:rPr>
        <w:t>报价方（盖章）：</w:t>
      </w:r>
    </w:p>
    <w:p w14:paraId="373C93E3">
      <w:pPr>
        <w:spacing w:line="360" w:lineRule="auto"/>
        <w:rPr>
          <w:rFonts w:ascii="仿宋_GB2312" w:hAnsi="宋体" w:eastAsia="仿宋_GB2312"/>
          <w:szCs w:val="21"/>
          <w:highlight w:val="none"/>
        </w:rPr>
      </w:pPr>
      <w:r>
        <w:rPr>
          <w:rFonts w:hint="eastAsia" w:ascii="仿宋_GB2312" w:hAnsi="宋体" w:eastAsia="仿宋_GB2312"/>
          <w:szCs w:val="21"/>
          <w:highlight w:val="none"/>
        </w:rPr>
        <w:t>报价时间：     年    月   日</w:t>
      </w:r>
    </w:p>
    <w:p w14:paraId="6FE2030B">
      <w:pPr>
        <w:spacing w:line="240" w:lineRule="atLeast"/>
        <w:rPr>
          <w:rFonts w:ascii="仿宋_GB2312" w:hAnsi="仿宋" w:eastAsia="仿宋_GB2312"/>
          <w:sz w:val="32"/>
          <w:szCs w:val="32"/>
          <w:highlight w:val="none"/>
        </w:rPr>
      </w:pPr>
    </w:p>
    <w:p w14:paraId="086F88E7">
      <w:pPr>
        <w:widowControl/>
        <w:jc w:val="left"/>
        <w:rPr>
          <w:rFonts w:ascii="仿宋_GB2312" w:hAnsi="楷体" w:eastAsia="仿宋_GB2312"/>
          <w:b/>
          <w:sz w:val="32"/>
          <w:szCs w:val="32"/>
          <w:highlight w:val="none"/>
        </w:rPr>
      </w:pPr>
      <w:r>
        <w:rPr>
          <w:rFonts w:ascii="仿宋_GB2312" w:hAnsi="楷体" w:eastAsia="仿宋_GB2312"/>
          <w:b/>
          <w:sz w:val="32"/>
          <w:szCs w:val="32"/>
          <w:highlight w:val="none"/>
        </w:rPr>
        <w:br w:type="page"/>
      </w:r>
    </w:p>
    <w:p w14:paraId="034042CB">
      <w:pPr>
        <w:pStyle w:val="18"/>
        <w:ind w:firstLine="0" w:firstLineChars="0"/>
        <w:jc w:val="center"/>
        <w:rPr>
          <w:rFonts w:ascii="仿宋_GB2312" w:hAnsi="楷体" w:eastAsia="仿宋_GB2312"/>
          <w:b/>
          <w:sz w:val="32"/>
          <w:szCs w:val="32"/>
          <w:highlight w:val="none"/>
        </w:rPr>
      </w:pPr>
      <w:r>
        <w:rPr>
          <w:rFonts w:hint="eastAsia" w:ascii="仿宋_GB2312" w:hAnsi="楷体" w:eastAsia="仿宋_GB2312"/>
          <w:b/>
          <w:sz w:val="32"/>
          <w:szCs w:val="32"/>
          <w:highlight w:val="none"/>
        </w:rPr>
        <w:t>营业执照复印件</w:t>
      </w:r>
    </w:p>
    <w:p w14:paraId="3BA89440">
      <w:pPr>
        <w:pStyle w:val="18"/>
        <w:ind w:firstLine="0" w:firstLineChars="0"/>
        <w:jc w:val="center"/>
        <w:rPr>
          <w:rFonts w:ascii="仿宋_GB2312" w:hAnsi="宋体" w:eastAsia="仿宋_GB2312"/>
          <w:sz w:val="28"/>
          <w:szCs w:val="28"/>
          <w:highlight w:val="none"/>
        </w:rPr>
      </w:pPr>
    </w:p>
    <w:p w14:paraId="1050BE56">
      <w:pPr>
        <w:rPr>
          <w:rFonts w:ascii="仿宋_GB2312" w:hAnsi="楷体" w:eastAsia="仿宋_GB2312"/>
          <w:b/>
          <w:sz w:val="32"/>
          <w:szCs w:val="32"/>
          <w:highlight w:val="none"/>
        </w:rPr>
      </w:pPr>
    </w:p>
    <w:p w14:paraId="6CD9A13A">
      <w:pPr>
        <w:widowControl/>
        <w:jc w:val="left"/>
        <w:rPr>
          <w:rFonts w:ascii="仿宋_GB2312" w:hAnsi="楷体" w:eastAsia="仿宋_GB2312"/>
          <w:b/>
          <w:sz w:val="32"/>
          <w:szCs w:val="32"/>
          <w:highlight w:val="none"/>
        </w:rPr>
      </w:pPr>
      <w:r>
        <w:rPr>
          <w:rFonts w:ascii="仿宋_GB2312" w:hAnsi="楷体" w:eastAsia="仿宋_GB2312"/>
          <w:b/>
          <w:sz w:val="32"/>
          <w:szCs w:val="32"/>
          <w:highlight w:val="none"/>
        </w:rPr>
        <w:br w:type="page"/>
      </w:r>
    </w:p>
    <w:p w14:paraId="79A4515D">
      <w:pPr>
        <w:jc w:val="center"/>
        <w:rPr>
          <w:rFonts w:ascii="仿宋_GB2312" w:hAnsi="楷体" w:eastAsia="仿宋_GB2312"/>
          <w:b/>
          <w:sz w:val="32"/>
          <w:szCs w:val="32"/>
          <w:highlight w:val="none"/>
        </w:rPr>
      </w:pPr>
      <w:r>
        <w:rPr>
          <w:rFonts w:hint="eastAsia" w:ascii="仿宋_GB2312" w:hAnsi="楷体" w:eastAsia="仿宋_GB2312"/>
          <w:b/>
          <w:sz w:val="32"/>
          <w:szCs w:val="32"/>
          <w:highlight w:val="none"/>
        </w:rPr>
        <w:t>法定代表人授权书</w:t>
      </w:r>
    </w:p>
    <w:p w14:paraId="3CF3AC62">
      <w:pPr>
        <w:pStyle w:val="23"/>
        <w:spacing w:line="360" w:lineRule="auto"/>
        <w:ind w:firstLine="0" w:firstLineChars="0"/>
        <w:rPr>
          <w:rFonts w:ascii="仿宋_GB2312" w:hAnsi="宋体" w:eastAsia="仿宋_GB2312"/>
          <w:sz w:val="24"/>
          <w:szCs w:val="24"/>
          <w:highlight w:val="none"/>
        </w:rPr>
      </w:pPr>
    </w:p>
    <w:p w14:paraId="69C0DD41">
      <w:pPr>
        <w:pStyle w:val="23"/>
        <w:spacing w:line="360" w:lineRule="auto"/>
        <w:ind w:firstLine="0" w:firstLineChars="0"/>
        <w:rPr>
          <w:rFonts w:ascii="仿宋_GB2312" w:hAnsi="宋体" w:eastAsia="仿宋_GB2312"/>
          <w:sz w:val="24"/>
          <w:szCs w:val="24"/>
          <w:highlight w:val="none"/>
        </w:rPr>
      </w:pPr>
      <w:r>
        <w:rPr>
          <w:rFonts w:hint="eastAsia" w:ascii="仿宋_GB2312" w:hAnsi="宋体" w:eastAsia="仿宋_GB2312"/>
          <w:sz w:val="24"/>
          <w:szCs w:val="24"/>
          <w:highlight w:val="none"/>
        </w:rPr>
        <w:t>广西壮族自治区交通运输综合行政执法局：</w:t>
      </w:r>
    </w:p>
    <w:p w14:paraId="029DF6DD">
      <w:pPr>
        <w:spacing w:line="360" w:lineRule="auto"/>
        <w:ind w:firstLine="480" w:firstLineChars="200"/>
        <w:rPr>
          <w:rFonts w:ascii="仿宋_GB2312" w:hAnsi="宋体" w:eastAsia="仿宋_GB2312" w:cs="宋体"/>
          <w:kern w:val="0"/>
          <w:sz w:val="24"/>
          <w:highlight w:val="none"/>
        </w:rPr>
      </w:pPr>
      <w:r>
        <w:rPr>
          <w:rFonts w:hint="eastAsia" w:ascii="仿宋_GB2312" w:hAnsi="宋体" w:eastAsia="仿宋_GB2312"/>
          <w:sz w:val="24"/>
          <w:highlight w:val="none"/>
        </w:rPr>
        <w:t>兹授权</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同志为我公司参加贵单位组织的</w:t>
      </w:r>
      <w:r>
        <w:rPr>
          <w:rFonts w:hint="eastAsia" w:ascii="仿宋_GB2312" w:hAnsi="宋体" w:eastAsia="仿宋_GB2312"/>
          <w:sz w:val="24"/>
          <w:highlight w:val="none"/>
          <w:u w:val="single"/>
        </w:rPr>
        <w:t>广西交通运输综合执法系统第三方评测服务项目</w:t>
      </w:r>
      <w:r>
        <w:rPr>
          <w:rFonts w:hint="eastAsia" w:ascii="仿宋_GB2312" w:hAnsi="宋体" w:eastAsia="仿宋_GB2312" w:cs="仿宋_GB2312"/>
          <w:sz w:val="24"/>
          <w:highlight w:val="none"/>
        </w:rPr>
        <w:t>采购</w:t>
      </w:r>
      <w:r>
        <w:rPr>
          <w:rFonts w:hint="eastAsia" w:ascii="仿宋_GB2312" w:hAnsi="宋体" w:eastAsia="仿宋_GB2312"/>
          <w:sz w:val="24"/>
          <w:highlight w:val="none"/>
        </w:rPr>
        <w:t>活动的委托代理人，全权代表我公司处理在该项目活动中的一切事宜。代理期限从   年  月  日起至   年  月  日止。</w:t>
      </w:r>
    </w:p>
    <w:p w14:paraId="4A37B1EF">
      <w:pPr>
        <w:pStyle w:val="23"/>
        <w:spacing w:line="360" w:lineRule="auto"/>
        <w:ind w:firstLine="480"/>
        <w:rPr>
          <w:rFonts w:ascii="仿宋_GB2312" w:hAnsi="宋体" w:eastAsia="仿宋_GB2312"/>
          <w:sz w:val="24"/>
          <w:szCs w:val="24"/>
          <w:highlight w:val="none"/>
          <w:u w:val="single"/>
        </w:rPr>
      </w:pPr>
      <w:r>
        <w:rPr>
          <w:rFonts w:hint="eastAsia" w:ascii="仿宋_GB2312" w:hAnsi="宋体" w:eastAsia="仿宋_GB2312"/>
          <w:sz w:val="24"/>
          <w:szCs w:val="24"/>
          <w:highlight w:val="none"/>
        </w:rPr>
        <w:t>授权单位（盖章）：</w:t>
      </w:r>
    </w:p>
    <w:p w14:paraId="65FBAE59">
      <w:pPr>
        <w:pStyle w:val="23"/>
        <w:spacing w:line="360" w:lineRule="auto"/>
        <w:ind w:firstLine="480"/>
        <w:rPr>
          <w:rFonts w:ascii="仿宋_GB2312" w:hAnsi="宋体" w:eastAsia="仿宋_GB2312"/>
          <w:sz w:val="24"/>
          <w:szCs w:val="24"/>
          <w:highlight w:val="none"/>
          <w:u w:val="single"/>
        </w:rPr>
      </w:pPr>
      <w:r>
        <w:rPr>
          <w:rFonts w:hint="eastAsia" w:ascii="仿宋_GB2312" w:hAnsi="宋体" w:eastAsia="仿宋_GB2312"/>
          <w:sz w:val="24"/>
          <w:szCs w:val="24"/>
          <w:highlight w:val="none"/>
        </w:rPr>
        <w:t>法定代表人(签字或盖章)：</w:t>
      </w:r>
    </w:p>
    <w:p w14:paraId="7ADA283C">
      <w:pPr>
        <w:pStyle w:val="23"/>
        <w:spacing w:line="360" w:lineRule="auto"/>
        <w:ind w:firstLine="480"/>
        <w:rPr>
          <w:rFonts w:ascii="仿宋_GB2312" w:hAnsi="宋体" w:eastAsia="仿宋_GB2312"/>
          <w:sz w:val="24"/>
          <w:szCs w:val="24"/>
          <w:highlight w:val="none"/>
        </w:rPr>
      </w:pPr>
      <w:r>
        <w:rPr>
          <w:rFonts w:hint="eastAsia" w:ascii="仿宋_GB2312" w:hAnsi="宋体" w:eastAsia="仿宋_GB2312"/>
          <w:sz w:val="24"/>
          <w:szCs w:val="24"/>
          <w:highlight w:val="none"/>
        </w:rPr>
        <w:t>签发日期：   年  月  日</w:t>
      </w:r>
    </w:p>
    <w:p w14:paraId="2B78B1D6">
      <w:pPr>
        <w:pStyle w:val="23"/>
        <w:spacing w:line="360" w:lineRule="auto"/>
        <w:ind w:firstLine="480"/>
        <w:rPr>
          <w:rFonts w:ascii="仿宋_GB2312" w:hAnsi="宋体" w:eastAsia="仿宋_GB2312" w:cs="仿宋_GB2312"/>
          <w:sz w:val="24"/>
          <w:szCs w:val="24"/>
          <w:highlight w:val="none"/>
          <w:u w:val="single"/>
        </w:rPr>
      </w:pPr>
      <w:r>
        <w:rPr>
          <w:rFonts w:hint="eastAsia" w:ascii="仿宋_GB2312" w:hAnsi="宋体" w:eastAsia="仿宋_GB2312"/>
          <w:sz w:val="24"/>
          <w:szCs w:val="24"/>
          <w:highlight w:val="none"/>
        </w:rPr>
        <w:t>委托代理人工作单位：</w:t>
      </w:r>
    </w:p>
    <w:p w14:paraId="149BBD5F">
      <w:pPr>
        <w:pStyle w:val="23"/>
        <w:spacing w:line="360" w:lineRule="auto"/>
        <w:ind w:firstLine="480"/>
        <w:rPr>
          <w:rFonts w:ascii="仿宋_GB2312" w:hAnsi="宋体" w:eastAsia="仿宋_GB2312"/>
          <w:sz w:val="24"/>
          <w:szCs w:val="24"/>
          <w:highlight w:val="none"/>
          <w:u w:val="single"/>
        </w:rPr>
      </w:pPr>
      <w:r>
        <w:rPr>
          <w:rFonts w:hint="eastAsia" w:ascii="仿宋_GB2312" w:hAnsi="宋体" w:eastAsia="仿宋_GB2312"/>
          <w:sz w:val="24"/>
          <w:szCs w:val="24"/>
          <w:highlight w:val="none"/>
        </w:rPr>
        <w:t>职务：        性别：</w:t>
      </w:r>
    </w:p>
    <w:p w14:paraId="1458A363">
      <w:pPr>
        <w:pStyle w:val="23"/>
        <w:spacing w:line="360" w:lineRule="auto"/>
        <w:ind w:firstLine="480"/>
        <w:rPr>
          <w:rFonts w:ascii="仿宋_GB2312" w:hAnsi="宋体" w:eastAsia="仿宋_GB2312"/>
          <w:sz w:val="24"/>
          <w:szCs w:val="24"/>
          <w:highlight w:val="none"/>
          <w:u w:val="single"/>
        </w:rPr>
      </w:pPr>
      <w:r>
        <w:rPr>
          <w:rFonts w:hint="eastAsia" w:ascii="仿宋_GB2312" w:hAnsi="宋体" w:eastAsia="仿宋_GB2312"/>
          <w:sz w:val="24"/>
          <w:szCs w:val="24"/>
          <w:highlight w:val="none"/>
        </w:rPr>
        <w:t>身份证号码：</w:t>
      </w:r>
    </w:p>
    <w:p w14:paraId="779D000A">
      <w:pPr>
        <w:pStyle w:val="18"/>
        <w:ind w:firstLine="0" w:firstLineChars="0"/>
        <w:rPr>
          <w:rFonts w:ascii="仿宋_GB2312" w:hAnsi="宋体" w:eastAsia="仿宋_GB2312"/>
          <w:sz w:val="24"/>
          <w:szCs w:val="24"/>
          <w:highlight w:val="none"/>
        </w:rPr>
      </w:pPr>
    </w:p>
    <w:p w14:paraId="189142D5">
      <w:pPr>
        <w:rPr>
          <w:rFonts w:ascii="仿宋_GB2312" w:hAnsi="宋体" w:eastAsia="仿宋_GB2312"/>
          <w:sz w:val="24"/>
          <w:highlight w:val="none"/>
        </w:rPr>
      </w:pPr>
      <w:r>
        <w:rPr>
          <w:rFonts w:hint="eastAsia" w:ascii="仿宋_GB2312" w:hAnsi="宋体" w:eastAsia="仿宋_GB2312"/>
          <w:sz w:val="24"/>
          <w:highlight w:val="none"/>
        </w:rPr>
        <w:t>附：法定代表人身份证复印件、委托代理人身份证复印件</w:t>
      </w:r>
    </w:p>
    <w:p w14:paraId="08DDB8A7">
      <w:pPr>
        <w:pStyle w:val="18"/>
        <w:ind w:firstLine="0" w:firstLineChars="0"/>
        <w:rPr>
          <w:rFonts w:ascii="仿宋_GB2312" w:hAnsi="宋体" w:eastAsia="仿宋_GB2312"/>
          <w:sz w:val="28"/>
          <w:szCs w:val="36"/>
          <w:highlight w:val="none"/>
        </w:rPr>
      </w:pPr>
    </w:p>
    <w:p w14:paraId="1AAEA1A0">
      <w:pPr>
        <w:rPr>
          <w:rFonts w:ascii="仿宋_GB2312" w:eastAsia="仿宋_GB2312"/>
          <w:sz w:val="28"/>
          <w:szCs w:val="28"/>
          <w:highlight w:val="none"/>
        </w:rPr>
      </w:pPr>
    </w:p>
    <w:p w14:paraId="7CACFFC9">
      <w:pPr>
        <w:rPr>
          <w:rFonts w:ascii="仿宋_GB2312" w:eastAsia="仿宋_GB2312"/>
          <w:sz w:val="28"/>
          <w:szCs w:val="28"/>
          <w:highlight w:val="none"/>
        </w:rPr>
      </w:pPr>
    </w:p>
    <w:p w14:paraId="0CBEF4F4">
      <w:pPr>
        <w:rPr>
          <w:rFonts w:ascii="仿宋_GB2312" w:eastAsia="仿宋_GB2312"/>
          <w:sz w:val="28"/>
          <w:szCs w:val="28"/>
          <w:highlight w:val="none"/>
        </w:rPr>
      </w:pPr>
    </w:p>
    <w:p w14:paraId="11038FD7">
      <w:pPr>
        <w:rPr>
          <w:rFonts w:ascii="仿宋_GB2312" w:eastAsia="仿宋_GB2312"/>
          <w:sz w:val="28"/>
          <w:szCs w:val="28"/>
          <w:highlight w:val="none"/>
        </w:rPr>
      </w:pPr>
    </w:p>
    <w:p w14:paraId="0497B624">
      <w:pPr>
        <w:rPr>
          <w:rFonts w:ascii="仿宋_GB2312" w:eastAsia="仿宋_GB2312"/>
          <w:sz w:val="28"/>
          <w:szCs w:val="28"/>
          <w:highlight w:val="none"/>
        </w:rPr>
      </w:pPr>
    </w:p>
    <w:p w14:paraId="10246BD5">
      <w:pPr>
        <w:rPr>
          <w:rFonts w:ascii="仿宋_GB2312" w:eastAsia="仿宋_GB2312"/>
          <w:sz w:val="28"/>
          <w:szCs w:val="28"/>
          <w:highlight w:val="none"/>
        </w:rPr>
      </w:pPr>
    </w:p>
    <w:p w14:paraId="112CB2DF">
      <w:pPr>
        <w:rPr>
          <w:rFonts w:ascii="仿宋_GB2312" w:eastAsia="仿宋_GB2312"/>
          <w:sz w:val="28"/>
          <w:szCs w:val="28"/>
          <w:highlight w:val="none"/>
        </w:rPr>
      </w:pPr>
    </w:p>
    <w:p w14:paraId="080C314F">
      <w:pPr>
        <w:rPr>
          <w:rFonts w:ascii="仿宋_GB2312" w:eastAsia="仿宋_GB2312"/>
          <w:sz w:val="28"/>
          <w:szCs w:val="28"/>
          <w:highlight w:val="none"/>
        </w:rPr>
      </w:pPr>
    </w:p>
    <w:p w14:paraId="573EF5E0">
      <w:pPr>
        <w:rPr>
          <w:rFonts w:ascii="仿宋_GB2312" w:eastAsia="仿宋_GB2312"/>
          <w:sz w:val="28"/>
          <w:szCs w:val="28"/>
          <w:highlight w:val="none"/>
        </w:rPr>
      </w:pPr>
    </w:p>
    <w:p w14:paraId="0856BBFF">
      <w:pPr>
        <w:rPr>
          <w:rFonts w:ascii="仿宋_GB2312" w:eastAsia="仿宋_GB2312"/>
          <w:sz w:val="28"/>
          <w:szCs w:val="28"/>
          <w:highlight w:val="none"/>
        </w:rPr>
      </w:pPr>
    </w:p>
    <w:p w14:paraId="42C7100D">
      <w:pPr>
        <w:rPr>
          <w:rFonts w:ascii="仿宋_GB2312" w:eastAsia="仿宋_GB2312"/>
          <w:sz w:val="28"/>
          <w:szCs w:val="28"/>
          <w:highlight w:val="none"/>
        </w:rPr>
      </w:pPr>
    </w:p>
    <w:p w14:paraId="2072E066">
      <w:pPr>
        <w:jc w:val="center"/>
        <w:rPr>
          <w:rFonts w:ascii="仿宋_GB2312" w:eastAsia="仿宋_GB2312"/>
          <w:sz w:val="28"/>
          <w:szCs w:val="28"/>
          <w:highlight w:val="none"/>
        </w:rPr>
      </w:pPr>
      <w:r>
        <w:rPr>
          <w:rFonts w:hint="eastAsia" w:ascii="仿宋_GB2312" w:hAnsi="宋体" w:eastAsia="仿宋_GB2312"/>
          <w:b/>
          <w:sz w:val="28"/>
          <w:szCs w:val="21"/>
          <w:highlight w:val="none"/>
        </w:rPr>
        <w:t>相关业绩证明材料（成交通知书、项目合同等）</w:t>
      </w:r>
    </w:p>
    <w:p w14:paraId="0D6A3927">
      <w:pPr>
        <w:jc w:val="center"/>
        <w:rPr>
          <w:rFonts w:ascii="仿宋_GB2312" w:hAnsi="宋体" w:eastAsia="仿宋_GB2312"/>
          <w:b/>
          <w:sz w:val="28"/>
          <w:szCs w:val="21"/>
          <w:highlight w:val="none"/>
        </w:rPr>
      </w:pPr>
    </w:p>
    <w:p w14:paraId="6F180B5E">
      <w:pPr>
        <w:jc w:val="center"/>
        <w:rPr>
          <w:rFonts w:ascii="仿宋_GB2312" w:hAnsi="宋体" w:eastAsia="仿宋_GB2312"/>
          <w:b/>
          <w:sz w:val="28"/>
          <w:szCs w:val="21"/>
          <w:highlight w:val="none"/>
        </w:rPr>
      </w:pPr>
    </w:p>
    <w:p w14:paraId="390A7705">
      <w:pPr>
        <w:jc w:val="center"/>
        <w:rPr>
          <w:rFonts w:ascii="仿宋_GB2312" w:hAnsi="宋体" w:eastAsia="仿宋_GB2312"/>
          <w:b/>
          <w:sz w:val="28"/>
          <w:szCs w:val="21"/>
          <w:highlight w:val="none"/>
        </w:rPr>
      </w:pPr>
    </w:p>
    <w:p w14:paraId="755DFAE0">
      <w:pPr>
        <w:jc w:val="center"/>
        <w:rPr>
          <w:rFonts w:ascii="仿宋_GB2312" w:hAnsi="宋体" w:eastAsia="仿宋_GB2312"/>
          <w:b/>
          <w:sz w:val="28"/>
          <w:szCs w:val="21"/>
          <w:highlight w:val="none"/>
        </w:rPr>
      </w:pPr>
    </w:p>
    <w:p w14:paraId="7553FD71">
      <w:pPr>
        <w:jc w:val="center"/>
        <w:rPr>
          <w:rFonts w:ascii="仿宋_GB2312" w:hAnsi="宋体" w:eastAsia="仿宋_GB2312"/>
          <w:b/>
          <w:sz w:val="28"/>
          <w:szCs w:val="21"/>
          <w:highlight w:val="none"/>
        </w:rPr>
      </w:pPr>
    </w:p>
    <w:p w14:paraId="7F9324CC">
      <w:pPr>
        <w:jc w:val="center"/>
        <w:rPr>
          <w:rFonts w:ascii="仿宋_GB2312" w:hAnsi="宋体" w:eastAsia="仿宋_GB2312"/>
          <w:b/>
          <w:sz w:val="28"/>
          <w:szCs w:val="21"/>
          <w:highlight w:val="none"/>
        </w:rPr>
      </w:pPr>
    </w:p>
    <w:p w14:paraId="29991458">
      <w:pPr>
        <w:jc w:val="center"/>
        <w:rPr>
          <w:rFonts w:ascii="仿宋_GB2312" w:hAnsi="宋体" w:eastAsia="仿宋_GB2312"/>
          <w:b/>
          <w:sz w:val="28"/>
          <w:szCs w:val="21"/>
          <w:highlight w:val="none"/>
        </w:rPr>
      </w:pPr>
    </w:p>
    <w:p w14:paraId="2D254C59">
      <w:pPr>
        <w:jc w:val="center"/>
        <w:rPr>
          <w:rFonts w:ascii="仿宋_GB2312" w:hAnsi="宋体" w:eastAsia="仿宋_GB2312"/>
          <w:b/>
          <w:sz w:val="28"/>
          <w:szCs w:val="21"/>
          <w:highlight w:val="none"/>
        </w:rPr>
      </w:pPr>
    </w:p>
    <w:p w14:paraId="372E4BF1">
      <w:pPr>
        <w:jc w:val="center"/>
        <w:rPr>
          <w:rFonts w:ascii="仿宋_GB2312" w:hAnsi="宋体" w:eastAsia="仿宋_GB2312"/>
          <w:b/>
          <w:sz w:val="28"/>
          <w:szCs w:val="21"/>
          <w:highlight w:val="none"/>
        </w:rPr>
      </w:pPr>
    </w:p>
    <w:p w14:paraId="64E3B022">
      <w:pPr>
        <w:jc w:val="center"/>
        <w:rPr>
          <w:rFonts w:ascii="仿宋_GB2312" w:hAnsi="宋体" w:eastAsia="仿宋_GB2312"/>
          <w:b/>
          <w:sz w:val="28"/>
          <w:szCs w:val="21"/>
          <w:highlight w:val="none"/>
        </w:rPr>
      </w:pPr>
    </w:p>
    <w:p w14:paraId="5806D63C">
      <w:pPr>
        <w:jc w:val="center"/>
        <w:rPr>
          <w:rFonts w:ascii="仿宋_GB2312" w:hAnsi="宋体" w:eastAsia="仿宋_GB2312"/>
          <w:b/>
          <w:sz w:val="28"/>
          <w:szCs w:val="21"/>
          <w:highlight w:val="none"/>
        </w:rPr>
      </w:pPr>
    </w:p>
    <w:p w14:paraId="3344D089">
      <w:pPr>
        <w:jc w:val="center"/>
        <w:rPr>
          <w:rFonts w:ascii="仿宋_GB2312" w:hAnsi="宋体" w:eastAsia="仿宋_GB2312"/>
          <w:b/>
          <w:sz w:val="28"/>
          <w:szCs w:val="21"/>
          <w:highlight w:val="none"/>
        </w:rPr>
      </w:pPr>
    </w:p>
    <w:p w14:paraId="1D4B15F9">
      <w:pPr>
        <w:jc w:val="center"/>
        <w:rPr>
          <w:rFonts w:ascii="仿宋_GB2312" w:hAnsi="宋体" w:eastAsia="仿宋_GB2312"/>
          <w:b/>
          <w:sz w:val="28"/>
          <w:szCs w:val="21"/>
          <w:highlight w:val="none"/>
        </w:rPr>
      </w:pPr>
    </w:p>
    <w:p w14:paraId="52723A04">
      <w:pPr>
        <w:jc w:val="center"/>
        <w:rPr>
          <w:rFonts w:ascii="仿宋_GB2312" w:hAnsi="宋体" w:eastAsia="仿宋_GB2312"/>
          <w:b/>
          <w:sz w:val="28"/>
          <w:szCs w:val="21"/>
          <w:highlight w:val="none"/>
        </w:rPr>
      </w:pPr>
    </w:p>
    <w:p w14:paraId="27885E15">
      <w:pPr>
        <w:jc w:val="center"/>
        <w:rPr>
          <w:rFonts w:ascii="仿宋_GB2312" w:hAnsi="宋体" w:eastAsia="仿宋_GB2312"/>
          <w:b/>
          <w:sz w:val="28"/>
          <w:szCs w:val="21"/>
          <w:highlight w:val="none"/>
        </w:rPr>
      </w:pPr>
    </w:p>
    <w:p w14:paraId="759DABAA">
      <w:pPr>
        <w:jc w:val="center"/>
        <w:rPr>
          <w:rFonts w:ascii="仿宋_GB2312" w:hAnsi="宋体" w:eastAsia="仿宋_GB2312"/>
          <w:b/>
          <w:sz w:val="28"/>
          <w:szCs w:val="21"/>
          <w:highlight w:val="none"/>
        </w:rPr>
      </w:pPr>
    </w:p>
    <w:p w14:paraId="349D3840">
      <w:pPr>
        <w:jc w:val="center"/>
        <w:rPr>
          <w:rFonts w:ascii="仿宋_GB2312" w:hAnsi="宋体" w:eastAsia="仿宋_GB2312"/>
          <w:b/>
          <w:sz w:val="28"/>
          <w:szCs w:val="21"/>
          <w:highlight w:val="none"/>
        </w:rPr>
      </w:pPr>
    </w:p>
    <w:p w14:paraId="45A37AAF">
      <w:pPr>
        <w:jc w:val="center"/>
        <w:rPr>
          <w:rFonts w:ascii="仿宋_GB2312" w:hAnsi="宋体" w:eastAsia="仿宋_GB2312"/>
          <w:b/>
          <w:sz w:val="28"/>
          <w:szCs w:val="21"/>
          <w:highlight w:val="none"/>
        </w:rPr>
      </w:pPr>
    </w:p>
    <w:p w14:paraId="06C04015">
      <w:pPr>
        <w:jc w:val="center"/>
        <w:rPr>
          <w:rFonts w:ascii="仿宋_GB2312" w:hAnsi="宋体" w:eastAsia="仿宋_GB2312"/>
          <w:b/>
          <w:sz w:val="28"/>
          <w:szCs w:val="21"/>
          <w:highlight w:val="none"/>
        </w:rPr>
      </w:pPr>
    </w:p>
    <w:p w14:paraId="036BAB94">
      <w:pPr>
        <w:jc w:val="center"/>
        <w:rPr>
          <w:rFonts w:ascii="仿宋_GB2312" w:hAnsi="宋体" w:eastAsia="仿宋_GB2312"/>
          <w:b/>
          <w:sz w:val="28"/>
          <w:szCs w:val="21"/>
          <w:highlight w:val="none"/>
        </w:rPr>
      </w:pPr>
    </w:p>
    <w:p w14:paraId="427D6327">
      <w:pPr>
        <w:jc w:val="center"/>
        <w:rPr>
          <w:rFonts w:ascii="仿宋_GB2312" w:hAnsi="宋体" w:eastAsia="仿宋_GB2312"/>
          <w:b/>
          <w:sz w:val="28"/>
          <w:szCs w:val="21"/>
          <w:highlight w:val="none"/>
        </w:rPr>
      </w:pPr>
    </w:p>
    <w:p w14:paraId="0931D624">
      <w:pPr>
        <w:jc w:val="center"/>
        <w:rPr>
          <w:rFonts w:ascii="仿宋_GB2312" w:eastAsia="仿宋_GB2312"/>
          <w:sz w:val="28"/>
          <w:szCs w:val="28"/>
          <w:highlight w:val="none"/>
        </w:rPr>
      </w:pPr>
      <w:r>
        <w:rPr>
          <w:rFonts w:hint="eastAsia" w:ascii="仿宋_GB2312" w:hAnsi="宋体" w:eastAsia="仿宋_GB2312"/>
          <w:b/>
          <w:sz w:val="28"/>
          <w:szCs w:val="21"/>
          <w:highlight w:val="none"/>
        </w:rPr>
        <w:t>其他需要提供的材料</w:t>
      </w:r>
    </w:p>
    <w:p w14:paraId="16C9A89D">
      <w:pPr>
        <w:rPr>
          <w:rFonts w:ascii="仿宋_GB2312" w:hAnsi="宋体" w:eastAsia="仿宋_GB2312"/>
          <w:b/>
          <w:sz w:val="28"/>
          <w:szCs w:val="21"/>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510670"/>
      <w:docPartObj>
        <w:docPartGallery w:val="autotext"/>
      </w:docPartObj>
    </w:sdtPr>
    <w:sdtContent>
      <w:p w14:paraId="250F8F9B">
        <w:pPr>
          <w:pStyle w:val="9"/>
          <w:jc w:val="center"/>
        </w:pPr>
        <w:r>
          <w:fldChar w:fldCharType="begin"/>
        </w:r>
        <w:r>
          <w:instrText xml:space="preserve">PAGE   \* MERGEFORMAT</w:instrText>
        </w:r>
        <w:r>
          <w:fldChar w:fldCharType="separate"/>
        </w:r>
        <w:r>
          <w:rPr>
            <w:lang w:val="zh-CN"/>
          </w:rPr>
          <w:t>2</w:t>
        </w:r>
        <w:r>
          <w:fldChar w:fldCharType="end"/>
        </w:r>
      </w:p>
    </w:sdtContent>
  </w:sdt>
  <w:p w14:paraId="2F692EAB">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FC23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8CDA9"/>
    <w:multiLevelType w:val="singleLevel"/>
    <w:tmpl w:val="4428CDA9"/>
    <w:lvl w:ilvl="0" w:tentative="0">
      <w:start w:val="2"/>
      <w:numFmt w:val="chineseCounting"/>
      <w:suff w:val="nothing"/>
      <w:lvlText w:val="（%1）"/>
      <w:lvlJc w:val="left"/>
      <w:rPr>
        <w:rFonts w:hint="eastAsia"/>
      </w:rPr>
    </w:lvl>
  </w:abstractNum>
  <w:abstractNum w:abstractNumId="1">
    <w:nsid w:val="602E28A2"/>
    <w:multiLevelType w:val="singleLevel"/>
    <w:tmpl w:val="602E28A2"/>
    <w:lvl w:ilvl="0" w:tentative="0">
      <w:start w:val="5"/>
      <w:numFmt w:val="decimal"/>
      <w:suff w:val="nothing"/>
      <w:lvlText w:val="%1、"/>
      <w:lvlJc w:val="left"/>
    </w:lvl>
  </w:abstractNum>
  <w:abstractNum w:abstractNumId="2">
    <w:nsid w:val="797A13FA"/>
    <w:multiLevelType w:val="singleLevel"/>
    <w:tmpl w:val="797A13F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lMDNkNzdlMDUxMjQ5ZmY1MjQxMzQ0YjQ5ZWFlMDEifQ=="/>
  </w:docVars>
  <w:rsids>
    <w:rsidRoot w:val="00FD0BBE"/>
    <w:rsid w:val="00003F59"/>
    <w:rsid w:val="00003F70"/>
    <w:rsid w:val="00012E71"/>
    <w:rsid w:val="0003724A"/>
    <w:rsid w:val="00046619"/>
    <w:rsid w:val="0006363D"/>
    <w:rsid w:val="000670D5"/>
    <w:rsid w:val="00072530"/>
    <w:rsid w:val="00095C9A"/>
    <w:rsid w:val="000A07BD"/>
    <w:rsid w:val="000D0480"/>
    <w:rsid w:val="000D27F8"/>
    <w:rsid w:val="000D5475"/>
    <w:rsid w:val="000D554B"/>
    <w:rsid w:val="000F01B1"/>
    <w:rsid w:val="000F3011"/>
    <w:rsid w:val="000F769B"/>
    <w:rsid w:val="0010546C"/>
    <w:rsid w:val="00122604"/>
    <w:rsid w:val="001431CF"/>
    <w:rsid w:val="00154211"/>
    <w:rsid w:val="00157CDE"/>
    <w:rsid w:val="001618E0"/>
    <w:rsid w:val="0016294A"/>
    <w:rsid w:val="00185455"/>
    <w:rsid w:val="001924CC"/>
    <w:rsid w:val="001A2A54"/>
    <w:rsid w:val="001A57EA"/>
    <w:rsid w:val="001A6E3E"/>
    <w:rsid w:val="001B7786"/>
    <w:rsid w:val="001B7C34"/>
    <w:rsid w:val="001C3FBE"/>
    <w:rsid w:val="001D1716"/>
    <w:rsid w:val="001F32FB"/>
    <w:rsid w:val="001F4583"/>
    <w:rsid w:val="001F5613"/>
    <w:rsid w:val="00201666"/>
    <w:rsid w:val="00202F75"/>
    <w:rsid w:val="00213926"/>
    <w:rsid w:val="00226901"/>
    <w:rsid w:val="00256068"/>
    <w:rsid w:val="00267434"/>
    <w:rsid w:val="00271F9B"/>
    <w:rsid w:val="002768EB"/>
    <w:rsid w:val="00276913"/>
    <w:rsid w:val="00277B66"/>
    <w:rsid w:val="00296732"/>
    <w:rsid w:val="0029772E"/>
    <w:rsid w:val="002B3B82"/>
    <w:rsid w:val="002B631F"/>
    <w:rsid w:val="002D1E33"/>
    <w:rsid w:val="002E3862"/>
    <w:rsid w:val="002E6308"/>
    <w:rsid w:val="002F76B6"/>
    <w:rsid w:val="003018E3"/>
    <w:rsid w:val="00343EC0"/>
    <w:rsid w:val="00360614"/>
    <w:rsid w:val="00361304"/>
    <w:rsid w:val="00376924"/>
    <w:rsid w:val="00384BF8"/>
    <w:rsid w:val="00397668"/>
    <w:rsid w:val="003B18E7"/>
    <w:rsid w:val="003B3DD1"/>
    <w:rsid w:val="003B7973"/>
    <w:rsid w:val="003E1826"/>
    <w:rsid w:val="003E5D8C"/>
    <w:rsid w:val="003E73BE"/>
    <w:rsid w:val="003F0DB6"/>
    <w:rsid w:val="004018B3"/>
    <w:rsid w:val="004047BB"/>
    <w:rsid w:val="004228DB"/>
    <w:rsid w:val="00422CEA"/>
    <w:rsid w:val="0042687D"/>
    <w:rsid w:val="00432AFE"/>
    <w:rsid w:val="00435AAA"/>
    <w:rsid w:val="0043788F"/>
    <w:rsid w:val="00437D9E"/>
    <w:rsid w:val="004455D0"/>
    <w:rsid w:val="004513ED"/>
    <w:rsid w:val="004527E3"/>
    <w:rsid w:val="00455CF3"/>
    <w:rsid w:val="00482ADF"/>
    <w:rsid w:val="004963D1"/>
    <w:rsid w:val="004970DB"/>
    <w:rsid w:val="004A5698"/>
    <w:rsid w:val="004B0725"/>
    <w:rsid w:val="004B3785"/>
    <w:rsid w:val="004E0201"/>
    <w:rsid w:val="004F39D7"/>
    <w:rsid w:val="00506C53"/>
    <w:rsid w:val="0051383F"/>
    <w:rsid w:val="0051498A"/>
    <w:rsid w:val="00516479"/>
    <w:rsid w:val="005175BA"/>
    <w:rsid w:val="00524ECC"/>
    <w:rsid w:val="00525A1D"/>
    <w:rsid w:val="005261CE"/>
    <w:rsid w:val="00537322"/>
    <w:rsid w:val="00563C6E"/>
    <w:rsid w:val="00567B04"/>
    <w:rsid w:val="005A4982"/>
    <w:rsid w:val="005B498C"/>
    <w:rsid w:val="005B51F5"/>
    <w:rsid w:val="005D1022"/>
    <w:rsid w:val="005D6BC5"/>
    <w:rsid w:val="005E3FBE"/>
    <w:rsid w:val="005F5D9F"/>
    <w:rsid w:val="00604F38"/>
    <w:rsid w:val="006228BC"/>
    <w:rsid w:val="006270D4"/>
    <w:rsid w:val="00647907"/>
    <w:rsid w:val="00647B68"/>
    <w:rsid w:val="00655D81"/>
    <w:rsid w:val="0065710F"/>
    <w:rsid w:val="00662DA2"/>
    <w:rsid w:val="006716CC"/>
    <w:rsid w:val="00676EC3"/>
    <w:rsid w:val="00687538"/>
    <w:rsid w:val="00691A73"/>
    <w:rsid w:val="00693773"/>
    <w:rsid w:val="00695D90"/>
    <w:rsid w:val="006C4DB1"/>
    <w:rsid w:val="006D4206"/>
    <w:rsid w:val="006D4AB2"/>
    <w:rsid w:val="006D5DC7"/>
    <w:rsid w:val="006E0FE5"/>
    <w:rsid w:val="006E32DF"/>
    <w:rsid w:val="006E5E0A"/>
    <w:rsid w:val="006E6120"/>
    <w:rsid w:val="006E7898"/>
    <w:rsid w:val="00703F38"/>
    <w:rsid w:val="00713AF9"/>
    <w:rsid w:val="007529EE"/>
    <w:rsid w:val="00754024"/>
    <w:rsid w:val="00760711"/>
    <w:rsid w:val="00764CA2"/>
    <w:rsid w:val="00767CA3"/>
    <w:rsid w:val="00773D62"/>
    <w:rsid w:val="00780295"/>
    <w:rsid w:val="007852CC"/>
    <w:rsid w:val="00791A64"/>
    <w:rsid w:val="007A0921"/>
    <w:rsid w:val="007A3DE3"/>
    <w:rsid w:val="007A4EA7"/>
    <w:rsid w:val="007C645C"/>
    <w:rsid w:val="007D7A55"/>
    <w:rsid w:val="00800B23"/>
    <w:rsid w:val="00801082"/>
    <w:rsid w:val="008047D5"/>
    <w:rsid w:val="00810DAA"/>
    <w:rsid w:val="00832FC2"/>
    <w:rsid w:val="008463AE"/>
    <w:rsid w:val="008728C9"/>
    <w:rsid w:val="0088210A"/>
    <w:rsid w:val="00885135"/>
    <w:rsid w:val="00885FC4"/>
    <w:rsid w:val="00887A27"/>
    <w:rsid w:val="008947A6"/>
    <w:rsid w:val="0089718A"/>
    <w:rsid w:val="008B11B8"/>
    <w:rsid w:val="008C382F"/>
    <w:rsid w:val="008C4013"/>
    <w:rsid w:val="008C4710"/>
    <w:rsid w:val="008C4D55"/>
    <w:rsid w:val="008D661A"/>
    <w:rsid w:val="009015E4"/>
    <w:rsid w:val="00906FAA"/>
    <w:rsid w:val="00917966"/>
    <w:rsid w:val="009248D0"/>
    <w:rsid w:val="00957816"/>
    <w:rsid w:val="00987F27"/>
    <w:rsid w:val="0099685A"/>
    <w:rsid w:val="009B3053"/>
    <w:rsid w:val="009B7AC7"/>
    <w:rsid w:val="009D03AC"/>
    <w:rsid w:val="009E3651"/>
    <w:rsid w:val="009F5657"/>
    <w:rsid w:val="009F7FA3"/>
    <w:rsid w:val="00A00303"/>
    <w:rsid w:val="00A1256C"/>
    <w:rsid w:val="00A26720"/>
    <w:rsid w:val="00A53F6D"/>
    <w:rsid w:val="00A56DBE"/>
    <w:rsid w:val="00A600A5"/>
    <w:rsid w:val="00A61183"/>
    <w:rsid w:val="00A74C84"/>
    <w:rsid w:val="00A92526"/>
    <w:rsid w:val="00A95F35"/>
    <w:rsid w:val="00AB1B6F"/>
    <w:rsid w:val="00AE2AA1"/>
    <w:rsid w:val="00B13A00"/>
    <w:rsid w:val="00B15ED9"/>
    <w:rsid w:val="00B172D8"/>
    <w:rsid w:val="00B20155"/>
    <w:rsid w:val="00B34468"/>
    <w:rsid w:val="00B513F8"/>
    <w:rsid w:val="00B942A6"/>
    <w:rsid w:val="00BA284B"/>
    <w:rsid w:val="00BB22DE"/>
    <w:rsid w:val="00BB5692"/>
    <w:rsid w:val="00BD559E"/>
    <w:rsid w:val="00BF47D6"/>
    <w:rsid w:val="00C0368F"/>
    <w:rsid w:val="00C143BF"/>
    <w:rsid w:val="00C261C6"/>
    <w:rsid w:val="00C40F35"/>
    <w:rsid w:val="00C45883"/>
    <w:rsid w:val="00C51237"/>
    <w:rsid w:val="00C72DE1"/>
    <w:rsid w:val="00C736F3"/>
    <w:rsid w:val="00C8690F"/>
    <w:rsid w:val="00C96F62"/>
    <w:rsid w:val="00CB185A"/>
    <w:rsid w:val="00CB72EF"/>
    <w:rsid w:val="00CC17D4"/>
    <w:rsid w:val="00CC41B0"/>
    <w:rsid w:val="00CC52D4"/>
    <w:rsid w:val="00CC69A3"/>
    <w:rsid w:val="00CD152C"/>
    <w:rsid w:val="00D12DD4"/>
    <w:rsid w:val="00D204FC"/>
    <w:rsid w:val="00D26330"/>
    <w:rsid w:val="00D3218A"/>
    <w:rsid w:val="00D348E3"/>
    <w:rsid w:val="00D35F89"/>
    <w:rsid w:val="00D54330"/>
    <w:rsid w:val="00D55363"/>
    <w:rsid w:val="00D6057F"/>
    <w:rsid w:val="00D60FFB"/>
    <w:rsid w:val="00D65B79"/>
    <w:rsid w:val="00D73515"/>
    <w:rsid w:val="00D8724F"/>
    <w:rsid w:val="00D90A6D"/>
    <w:rsid w:val="00DA4223"/>
    <w:rsid w:val="00DA6F92"/>
    <w:rsid w:val="00DD659D"/>
    <w:rsid w:val="00DE2ED5"/>
    <w:rsid w:val="00DE3B95"/>
    <w:rsid w:val="00DE706C"/>
    <w:rsid w:val="00DF37AD"/>
    <w:rsid w:val="00DF4846"/>
    <w:rsid w:val="00E23844"/>
    <w:rsid w:val="00E27341"/>
    <w:rsid w:val="00E47EB0"/>
    <w:rsid w:val="00E60F1F"/>
    <w:rsid w:val="00E96A9E"/>
    <w:rsid w:val="00EA0DC7"/>
    <w:rsid w:val="00EA7C7F"/>
    <w:rsid w:val="00EB3373"/>
    <w:rsid w:val="00EB7061"/>
    <w:rsid w:val="00EC072F"/>
    <w:rsid w:val="00EC0863"/>
    <w:rsid w:val="00EC1238"/>
    <w:rsid w:val="00EC743F"/>
    <w:rsid w:val="00ED41D0"/>
    <w:rsid w:val="00EE5E36"/>
    <w:rsid w:val="00F21171"/>
    <w:rsid w:val="00F23AEF"/>
    <w:rsid w:val="00F242C3"/>
    <w:rsid w:val="00F35A98"/>
    <w:rsid w:val="00F54A55"/>
    <w:rsid w:val="00F55921"/>
    <w:rsid w:val="00F6219E"/>
    <w:rsid w:val="00F76742"/>
    <w:rsid w:val="00F76CF5"/>
    <w:rsid w:val="00F809F3"/>
    <w:rsid w:val="00F82B33"/>
    <w:rsid w:val="00F84578"/>
    <w:rsid w:val="00F92EC2"/>
    <w:rsid w:val="00F9589B"/>
    <w:rsid w:val="00F978B7"/>
    <w:rsid w:val="00FB2CF8"/>
    <w:rsid w:val="00FC10D2"/>
    <w:rsid w:val="00FC5500"/>
    <w:rsid w:val="00FC5E27"/>
    <w:rsid w:val="00FD0BBE"/>
    <w:rsid w:val="00FD69C4"/>
    <w:rsid w:val="00FF5DB7"/>
    <w:rsid w:val="02053585"/>
    <w:rsid w:val="036E6B8F"/>
    <w:rsid w:val="07CC41B6"/>
    <w:rsid w:val="081D58D7"/>
    <w:rsid w:val="09026256"/>
    <w:rsid w:val="0A460E35"/>
    <w:rsid w:val="0ABB2638"/>
    <w:rsid w:val="0B035072"/>
    <w:rsid w:val="0CF22A69"/>
    <w:rsid w:val="105A5E61"/>
    <w:rsid w:val="108A2DF9"/>
    <w:rsid w:val="114A4007"/>
    <w:rsid w:val="11E80B70"/>
    <w:rsid w:val="131F5562"/>
    <w:rsid w:val="13DE5A0A"/>
    <w:rsid w:val="14391855"/>
    <w:rsid w:val="14B20501"/>
    <w:rsid w:val="15AD02CF"/>
    <w:rsid w:val="15B770E6"/>
    <w:rsid w:val="16306096"/>
    <w:rsid w:val="17C77300"/>
    <w:rsid w:val="19502AFF"/>
    <w:rsid w:val="1A933732"/>
    <w:rsid w:val="1B291601"/>
    <w:rsid w:val="1B562317"/>
    <w:rsid w:val="1B6125BA"/>
    <w:rsid w:val="1C704EA0"/>
    <w:rsid w:val="1EC23530"/>
    <w:rsid w:val="20575D73"/>
    <w:rsid w:val="207050D2"/>
    <w:rsid w:val="21D71593"/>
    <w:rsid w:val="22F216A1"/>
    <w:rsid w:val="233E37DA"/>
    <w:rsid w:val="24E221B6"/>
    <w:rsid w:val="259153C6"/>
    <w:rsid w:val="27FF0A5B"/>
    <w:rsid w:val="2B10631A"/>
    <w:rsid w:val="2C5F7B41"/>
    <w:rsid w:val="2D46497D"/>
    <w:rsid w:val="309B6D66"/>
    <w:rsid w:val="30B0352C"/>
    <w:rsid w:val="30D54183"/>
    <w:rsid w:val="326E666F"/>
    <w:rsid w:val="33B666B0"/>
    <w:rsid w:val="340A210E"/>
    <w:rsid w:val="34AF0959"/>
    <w:rsid w:val="367211F0"/>
    <w:rsid w:val="36E663B5"/>
    <w:rsid w:val="379741E3"/>
    <w:rsid w:val="38F22CCA"/>
    <w:rsid w:val="39C67DD5"/>
    <w:rsid w:val="3A3E72E2"/>
    <w:rsid w:val="415F544E"/>
    <w:rsid w:val="419E39E2"/>
    <w:rsid w:val="4211674B"/>
    <w:rsid w:val="423E1409"/>
    <w:rsid w:val="434C6AD0"/>
    <w:rsid w:val="440151C0"/>
    <w:rsid w:val="45E4788C"/>
    <w:rsid w:val="4655010A"/>
    <w:rsid w:val="475A1448"/>
    <w:rsid w:val="4AA707D6"/>
    <w:rsid w:val="4D9F49DA"/>
    <w:rsid w:val="4F7F0520"/>
    <w:rsid w:val="4FF26343"/>
    <w:rsid w:val="501A5998"/>
    <w:rsid w:val="50F26C67"/>
    <w:rsid w:val="5172547A"/>
    <w:rsid w:val="51FF513B"/>
    <w:rsid w:val="529772B8"/>
    <w:rsid w:val="547A6E78"/>
    <w:rsid w:val="567820CA"/>
    <w:rsid w:val="56C72A41"/>
    <w:rsid w:val="5845176E"/>
    <w:rsid w:val="58C86E95"/>
    <w:rsid w:val="599A25CB"/>
    <w:rsid w:val="5AE72B3A"/>
    <w:rsid w:val="5BD8752F"/>
    <w:rsid w:val="5C79273A"/>
    <w:rsid w:val="5C7B6D1B"/>
    <w:rsid w:val="5D2079C3"/>
    <w:rsid w:val="5ED20CCC"/>
    <w:rsid w:val="5F91369D"/>
    <w:rsid w:val="5FD46D3D"/>
    <w:rsid w:val="64EB61DD"/>
    <w:rsid w:val="65A605D0"/>
    <w:rsid w:val="665C2E2E"/>
    <w:rsid w:val="68D63C0D"/>
    <w:rsid w:val="695F21C6"/>
    <w:rsid w:val="69747285"/>
    <w:rsid w:val="6B513865"/>
    <w:rsid w:val="6B9420A7"/>
    <w:rsid w:val="6C5C16D3"/>
    <w:rsid w:val="6D1D463D"/>
    <w:rsid w:val="6D6303D8"/>
    <w:rsid w:val="6DBC0971"/>
    <w:rsid w:val="6E0C608A"/>
    <w:rsid w:val="6E305C2D"/>
    <w:rsid w:val="70C80627"/>
    <w:rsid w:val="74BD2234"/>
    <w:rsid w:val="74FD0CE4"/>
    <w:rsid w:val="769D4E6E"/>
    <w:rsid w:val="782A5943"/>
    <w:rsid w:val="784C7759"/>
    <w:rsid w:val="78512645"/>
    <w:rsid w:val="7A0C2F4B"/>
    <w:rsid w:val="7CF01775"/>
    <w:rsid w:val="7E3051DF"/>
    <w:rsid w:val="7FA87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autoRedefine/>
    <w:semiHidden/>
    <w:unhideWhenUsed/>
    <w:qFormat/>
    <w:uiPriority w:val="99"/>
    <w:rPr>
      <w:rFonts w:ascii="宋体"/>
      <w:sz w:val="18"/>
      <w:szCs w:val="18"/>
    </w:rPr>
  </w:style>
  <w:style w:type="paragraph" w:styleId="5">
    <w:name w:val="annotation text"/>
    <w:basedOn w:val="1"/>
    <w:qFormat/>
    <w:uiPriority w:val="0"/>
    <w:pPr>
      <w:widowControl/>
      <w:spacing w:line="400" w:lineRule="exact"/>
      <w:jc w:val="center"/>
    </w:pPr>
  </w:style>
  <w:style w:type="paragraph" w:styleId="6">
    <w:name w:val="Body Text"/>
    <w:basedOn w:val="1"/>
    <w:next w:val="1"/>
    <w:qFormat/>
    <w:uiPriority w:val="0"/>
    <w:pPr>
      <w:spacing w:after="120"/>
    </w:pPr>
    <w:rPr>
      <w:rFonts w:ascii="Calibri" w:hAnsi="Calibri"/>
    </w:rPr>
  </w:style>
  <w:style w:type="paragraph" w:styleId="7">
    <w:name w:val="Plain Text"/>
    <w:basedOn w:val="1"/>
    <w:link w:val="22"/>
    <w:autoRedefine/>
    <w:qFormat/>
    <w:uiPriority w:val="0"/>
    <w:rPr>
      <w:rFonts w:ascii="宋体" w:hAnsi="Courier New"/>
      <w:szCs w:val="20"/>
    </w:rPr>
  </w:style>
  <w:style w:type="paragraph" w:styleId="8">
    <w:name w:val="Balloon Text"/>
    <w:basedOn w:val="1"/>
    <w:link w:val="27"/>
    <w:autoRedefine/>
    <w:semiHidden/>
    <w:unhideWhenUsed/>
    <w:qFormat/>
    <w:uiPriority w:val="99"/>
    <w:rPr>
      <w:sz w:val="18"/>
      <w:szCs w:val="18"/>
    </w:rPr>
  </w:style>
  <w:style w:type="paragraph" w:styleId="9">
    <w:name w:val="footer"/>
    <w:basedOn w:val="1"/>
    <w:link w:val="17"/>
    <w:autoRedefine/>
    <w:unhideWhenUsed/>
    <w:qFormat/>
    <w:uiPriority w:val="99"/>
    <w:pPr>
      <w:tabs>
        <w:tab w:val="center" w:pos="4153"/>
        <w:tab w:val="right" w:pos="8306"/>
      </w:tabs>
      <w:snapToGrid w:val="0"/>
      <w:jc w:val="left"/>
    </w:pPr>
    <w:rPr>
      <w:sz w:val="18"/>
      <w:szCs w:val="18"/>
    </w:rPr>
  </w:style>
  <w:style w:type="paragraph" w:styleId="10">
    <w:name w:val="header"/>
    <w:basedOn w:val="1"/>
    <w:link w:val="1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rPr>
      <w:rFonts w:ascii="Calibri" w:hAnsi="Calibri"/>
      <w:kern w:val="0"/>
      <w:sz w:val="24"/>
    </w:rPr>
  </w:style>
  <w:style w:type="table" w:styleId="13">
    <w:name w:val="Table Grid"/>
    <w:basedOn w:val="1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Text"/>
    <w:autoRedefine/>
    <w:qFormat/>
    <w:uiPriority w:val="0"/>
    <w:pPr>
      <w:widowControl w:val="0"/>
      <w:spacing w:after="120"/>
      <w:jc w:val="both"/>
      <w:textAlignment w:val="baseline"/>
    </w:pPr>
    <w:rPr>
      <w:rFonts w:ascii="Times New Roman" w:hAnsi="Times New Roman" w:eastAsia="宋体" w:cs="Times New Roman"/>
      <w:kern w:val="2"/>
      <w:sz w:val="21"/>
      <w:szCs w:val="24"/>
      <w:lang w:val="en-US" w:eastAsia="zh-CN" w:bidi="ar-SA"/>
    </w:rPr>
  </w:style>
  <w:style w:type="character" w:customStyle="1" w:styleId="16">
    <w:name w:val="页眉 字符"/>
    <w:basedOn w:val="14"/>
    <w:link w:val="10"/>
    <w:autoRedefine/>
    <w:semiHidden/>
    <w:qFormat/>
    <w:uiPriority w:val="99"/>
    <w:rPr>
      <w:sz w:val="18"/>
      <w:szCs w:val="18"/>
    </w:rPr>
  </w:style>
  <w:style w:type="character" w:customStyle="1" w:styleId="17">
    <w:name w:val="页脚 字符"/>
    <w:basedOn w:val="14"/>
    <w:link w:val="9"/>
    <w:autoRedefine/>
    <w:qFormat/>
    <w:uiPriority w:val="99"/>
    <w:rPr>
      <w:sz w:val="18"/>
      <w:szCs w:val="18"/>
    </w:rPr>
  </w:style>
  <w:style w:type="paragraph" w:customStyle="1" w:styleId="18">
    <w:name w:val="_Style 1"/>
    <w:basedOn w:val="1"/>
    <w:autoRedefine/>
    <w:qFormat/>
    <w:uiPriority w:val="34"/>
    <w:pPr>
      <w:ind w:firstLine="420" w:firstLineChars="200"/>
    </w:pPr>
    <w:rPr>
      <w:rFonts w:ascii="Calibri" w:hAnsi="Calibri"/>
      <w:szCs w:val="22"/>
    </w:rPr>
  </w:style>
  <w:style w:type="character" w:customStyle="1" w:styleId="19">
    <w:name w:val="Character Style 2"/>
    <w:autoRedefine/>
    <w:qFormat/>
    <w:uiPriority w:val="99"/>
    <w:rPr>
      <w:sz w:val="20"/>
      <w:szCs w:val="20"/>
    </w:rPr>
  </w:style>
  <w:style w:type="character" w:customStyle="1" w:styleId="20">
    <w:name w:val="Character Style 1"/>
    <w:autoRedefine/>
    <w:qFormat/>
    <w:uiPriority w:val="99"/>
    <w:rPr>
      <w:sz w:val="20"/>
    </w:rPr>
  </w:style>
  <w:style w:type="character" w:customStyle="1" w:styleId="21">
    <w:name w:val="纯文本 Char"/>
    <w:basedOn w:val="14"/>
    <w:autoRedefine/>
    <w:semiHidden/>
    <w:qFormat/>
    <w:uiPriority w:val="99"/>
    <w:rPr>
      <w:rFonts w:ascii="宋体" w:hAnsi="Courier New" w:eastAsia="宋体" w:cs="Courier New"/>
      <w:szCs w:val="21"/>
    </w:rPr>
  </w:style>
  <w:style w:type="character" w:customStyle="1" w:styleId="22">
    <w:name w:val="纯文本 字符"/>
    <w:link w:val="7"/>
    <w:autoRedefine/>
    <w:qFormat/>
    <w:locked/>
    <w:uiPriority w:val="0"/>
    <w:rPr>
      <w:rFonts w:ascii="宋体" w:hAnsi="Courier New" w:eastAsia="宋体" w:cs="Times New Roman"/>
      <w:szCs w:val="20"/>
    </w:rPr>
  </w:style>
  <w:style w:type="paragraph" w:styleId="23">
    <w:name w:val="List Paragraph"/>
    <w:basedOn w:val="1"/>
    <w:autoRedefine/>
    <w:qFormat/>
    <w:uiPriority w:val="34"/>
    <w:pPr>
      <w:ind w:firstLine="420" w:firstLineChars="200"/>
    </w:pPr>
    <w:rPr>
      <w:rFonts w:ascii="Calibri" w:hAnsi="Calibri"/>
      <w:szCs w:val="22"/>
    </w:rPr>
  </w:style>
  <w:style w:type="character" w:customStyle="1" w:styleId="24">
    <w:name w:val="文档结构图 字符"/>
    <w:basedOn w:val="14"/>
    <w:link w:val="4"/>
    <w:autoRedefine/>
    <w:semiHidden/>
    <w:qFormat/>
    <w:uiPriority w:val="99"/>
    <w:rPr>
      <w:rFonts w:ascii="宋体" w:hAnsi="Times New Roman" w:eastAsia="宋体" w:cs="Times New Roman"/>
      <w:sz w:val="18"/>
      <w:szCs w:val="18"/>
    </w:rPr>
  </w:style>
  <w:style w:type="character" w:customStyle="1" w:styleId="25">
    <w:name w:val="标题 1 字符"/>
    <w:basedOn w:val="14"/>
    <w:link w:val="2"/>
    <w:autoRedefine/>
    <w:qFormat/>
    <w:uiPriority w:val="9"/>
    <w:rPr>
      <w:rFonts w:ascii="Times New Roman" w:hAnsi="Times New Roman" w:eastAsia="宋体" w:cs="Times New Roman"/>
      <w:b/>
      <w:bCs/>
      <w:kern w:val="44"/>
      <w:sz w:val="44"/>
      <w:szCs w:val="44"/>
    </w:rPr>
  </w:style>
  <w:style w:type="character" w:customStyle="1" w:styleId="26">
    <w:name w:val="标题 2 字符"/>
    <w:basedOn w:val="14"/>
    <w:link w:val="3"/>
    <w:autoRedefine/>
    <w:qFormat/>
    <w:uiPriority w:val="9"/>
    <w:rPr>
      <w:rFonts w:asciiTheme="majorHAnsi" w:hAnsiTheme="majorHAnsi" w:eastAsiaTheme="majorEastAsia" w:cstheme="majorBidi"/>
      <w:b/>
      <w:bCs/>
      <w:kern w:val="2"/>
      <w:sz w:val="32"/>
      <w:szCs w:val="32"/>
    </w:rPr>
  </w:style>
  <w:style w:type="character" w:customStyle="1" w:styleId="27">
    <w:name w:val="批注框文本 字符"/>
    <w:basedOn w:val="14"/>
    <w:link w:val="8"/>
    <w:autoRedefine/>
    <w:semiHidden/>
    <w:qFormat/>
    <w:uiPriority w:val="99"/>
    <w:rPr>
      <w:rFonts w:ascii="Times New Roman" w:hAnsi="Times New Roman" w:eastAsia="宋体" w:cs="Times New Roman"/>
      <w:kern w:val="2"/>
      <w:sz w:val="18"/>
      <w:szCs w:val="18"/>
    </w:rPr>
  </w:style>
  <w:style w:type="paragraph" w:customStyle="1" w:styleId="28">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9">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37CE57-C1DC-4B90-AE1E-8438D75F484E}">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21</Pages>
  <Words>6859</Words>
  <Characters>7257</Characters>
  <Lines>45</Lines>
  <Paragraphs>12</Paragraphs>
  <TotalTime>47</TotalTime>
  <ScaleCrop>false</ScaleCrop>
  <LinksUpToDate>false</LinksUpToDate>
  <CharactersWithSpaces>7378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2025-02-28T07:31:00Z</dcterms:created>
  <dc:creator>禤炜安</dc:creator>
  <cp:lastModifiedBy>上邪</cp:lastModifiedBy>
  <cp:lastPrinted>2025-03-10T10:05:00Z</cp:lastPrinted>
  <dcterms:modified xsi:type="dcterms:W3CDTF">2025-11-27T03:09:23Z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18652B7938234186B8A379E436FC02EC_13</vt:lpwstr>
  </property>
  <property fmtid="{D5CDD505-2E9C-101B-9397-08002B2CF9AE}" pid="4" name="KSOTemplateDocerSaveRecord">
    <vt:lpwstr>eyJoZGlkIjoiYjJjOTQxYzhjODMyMDAzZmE0MDJkMWFkNmJlNDkwYTUiLCJ1c2VySWQiOiI0MzI4NDczNDUifQ==</vt:lpwstr>
  </property>
</Properties>
</file>