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BB12B"/>
    <w:p w14:paraId="36311BD4">
      <w:pPr>
        <w:spacing w:line="560" w:lineRule="exact"/>
        <w:jc w:val="center"/>
        <w:rPr>
          <w:rFonts w:ascii="华文中宋" w:hAnsi="华文中宋" w:eastAsia="华文中宋"/>
          <w:b/>
          <w:sz w:val="52"/>
          <w:szCs w:val="52"/>
        </w:rPr>
      </w:pPr>
    </w:p>
    <w:p w14:paraId="14B0BD21">
      <w:pPr>
        <w:keepNext w:val="0"/>
        <w:keepLines w:val="0"/>
        <w:pageBreakBefore w:val="0"/>
        <w:kinsoku/>
        <w:wordWrap/>
        <w:overflowPunct/>
        <w:topLinePunct w:val="0"/>
        <w:autoSpaceDE/>
        <w:autoSpaceDN/>
        <w:bidi w:val="0"/>
        <w:adjustRightInd/>
        <w:snapToGrid/>
        <w:spacing w:line="56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14:paraId="52DFFE1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b/>
          <w:sz w:val="44"/>
          <w:szCs w:val="44"/>
        </w:rPr>
      </w:pPr>
      <w:r>
        <w:rPr>
          <w:rFonts w:hint="eastAsia" w:ascii="华文中宋" w:hAnsi="华文中宋" w:eastAsia="华文中宋"/>
          <w:b/>
          <w:sz w:val="44"/>
          <w:szCs w:val="44"/>
        </w:rPr>
        <w:t>广西党政机关综合办公平台基础</w:t>
      </w:r>
    </w:p>
    <w:p w14:paraId="7057522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b/>
          <w:sz w:val="44"/>
          <w:szCs w:val="44"/>
        </w:rPr>
      </w:pPr>
      <w:r>
        <w:rPr>
          <w:rFonts w:hint="eastAsia" w:ascii="华文中宋" w:hAnsi="华文中宋" w:eastAsia="华文中宋"/>
          <w:b/>
          <w:sz w:val="44"/>
          <w:szCs w:val="44"/>
        </w:rPr>
        <w:t>插件采购项目询价采购文件</w:t>
      </w:r>
    </w:p>
    <w:p w14:paraId="47D8D993">
      <w:pPr>
        <w:keepNext w:val="0"/>
        <w:keepLines w:val="0"/>
        <w:pageBreakBefore w:val="0"/>
        <w:kinsoku/>
        <w:wordWrap/>
        <w:overflowPunct/>
        <w:topLinePunct w:val="0"/>
        <w:autoSpaceDE/>
        <w:autoSpaceDN/>
        <w:bidi w:val="0"/>
        <w:adjustRightInd/>
        <w:snapToGrid/>
        <w:spacing w:line="560" w:lineRule="exact"/>
        <w:jc w:val="center"/>
        <w:textAlignment w:val="auto"/>
        <w:rPr>
          <w:rFonts w:ascii="华文中宋" w:hAnsi="华文中宋" w:eastAsia="华文中宋"/>
          <w:b/>
          <w:sz w:val="44"/>
          <w:szCs w:val="44"/>
        </w:rPr>
      </w:pPr>
    </w:p>
    <w:p w14:paraId="40C976E8">
      <w:pPr>
        <w:keepNext w:val="0"/>
        <w:keepLines w:val="0"/>
        <w:pageBreakBefore w:val="0"/>
        <w:kinsoku/>
        <w:wordWrap/>
        <w:overflowPunct/>
        <w:topLinePunct w:val="0"/>
        <w:autoSpaceDE/>
        <w:autoSpaceDN/>
        <w:bidi w:val="0"/>
        <w:adjustRightInd/>
        <w:snapToGrid/>
        <w:spacing w:line="560" w:lineRule="exact"/>
        <w:textAlignment w:val="auto"/>
        <w:rPr>
          <w:sz w:val="44"/>
          <w:szCs w:val="44"/>
        </w:rPr>
      </w:pPr>
    </w:p>
    <w:p w14:paraId="0E35E151">
      <w:pPr>
        <w:keepNext w:val="0"/>
        <w:keepLines w:val="0"/>
        <w:pageBreakBefore w:val="0"/>
        <w:kinsoku/>
        <w:wordWrap/>
        <w:overflowPunct/>
        <w:topLinePunct w:val="0"/>
        <w:autoSpaceDE/>
        <w:autoSpaceDN/>
        <w:bidi w:val="0"/>
        <w:adjustRightInd/>
        <w:snapToGrid/>
        <w:spacing w:line="560" w:lineRule="exact"/>
        <w:textAlignment w:val="auto"/>
      </w:pPr>
    </w:p>
    <w:p w14:paraId="2864F0A6">
      <w:pPr>
        <w:keepNext w:val="0"/>
        <w:keepLines w:val="0"/>
        <w:pageBreakBefore w:val="0"/>
        <w:kinsoku/>
        <w:wordWrap/>
        <w:overflowPunct/>
        <w:topLinePunct w:val="0"/>
        <w:autoSpaceDE/>
        <w:autoSpaceDN/>
        <w:bidi w:val="0"/>
        <w:adjustRightInd/>
        <w:snapToGrid/>
        <w:spacing w:line="560" w:lineRule="exact"/>
        <w:textAlignment w:val="auto"/>
      </w:pPr>
    </w:p>
    <w:p w14:paraId="3B3C70D9">
      <w:pPr>
        <w:keepNext w:val="0"/>
        <w:keepLines w:val="0"/>
        <w:pageBreakBefore w:val="0"/>
        <w:kinsoku/>
        <w:wordWrap/>
        <w:overflowPunct/>
        <w:topLinePunct w:val="0"/>
        <w:autoSpaceDE/>
        <w:autoSpaceDN/>
        <w:bidi w:val="0"/>
        <w:adjustRightInd/>
        <w:snapToGrid/>
        <w:spacing w:line="560" w:lineRule="exact"/>
        <w:textAlignment w:val="auto"/>
      </w:pPr>
    </w:p>
    <w:p w14:paraId="1133C8FF">
      <w:pPr>
        <w:keepNext w:val="0"/>
        <w:keepLines w:val="0"/>
        <w:pageBreakBefore w:val="0"/>
        <w:kinsoku/>
        <w:wordWrap/>
        <w:overflowPunct/>
        <w:topLinePunct w:val="0"/>
        <w:autoSpaceDE/>
        <w:autoSpaceDN/>
        <w:bidi w:val="0"/>
        <w:adjustRightInd/>
        <w:snapToGrid/>
        <w:spacing w:line="560" w:lineRule="exact"/>
        <w:textAlignment w:val="auto"/>
      </w:pPr>
    </w:p>
    <w:p w14:paraId="46184A6C">
      <w:pPr>
        <w:keepNext w:val="0"/>
        <w:keepLines w:val="0"/>
        <w:pageBreakBefore w:val="0"/>
        <w:kinsoku/>
        <w:wordWrap/>
        <w:overflowPunct/>
        <w:topLinePunct w:val="0"/>
        <w:autoSpaceDE/>
        <w:autoSpaceDN/>
        <w:bidi w:val="0"/>
        <w:adjustRightInd/>
        <w:snapToGrid/>
        <w:spacing w:line="560" w:lineRule="exact"/>
        <w:jc w:val="center"/>
        <w:textAlignment w:val="auto"/>
        <w:rPr>
          <w:b/>
          <w:sz w:val="84"/>
          <w:szCs w:val="84"/>
        </w:rPr>
      </w:pPr>
    </w:p>
    <w:p w14:paraId="5457AEF8">
      <w:pPr>
        <w:keepNext w:val="0"/>
        <w:keepLines w:val="0"/>
        <w:pageBreakBefore w:val="0"/>
        <w:kinsoku/>
        <w:wordWrap/>
        <w:overflowPunct/>
        <w:topLinePunct w:val="0"/>
        <w:autoSpaceDE/>
        <w:autoSpaceDN/>
        <w:bidi w:val="0"/>
        <w:adjustRightInd/>
        <w:snapToGrid/>
        <w:spacing w:line="560" w:lineRule="exact"/>
        <w:textAlignment w:val="auto"/>
      </w:pPr>
    </w:p>
    <w:p w14:paraId="1608613B">
      <w:pPr>
        <w:keepNext w:val="0"/>
        <w:keepLines w:val="0"/>
        <w:pageBreakBefore w:val="0"/>
        <w:kinsoku/>
        <w:wordWrap/>
        <w:overflowPunct/>
        <w:topLinePunct w:val="0"/>
        <w:autoSpaceDE/>
        <w:autoSpaceDN/>
        <w:bidi w:val="0"/>
        <w:adjustRightInd/>
        <w:snapToGrid/>
        <w:spacing w:line="560" w:lineRule="exact"/>
        <w:textAlignment w:val="auto"/>
      </w:pPr>
    </w:p>
    <w:p w14:paraId="2013629E">
      <w:pPr>
        <w:keepNext w:val="0"/>
        <w:keepLines w:val="0"/>
        <w:pageBreakBefore w:val="0"/>
        <w:kinsoku/>
        <w:wordWrap/>
        <w:overflowPunct/>
        <w:topLinePunct w:val="0"/>
        <w:autoSpaceDE/>
        <w:autoSpaceDN/>
        <w:bidi w:val="0"/>
        <w:adjustRightInd/>
        <w:snapToGrid/>
        <w:spacing w:line="560" w:lineRule="exact"/>
        <w:textAlignment w:val="auto"/>
      </w:pPr>
    </w:p>
    <w:p w14:paraId="5680E132">
      <w:pPr>
        <w:keepNext w:val="0"/>
        <w:keepLines w:val="0"/>
        <w:pageBreakBefore w:val="0"/>
        <w:kinsoku/>
        <w:wordWrap/>
        <w:overflowPunct/>
        <w:topLinePunct w:val="0"/>
        <w:autoSpaceDE/>
        <w:autoSpaceDN/>
        <w:bidi w:val="0"/>
        <w:adjustRightInd/>
        <w:snapToGrid/>
        <w:spacing w:line="560" w:lineRule="exact"/>
        <w:textAlignment w:val="auto"/>
        <w:rPr>
          <w:b/>
          <w:sz w:val="36"/>
          <w:szCs w:val="36"/>
        </w:rPr>
      </w:pPr>
    </w:p>
    <w:p w14:paraId="7922545F">
      <w:pPr>
        <w:pStyle w:val="10"/>
      </w:pPr>
    </w:p>
    <w:p w14:paraId="74D947C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sz w:val="36"/>
          <w:szCs w:val="36"/>
        </w:rPr>
      </w:pPr>
    </w:p>
    <w:p w14:paraId="502671E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sz w:val="36"/>
          <w:szCs w:val="36"/>
        </w:rPr>
      </w:pPr>
    </w:p>
    <w:p w14:paraId="1318D2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sz w:val="36"/>
          <w:szCs w:val="36"/>
        </w:rPr>
      </w:pPr>
    </w:p>
    <w:p w14:paraId="3D97ACF9">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b/>
          <w:sz w:val="36"/>
          <w:szCs w:val="36"/>
        </w:rPr>
      </w:pPr>
      <w:r>
        <w:rPr>
          <w:rFonts w:hint="eastAsia" w:ascii="黑体" w:hAnsi="黑体" w:eastAsia="黑体" w:cs="黑体"/>
          <w:b/>
          <w:sz w:val="36"/>
          <w:szCs w:val="36"/>
        </w:rPr>
        <w:t>采购单位：自治区交通运输综合行政执法局</w:t>
      </w:r>
    </w:p>
    <w:p w14:paraId="504AEC3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sz w:val="36"/>
          <w:szCs w:val="36"/>
        </w:rPr>
      </w:pPr>
      <w:r>
        <w:rPr>
          <w:rFonts w:hint="eastAsia" w:ascii="黑体" w:hAnsi="黑体" w:eastAsia="黑体" w:cs="黑体"/>
          <w:b/>
          <w:sz w:val="36"/>
          <w:szCs w:val="36"/>
        </w:rPr>
        <w:t>日期：202</w:t>
      </w:r>
      <w:r>
        <w:rPr>
          <w:rFonts w:hint="eastAsia" w:ascii="黑体" w:hAnsi="黑体" w:eastAsia="黑体" w:cs="黑体"/>
          <w:b/>
          <w:sz w:val="36"/>
          <w:szCs w:val="36"/>
          <w:lang w:val="en-US" w:eastAsia="zh-CN"/>
        </w:rPr>
        <w:t>6</w:t>
      </w:r>
      <w:r>
        <w:rPr>
          <w:rFonts w:hint="eastAsia" w:ascii="黑体" w:hAnsi="黑体" w:eastAsia="黑体" w:cs="黑体"/>
          <w:b/>
          <w:sz w:val="36"/>
          <w:szCs w:val="36"/>
        </w:rPr>
        <w:t>年</w:t>
      </w:r>
      <w:r>
        <w:rPr>
          <w:rFonts w:hint="eastAsia" w:ascii="黑体" w:hAnsi="黑体" w:eastAsia="黑体" w:cs="黑体"/>
          <w:b/>
          <w:sz w:val="36"/>
          <w:szCs w:val="36"/>
          <w:lang w:val="en-US" w:eastAsia="zh-CN"/>
        </w:rPr>
        <w:t xml:space="preserve"> 3</w:t>
      </w:r>
      <w:r>
        <w:rPr>
          <w:rFonts w:hint="eastAsia" w:ascii="黑体" w:hAnsi="黑体" w:eastAsia="黑体" w:cs="黑体"/>
          <w:b/>
          <w:sz w:val="36"/>
          <w:szCs w:val="36"/>
        </w:rPr>
        <w:t>月</w:t>
      </w:r>
      <w:r>
        <w:rPr>
          <w:rFonts w:hint="eastAsia" w:ascii="黑体" w:hAnsi="黑体" w:eastAsia="黑体" w:cs="黑体"/>
          <w:b/>
          <w:sz w:val="36"/>
          <w:szCs w:val="36"/>
          <w:lang w:val="en-US" w:eastAsia="zh-CN"/>
        </w:rPr>
        <w:t xml:space="preserve"> 16</w:t>
      </w:r>
      <w:r>
        <w:rPr>
          <w:rFonts w:hint="eastAsia" w:ascii="黑体" w:hAnsi="黑体" w:eastAsia="黑体" w:cs="黑体"/>
          <w:b/>
          <w:sz w:val="36"/>
          <w:szCs w:val="36"/>
        </w:rPr>
        <w:t>日</w:t>
      </w:r>
    </w:p>
    <w:p w14:paraId="560C19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sectPr>
          <w:footerReference r:id="rId3" w:type="default"/>
          <w:pgSz w:w="11906" w:h="16838"/>
          <w:pgMar w:top="2098" w:right="1474" w:bottom="1984" w:left="1587" w:header="851" w:footer="992" w:gutter="0"/>
          <w:pgNumType w:fmt="decimal"/>
          <w:cols w:space="425" w:num="1"/>
          <w:docGrid w:type="lines" w:linePitch="312" w:charSpace="0"/>
        </w:sectPr>
      </w:pPr>
    </w:p>
    <w:p w14:paraId="41CF82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14:paraId="3AF16C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14:paraId="741C6E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自治区交通运输综合行政执法局</w:t>
      </w:r>
    </w:p>
    <w:p w14:paraId="50BC50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采购报价供应商需知</w:t>
      </w:r>
    </w:p>
    <w:p w14:paraId="38342A0D">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FF15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我局根据工作开展需要，拟采广西党政机关综合办公平台基础插件一批，现邀请贵公司参与报价。我局将根据各公司所报的价格、参数等在符合采购需求、质量和服务的前提下，采用综合评分法，以综合评分最高者确定成交供应商，并与成交供应商通过政采云网上超市实施采购。</w:t>
      </w:r>
    </w:p>
    <w:p w14:paraId="559CCE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一、项目概况</w:t>
      </w:r>
    </w:p>
    <w:p w14:paraId="2A16A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（一）项目名称：自治区交通运输综合行政执法局广西党政机关综合办公平台基础插件采购项目</w:t>
      </w:r>
    </w:p>
    <w:p w14:paraId="68E2B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（二）采购方式：询价采购</w:t>
      </w:r>
    </w:p>
    <w:p w14:paraId="519DC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（三）最高限价为：6.3万元</w:t>
      </w:r>
    </w:p>
    <w:p w14:paraId="4C6C3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采购需求内容：为完成执法局14个下设机构全面推广部署综合办公平台，实现综合办公平台三级部署，统一使用同一个OA办公系统，现需对新增105台终端购置广西党政机关综合办公平台基础支撑插件安装部署。具体内容如下：</w:t>
      </w:r>
    </w:p>
    <w:p w14:paraId="3E558C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sz w:val="32"/>
          <w:szCs w:val="32"/>
          <w:lang w:val="en-US" w:eastAsia="zh-CN"/>
        </w:rPr>
      </w:pPr>
    </w:p>
    <w:p w14:paraId="5FE0B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sectPr>
          <w:footerReference r:id="rId4" w:type="default"/>
          <w:pgSz w:w="11906" w:h="16838"/>
          <w:pgMar w:top="2098" w:right="1474" w:bottom="1984" w:left="1587" w:header="851" w:footer="992" w:gutter="0"/>
          <w:pgNumType w:fmt="decimal" w:start="1"/>
          <w:cols w:space="425" w:num="1"/>
          <w:docGrid w:type="lines" w:linePitch="312" w:charSpace="0"/>
        </w:sectPr>
      </w:pPr>
    </w:p>
    <w:tbl>
      <w:tblPr>
        <w:tblStyle w:val="8"/>
        <w:tblpPr w:leftFromText="180" w:rightFromText="180" w:vertAnchor="text" w:horzAnchor="page" w:tblpX="2226" w:tblpY="35"/>
        <w:tblOverlap w:val="never"/>
        <w:tblW w:w="12985" w:type="dxa"/>
        <w:tblInd w:w="0" w:type="dxa"/>
        <w:tblLayout w:type="fixed"/>
        <w:tblCellMar>
          <w:top w:w="0" w:type="dxa"/>
          <w:left w:w="108" w:type="dxa"/>
          <w:bottom w:w="0" w:type="dxa"/>
          <w:right w:w="108" w:type="dxa"/>
        </w:tblCellMar>
      </w:tblPr>
      <w:tblGrid>
        <w:gridCol w:w="1247"/>
        <w:gridCol w:w="1155"/>
        <w:gridCol w:w="8348"/>
        <w:gridCol w:w="1125"/>
        <w:gridCol w:w="1110"/>
      </w:tblGrid>
      <w:tr w14:paraId="2A63377D">
        <w:tblPrEx>
          <w:tblCellMar>
            <w:top w:w="0" w:type="dxa"/>
            <w:left w:w="108" w:type="dxa"/>
            <w:bottom w:w="0" w:type="dxa"/>
            <w:right w:w="108" w:type="dxa"/>
          </w:tblCellMar>
        </w:tblPrEx>
        <w:trPr>
          <w:trHeight w:val="132"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2715">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8D1F">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项目</w:t>
            </w:r>
          </w:p>
        </w:tc>
        <w:tc>
          <w:tcPr>
            <w:tcW w:w="8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EEBF">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采购需求说明</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88BD">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40D5">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单位</w:t>
            </w:r>
          </w:p>
        </w:tc>
      </w:tr>
      <w:tr w14:paraId="33ADBC25">
        <w:tblPrEx>
          <w:tblCellMar>
            <w:top w:w="0" w:type="dxa"/>
            <w:left w:w="108" w:type="dxa"/>
            <w:bottom w:w="0" w:type="dxa"/>
            <w:right w:w="108" w:type="dxa"/>
          </w:tblCellMar>
        </w:tblPrEx>
        <w:trPr>
          <w:trHeight w:val="9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E24B">
            <w:pPr>
              <w:jc w:val="center"/>
              <w:rPr>
                <w:rFonts w:hint="eastAsia" w:ascii="宋体" w:hAnsi="宋体" w:cs="宋体"/>
                <w:color w:val="000000"/>
                <w:sz w:val="22"/>
              </w:rPr>
            </w:pPr>
            <w:bookmarkStart w:id="0" w:name="_Hlk129039039"/>
            <w:r>
              <w:rPr>
                <w:rFonts w:hint="eastAsia" w:ascii="宋体" w:hAnsi="宋体" w:cs="宋体"/>
                <w:color w:val="000000"/>
                <w:sz w:val="22"/>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2AA1">
            <w:pPr>
              <w:autoSpaceDE w:val="0"/>
              <w:spacing w:line="340" w:lineRule="exact"/>
              <w:rPr>
                <w:rFonts w:hint="eastAsia" w:ascii="宋体" w:hAnsi="宋体" w:cs="宋体"/>
                <w:color w:val="000000"/>
                <w:sz w:val="22"/>
              </w:rPr>
            </w:pPr>
            <w:r>
              <w:rPr>
                <w:rFonts w:hint="eastAsia" w:ascii="宋体" w:hAnsi="宋体" w:cs="宋体"/>
                <w:szCs w:val="21"/>
              </w:rPr>
              <w:t>广西党政机关综合办公平台基础支撑插件1（电子文档安全系统）</w:t>
            </w:r>
          </w:p>
        </w:tc>
        <w:tc>
          <w:tcPr>
            <w:tcW w:w="8348" w:type="dxa"/>
            <w:tcBorders>
              <w:top w:val="single" w:color="000000" w:sz="4" w:space="0"/>
              <w:left w:val="single" w:color="000000" w:sz="4" w:space="0"/>
              <w:bottom w:val="single" w:color="000000" w:sz="4" w:space="0"/>
              <w:right w:val="single" w:color="000000" w:sz="4" w:space="0"/>
            </w:tcBorders>
            <w:shd w:val="clear" w:color="auto" w:fill="auto"/>
          </w:tcPr>
          <w:p w14:paraId="6FBD9A12">
            <w:pPr>
              <w:pStyle w:val="23"/>
              <w:ind w:firstLine="0" w:firstLineChars="0"/>
              <w:rPr>
                <w:rFonts w:hint="eastAsia" w:ascii="宋体" w:hAnsi="宋体" w:cs="宋体"/>
                <w:szCs w:val="21"/>
              </w:rPr>
            </w:pPr>
            <w:r>
              <w:rPr>
                <w:rFonts w:hint="eastAsia" w:ascii="宋体" w:hAnsi="宋体" w:cs="宋体"/>
                <w:szCs w:val="21"/>
              </w:rPr>
              <w:t>1.电子文档安全客户端全面兼容综合业务办公平台上架的操作系统、CPU及主机厂商，流式、版式软件及应用系统的使用。</w:t>
            </w:r>
          </w:p>
          <w:p w14:paraId="7F5B18A9">
            <w:pPr>
              <w:autoSpaceDE w:val="0"/>
              <w:spacing w:line="340" w:lineRule="exact"/>
              <w:rPr>
                <w:rFonts w:hint="eastAsia" w:ascii="宋体" w:hAnsi="宋体" w:cs="宋体"/>
                <w:szCs w:val="21"/>
              </w:rPr>
            </w:pPr>
            <w:r>
              <w:rPr>
                <w:rFonts w:hint="eastAsia" w:ascii="宋体" w:hAnsi="宋体" w:cs="宋体"/>
                <w:szCs w:val="21"/>
              </w:rPr>
              <w:t>2.等级标识生成与绑定</w:t>
            </w:r>
          </w:p>
          <w:p w14:paraId="70E54F76">
            <w:pPr>
              <w:pStyle w:val="23"/>
              <w:ind w:firstLine="0" w:firstLineChars="0"/>
              <w:rPr>
                <w:rFonts w:hint="eastAsia" w:ascii="宋体" w:hAnsi="宋体" w:cs="宋体"/>
                <w:szCs w:val="21"/>
              </w:rPr>
            </w:pPr>
            <w:r>
              <w:rPr>
                <w:rFonts w:hint="eastAsia" w:ascii="宋体" w:hAnsi="宋体" w:cs="宋体"/>
                <w:szCs w:val="21"/>
              </w:rPr>
              <w:t>（1）电子文档安全客户端具备文件加密功能，生成符合单位要求的等级标识信息，并绑定到电子文件中，从而形成安全等级标识属性。</w:t>
            </w:r>
          </w:p>
          <w:p w14:paraId="5AFA79DF">
            <w:pPr>
              <w:pStyle w:val="23"/>
              <w:ind w:firstLine="0" w:firstLineChars="0"/>
              <w:rPr>
                <w:rFonts w:hint="eastAsia" w:ascii="宋体" w:hAnsi="宋体" w:cs="宋体"/>
                <w:szCs w:val="21"/>
              </w:rPr>
            </w:pPr>
            <w:r>
              <w:rPr>
                <w:rFonts w:hint="eastAsia" w:ascii="宋体" w:hAnsi="宋体" w:cs="宋体"/>
                <w:szCs w:val="21"/>
              </w:rPr>
              <w:t>（2）电子文档安全客户端具备对等级标识信息与电子文件不可分离，不可非授权修改。</w:t>
            </w:r>
          </w:p>
          <w:p w14:paraId="5CAAA3BC">
            <w:pPr>
              <w:autoSpaceDE w:val="0"/>
              <w:spacing w:line="340" w:lineRule="exact"/>
              <w:rPr>
                <w:rFonts w:hint="eastAsia" w:ascii="宋体" w:hAnsi="宋体" w:cs="宋体"/>
                <w:szCs w:val="21"/>
              </w:rPr>
            </w:pPr>
            <w:r>
              <w:rPr>
                <w:rFonts w:hint="eastAsia" w:ascii="宋体" w:hAnsi="宋体" w:cs="宋体"/>
                <w:szCs w:val="21"/>
              </w:rPr>
              <w:t>3.等级标识属性</w:t>
            </w:r>
          </w:p>
          <w:p w14:paraId="7FA4E4FE">
            <w:pPr>
              <w:pStyle w:val="23"/>
              <w:ind w:firstLine="0" w:firstLineChars="0"/>
              <w:rPr>
                <w:rFonts w:hint="eastAsia" w:ascii="宋体" w:hAnsi="宋体" w:cs="宋体"/>
                <w:szCs w:val="21"/>
              </w:rPr>
            </w:pPr>
            <w:r>
              <w:rPr>
                <w:rFonts w:hint="eastAsia" w:ascii="宋体" w:hAnsi="宋体" w:cs="宋体"/>
                <w:szCs w:val="21"/>
              </w:rPr>
              <w:t>（1）电子文档安全客户端具备对等级标识属性包括起草人、文件等级、定密依据、保密期限、知悉范围、定密责任人、定密单位等属性信息的添加与记录。（2）电子文档安全客户端具备对等级标识属性的自动关联，如选定定密依据后，可根据定密依据信息自动设置文件等级、保密期限和知悉范围。</w:t>
            </w:r>
          </w:p>
          <w:p w14:paraId="3DBC65A2">
            <w:pPr>
              <w:autoSpaceDE w:val="0"/>
              <w:spacing w:line="340" w:lineRule="exact"/>
              <w:rPr>
                <w:rFonts w:hint="eastAsia" w:ascii="宋体" w:hAnsi="宋体" w:cs="宋体"/>
                <w:szCs w:val="21"/>
              </w:rPr>
            </w:pPr>
            <w:r>
              <w:rPr>
                <w:rFonts w:hint="eastAsia" w:ascii="宋体" w:hAnsi="宋体" w:cs="宋体"/>
                <w:szCs w:val="21"/>
              </w:rPr>
              <w:t>4.显性等级标识</w:t>
            </w:r>
          </w:p>
          <w:p w14:paraId="1BE34D31">
            <w:pPr>
              <w:pStyle w:val="23"/>
              <w:ind w:firstLine="0" w:firstLineChars="0"/>
              <w:rPr>
                <w:rFonts w:hint="eastAsia" w:ascii="宋体" w:hAnsi="宋体" w:cs="宋体"/>
                <w:szCs w:val="21"/>
              </w:rPr>
            </w:pPr>
            <w:r>
              <w:rPr>
                <w:rFonts w:hint="eastAsia" w:ascii="宋体" w:hAnsi="宋体" w:cs="宋体"/>
                <w:szCs w:val="21"/>
              </w:rPr>
              <w:t>（1）电子文档安全客户端具备在办公文档内容中嵌入符合单位公文格式规范的等级标识功能，且不能非授权修改和删除，能够支持流式文件和版式文件。</w:t>
            </w:r>
          </w:p>
          <w:p w14:paraId="3326BF56">
            <w:pPr>
              <w:pStyle w:val="23"/>
              <w:ind w:firstLine="0" w:firstLineChars="0"/>
              <w:rPr>
                <w:rFonts w:hint="eastAsia" w:ascii="宋体" w:hAnsi="宋体" w:cs="宋体"/>
                <w:szCs w:val="21"/>
              </w:rPr>
            </w:pPr>
            <w:r>
              <w:rPr>
                <w:rFonts w:hint="eastAsia" w:ascii="宋体" w:hAnsi="宋体" w:cs="宋体"/>
                <w:szCs w:val="21"/>
              </w:rPr>
              <w:t>（2）电子文档安全客户端具备对图纸、图像、音频、视频等多种文件格式上显示显性等级标识功能。</w:t>
            </w:r>
          </w:p>
          <w:p w14:paraId="6EB0BE2A">
            <w:pPr>
              <w:autoSpaceDE w:val="0"/>
              <w:spacing w:line="340" w:lineRule="exact"/>
              <w:rPr>
                <w:rFonts w:hint="eastAsia" w:ascii="宋体" w:hAnsi="宋体" w:cs="宋体"/>
                <w:szCs w:val="21"/>
              </w:rPr>
            </w:pPr>
            <w:r>
              <w:rPr>
                <w:rFonts w:hint="eastAsia" w:ascii="宋体" w:hAnsi="宋体" w:cs="宋体"/>
                <w:szCs w:val="21"/>
              </w:rPr>
              <w:t>5.等级标识状态管理</w:t>
            </w:r>
          </w:p>
          <w:p w14:paraId="46E6D6FC">
            <w:pPr>
              <w:pStyle w:val="23"/>
              <w:ind w:firstLine="0" w:firstLineChars="0"/>
              <w:rPr>
                <w:rFonts w:hint="eastAsia" w:ascii="宋体" w:hAnsi="宋体" w:cs="宋体"/>
                <w:szCs w:val="21"/>
              </w:rPr>
            </w:pPr>
            <w:r>
              <w:rPr>
                <w:rFonts w:hint="eastAsia" w:ascii="宋体" w:hAnsi="宋体" w:cs="宋体"/>
                <w:szCs w:val="21"/>
              </w:rPr>
              <w:t>（1）电子文档安全客户端具备预定密功能，将初始加密的电子文件管理状态设置为预定密状态。</w:t>
            </w:r>
          </w:p>
          <w:p w14:paraId="228EC615">
            <w:pPr>
              <w:pStyle w:val="23"/>
              <w:ind w:firstLine="0" w:firstLineChars="0"/>
              <w:rPr>
                <w:rFonts w:hint="eastAsia" w:ascii="宋体" w:hAnsi="宋体" w:cs="宋体"/>
                <w:szCs w:val="21"/>
              </w:rPr>
            </w:pPr>
            <w:r>
              <w:rPr>
                <w:rFonts w:hint="eastAsia" w:ascii="宋体" w:hAnsi="宋体" w:cs="宋体"/>
                <w:szCs w:val="21"/>
              </w:rPr>
              <w:t>（2）电子文档安全客户端具备定密功能，将预定密状态的电子文件通过流程变更为已定密状态。</w:t>
            </w:r>
          </w:p>
          <w:p w14:paraId="2115CE8B">
            <w:pPr>
              <w:pStyle w:val="23"/>
              <w:ind w:firstLine="0" w:firstLineChars="0"/>
              <w:rPr>
                <w:rFonts w:hint="eastAsia" w:ascii="宋体" w:hAnsi="宋体" w:cs="宋体"/>
                <w:szCs w:val="21"/>
              </w:rPr>
            </w:pPr>
            <w:r>
              <w:rPr>
                <w:rFonts w:hint="eastAsia" w:ascii="宋体" w:hAnsi="宋体" w:cs="宋体"/>
                <w:szCs w:val="21"/>
              </w:rPr>
              <w:t>（3）电子文档安全客户端具备签发功能，将已定密状态的电子文件通过流程变更为已签发状态。</w:t>
            </w:r>
          </w:p>
          <w:p w14:paraId="56BB4AE3">
            <w:pPr>
              <w:autoSpaceDE w:val="0"/>
              <w:spacing w:line="340" w:lineRule="exact"/>
              <w:rPr>
                <w:rFonts w:hint="eastAsia" w:ascii="宋体" w:hAnsi="宋体" w:cs="宋体"/>
                <w:szCs w:val="21"/>
              </w:rPr>
            </w:pPr>
            <w:r>
              <w:rPr>
                <w:rFonts w:hint="eastAsia" w:ascii="宋体" w:hAnsi="宋体" w:cs="宋体"/>
                <w:szCs w:val="21"/>
              </w:rPr>
              <w:t>6.等级标识流程管理</w:t>
            </w:r>
          </w:p>
          <w:p w14:paraId="691F0925">
            <w:pPr>
              <w:pStyle w:val="23"/>
              <w:ind w:firstLine="0" w:firstLineChars="0"/>
              <w:rPr>
                <w:rFonts w:hint="eastAsia" w:ascii="宋体" w:hAnsi="宋体" w:cs="宋体"/>
                <w:szCs w:val="21"/>
              </w:rPr>
            </w:pPr>
            <w:r>
              <w:rPr>
                <w:rFonts w:hint="eastAsia" w:ascii="宋体" w:hAnsi="宋体" w:cs="宋体"/>
                <w:szCs w:val="21"/>
              </w:rPr>
              <w:t>（1）电子文档安全客户端具备系统流程配置后的业务发起和审批要求。（2）电子文档安全客户端具备代理审批功能。（3）电子文档安全客户端具备申请、审批结果的消息通知功能。</w:t>
            </w:r>
          </w:p>
          <w:p w14:paraId="579DC6BD">
            <w:pPr>
              <w:autoSpaceDE w:val="0"/>
              <w:spacing w:line="340" w:lineRule="exact"/>
              <w:rPr>
                <w:rFonts w:hint="eastAsia" w:ascii="宋体" w:hAnsi="宋体" w:cs="宋体"/>
                <w:szCs w:val="21"/>
              </w:rPr>
            </w:pPr>
            <w:r>
              <w:rPr>
                <w:rFonts w:hint="eastAsia" w:ascii="宋体" w:hAnsi="宋体" w:cs="宋体"/>
                <w:szCs w:val="21"/>
              </w:rPr>
              <w:t>7.加密文件访问控制</w:t>
            </w:r>
          </w:p>
          <w:p w14:paraId="4B51E737">
            <w:pPr>
              <w:pStyle w:val="23"/>
              <w:ind w:firstLine="0" w:firstLineChars="0"/>
              <w:rPr>
                <w:rFonts w:hint="eastAsia" w:ascii="宋体" w:hAnsi="宋体" w:cs="宋体"/>
                <w:szCs w:val="21"/>
              </w:rPr>
            </w:pPr>
            <w:r>
              <w:rPr>
                <w:rFonts w:hint="eastAsia" w:ascii="宋体" w:hAnsi="宋体" w:cs="宋体"/>
                <w:szCs w:val="21"/>
              </w:rPr>
              <w:t>（1）电子文档安全客户端具备等级访问控制功能，防止低密级用户打开高等级文件。（2）电子文档安全客户端具备等级访问控制功能，防止在低密级终端上打开高等级文件。</w:t>
            </w:r>
          </w:p>
          <w:p w14:paraId="201BA7B8">
            <w:pPr>
              <w:autoSpaceDE w:val="0"/>
              <w:spacing w:line="340" w:lineRule="exact"/>
              <w:rPr>
                <w:rFonts w:hint="eastAsia" w:ascii="宋体" w:hAnsi="宋体" w:cs="宋体"/>
                <w:szCs w:val="21"/>
              </w:rPr>
            </w:pPr>
            <w:r>
              <w:rPr>
                <w:rFonts w:hint="eastAsia" w:ascii="宋体" w:hAnsi="宋体" w:cs="宋体"/>
                <w:szCs w:val="21"/>
              </w:rPr>
              <w:t>8.加密文件权限控制</w:t>
            </w:r>
          </w:p>
          <w:p w14:paraId="1569F35D">
            <w:pPr>
              <w:pStyle w:val="23"/>
              <w:ind w:firstLine="0" w:firstLineChars="0"/>
              <w:rPr>
                <w:rFonts w:hint="eastAsia" w:ascii="宋体" w:hAnsi="宋体" w:cs="宋体"/>
                <w:szCs w:val="21"/>
              </w:rPr>
            </w:pPr>
            <w:r>
              <w:rPr>
                <w:rFonts w:hint="eastAsia" w:ascii="宋体" w:hAnsi="宋体" w:cs="宋体"/>
                <w:szCs w:val="21"/>
              </w:rPr>
              <w:t>（1）电子文档安全客户端具备对加密文件的阅读、复制、编辑、截屏等细粒度权限控制。（2）电子文档安全客户端支持同一份电子文件对于不同的用户授予不同的操作权限。</w:t>
            </w:r>
          </w:p>
          <w:p w14:paraId="252FE4EE">
            <w:pPr>
              <w:autoSpaceDE w:val="0"/>
              <w:spacing w:line="340" w:lineRule="exact"/>
              <w:rPr>
                <w:rFonts w:hint="eastAsia" w:ascii="宋体" w:hAnsi="宋体" w:cs="宋体"/>
                <w:szCs w:val="21"/>
              </w:rPr>
            </w:pPr>
            <w:r>
              <w:rPr>
                <w:rFonts w:hint="eastAsia" w:ascii="宋体" w:hAnsi="宋体" w:cs="宋体"/>
                <w:szCs w:val="21"/>
              </w:rPr>
              <w:t>8.操作审计</w:t>
            </w:r>
          </w:p>
          <w:p w14:paraId="114424EE">
            <w:pPr>
              <w:autoSpaceDE w:val="0"/>
              <w:spacing w:line="340" w:lineRule="exact"/>
              <w:rPr>
                <w:rFonts w:hint="eastAsia" w:ascii="宋体" w:hAnsi="宋体" w:cs="宋体"/>
                <w:szCs w:val="21"/>
              </w:rPr>
            </w:pPr>
            <w:r>
              <w:rPr>
                <w:rFonts w:hint="eastAsia" w:ascii="宋体" w:hAnsi="宋体" w:cs="宋体"/>
                <w:szCs w:val="21"/>
              </w:rPr>
              <w:t>电子文档安全客户端具备用户对加密文件的操作日志上传至服务端进行用户操作审计功能。</w:t>
            </w:r>
          </w:p>
          <w:p w14:paraId="35292E2E">
            <w:pPr>
              <w:autoSpaceDE w:val="0"/>
              <w:spacing w:line="340" w:lineRule="exact"/>
              <w:rPr>
                <w:rFonts w:hint="eastAsia" w:ascii="宋体" w:hAnsi="宋体" w:cs="宋体"/>
                <w:szCs w:val="21"/>
              </w:rPr>
            </w:pPr>
            <w:r>
              <w:rPr>
                <w:rFonts w:hint="eastAsia" w:ascii="宋体" w:hAnsi="宋体" w:cs="宋体"/>
                <w:szCs w:val="21"/>
              </w:rPr>
              <w:t>9.可用性</w:t>
            </w:r>
          </w:p>
          <w:p w14:paraId="22F4FA6B">
            <w:pPr>
              <w:autoSpaceDE w:val="0"/>
              <w:spacing w:line="340" w:lineRule="exact"/>
              <w:rPr>
                <w:rFonts w:hint="eastAsia" w:ascii="宋体" w:hAnsi="宋体" w:cs="宋体"/>
                <w:szCs w:val="21"/>
              </w:rPr>
            </w:pPr>
            <w:r>
              <w:rPr>
                <w:rFonts w:hint="eastAsia" w:ascii="宋体" w:hAnsi="宋体" w:cs="宋体"/>
                <w:szCs w:val="21"/>
              </w:rPr>
              <w:t>（1）电子文档安全端具备对加密文件的内容保护，确保终端意外断电时，正在使用的加密文件等级标识不丢失，文件不损坏。</w:t>
            </w:r>
          </w:p>
          <w:p w14:paraId="049423E8">
            <w:pPr>
              <w:autoSpaceDE w:val="0"/>
              <w:spacing w:line="340" w:lineRule="exact"/>
              <w:rPr>
                <w:rFonts w:hint="eastAsia" w:ascii="宋体" w:hAnsi="宋体" w:cs="宋体"/>
                <w:szCs w:val="21"/>
              </w:rPr>
            </w:pPr>
            <w:r>
              <w:rPr>
                <w:rFonts w:hint="eastAsia" w:ascii="宋体" w:hAnsi="宋体" w:cs="宋体"/>
                <w:szCs w:val="21"/>
              </w:rPr>
              <w:t>（2）电子文档安全客户端具备断网可用功能，在客户端无法连接服务端时，保证终端上加密文件正常使用。</w:t>
            </w:r>
          </w:p>
          <w:p w14:paraId="7CEAA1C1">
            <w:pPr>
              <w:pStyle w:val="23"/>
              <w:ind w:firstLine="0" w:firstLineChars="0"/>
              <w:rPr>
                <w:rFonts w:hint="eastAsia" w:ascii="宋体" w:hAnsi="宋体" w:cs="宋体"/>
                <w:szCs w:val="21"/>
              </w:rPr>
            </w:pPr>
            <w:r>
              <w:rPr>
                <w:rFonts w:hint="eastAsia" w:ascii="宋体" w:hAnsi="宋体" w:cs="宋体"/>
                <w:szCs w:val="21"/>
              </w:rPr>
              <w:t>▲10.取得原厂针对本项目的授权。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2203">
            <w:pPr>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105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1B70">
            <w:pPr>
              <w:widowControl/>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r>
      <w:tr w14:paraId="394FAE30">
        <w:tblPrEx>
          <w:tblCellMar>
            <w:top w:w="0" w:type="dxa"/>
            <w:left w:w="108" w:type="dxa"/>
            <w:bottom w:w="0" w:type="dxa"/>
            <w:right w:w="108" w:type="dxa"/>
          </w:tblCellMar>
        </w:tblPrEx>
        <w:trPr>
          <w:trHeight w:val="9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B429">
            <w:pPr>
              <w:jc w:val="center"/>
              <w:rPr>
                <w:rFonts w:hint="eastAsia" w:ascii="宋体" w:hAnsi="宋体" w:cs="宋体"/>
                <w:color w:val="000000"/>
                <w:sz w:val="22"/>
              </w:rPr>
            </w:pPr>
            <w:r>
              <w:rPr>
                <w:rFonts w:hint="eastAsia" w:ascii="宋体" w:hAnsi="宋体" w:cs="宋体"/>
                <w:color w:val="000000"/>
                <w:sz w:val="22"/>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94FF">
            <w:pPr>
              <w:autoSpaceDE w:val="0"/>
              <w:spacing w:line="340" w:lineRule="exact"/>
              <w:rPr>
                <w:rFonts w:hint="eastAsia" w:ascii="宋体" w:hAnsi="宋体" w:cs="宋体"/>
                <w:szCs w:val="21"/>
              </w:rPr>
            </w:pPr>
            <w:r>
              <w:rPr>
                <w:rFonts w:hint="eastAsia" w:ascii="宋体" w:hAnsi="宋体" w:cs="宋体"/>
                <w:szCs w:val="21"/>
              </w:rPr>
              <w:t>广西党政机关综合办公平台基础支撑插件2（隐写溯源系统）</w:t>
            </w:r>
          </w:p>
        </w:tc>
        <w:tc>
          <w:tcPr>
            <w:tcW w:w="8348" w:type="dxa"/>
            <w:tcBorders>
              <w:top w:val="single" w:color="000000" w:sz="4" w:space="0"/>
              <w:left w:val="single" w:color="000000" w:sz="4" w:space="0"/>
              <w:bottom w:val="single" w:color="000000" w:sz="4" w:space="0"/>
              <w:right w:val="single" w:color="000000" w:sz="4" w:space="0"/>
            </w:tcBorders>
            <w:shd w:val="clear" w:color="auto" w:fill="auto"/>
          </w:tcPr>
          <w:p w14:paraId="5BB1A4DC">
            <w:pPr>
              <w:autoSpaceDE w:val="0"/>
              <w:spacing w:line="340" w:lineRule="exact"/>
              <w:rPr>
                <w:rFonts w:hint="eastAsia" w:ascii="宋体" w:hAnsi="宋体" w:cs="宋体"/>
                <w:szCs w:val="21"/>
              </w:rPr>
            </w:pPr>
            <w:r>
              <w:rPr>
                <w:rFonts w:hint="eastAsia" w:ascii="宋体" w:hAnsi="宋体" w:cs="宋体"/>
                <w:szCs w:val="21"/>
              </w:rPr>
              <w:t>（1）网络客户端支持无感监管，使用、监管过程无感知，不影响用户工作体验。</w:t>
            </w:r>
          </w:p>
          <w:p w14:paraId="3E00F40F">
            <w:pPr>
              <w:autoSpaceDE w:val="0"/>
              <w:spacing w:line="340" w:lineRule="exact"/>
              <w:rPr>
                <w:rFonts w:hint="eastAsia" w:ascii="宋体" w:hAnsi="宋体" w:cs="宋体"/>
                <w:szCs w:val="21"/>
              </w:rPr>
            </w:pPr>
            <w:r>
              <w:rPr>
                <w:rFonts w:hint="eastAsia" w:ascii="宋体" w:hAnsi="宋体" w:cs="宋体"/>
                <w:szCs w:val="21"/>
              </w:rPr>
              <w:t>（2）网络客户端支持静默安装、自动激活，支持通过服务端IP地址或域名自动建立连接，注册到相应部门，并可自动激活。</w:t>
            </w:r>
          </w:p>
          <w:p w14:paraId="3BEF7AC5">
            <w:pPr>
              <w:autoSpaceDE w:val="0"/>
              <w:spacing w:line="340" w:lineRule="exact"/>
              <w:rPr>
                <w:rFonts w:hint="eastAsia" w:ascii="宋体" w:hAnsi="宋体" w:cs="宋体"/>
                <w:szCs w:val="21"/>
              </w:rPr>
            </w:pPr>
            <w:r>
              <w:rPr>
                <w:rFonts w:hint="eastAsia" w:ascii="宋体" w:hAnsi="宋体" w:cs="宋体"/>
                <w:szCs w:val="21"/>
              </w:rPr>
              <w:t>（3）网络客户端支持平滑升级，可通过推送升级、覆盖安装更新版本，并保留升级前客户端配置和状态。</w:t>
            </w:r>
          </w:p>
          <w:p w14:paraId="35CFA405">
            <w:pPr>
              <w:autoSpaceDE w:val="0"/>
              <w:spacing w:line="340" w:lineRule="exact"/>
              <w:rPr>
                <w:rFonts w:hint="eastAsia" w:ascii="宋体" w:hAnsi="宋体" w:cs="宋体"/>
                <w:szCs w:val="21"/>
              </w:rPr>
            </w:pPr>
            <w:r>
              <w:rPr>
                <w:rFonts w:hint="eastAsia" w:ascii="宋体" w:hAnsi="宋体" w:cs="宋体"/>
                <w:szCs w:val="21"/>
              </w:rPr>
              <w:t>（4）网络客户端在服务器连接正常状态下可实现实时上传隐写日志功能。</w:t>
            </w:r>
          </w:p>
          <w:p w14:paraId="62ED7676">
            <w:pPr>
              <w:autoSpaceDE w:val="0"/>
              <w:spacing w:line="340" w:lineRule="exact"/>
              <w:rPr>
                <w:rFonts w:hint="eastAsia" w:ascii="宋体" w:hAnsi="宋体" w:cs="宋体"/>
                <w:szCs w:val="21"/>
              </w:rPr>
            </w:pPr>
            <w:r>
              <w:rPr>
                <w:rFonts w:hint="eastAsia" w:ascii="宋体" w:hAnsi="宋体" w:cs="宋体"/>
                <w:szCs w:val="21"/>
              </w:rPr>
              <w:t>（5）网络客户端在离线状态下可实现日志本地记录功能。</w:t>
            </w:r>
          </w:p>
          <w:p w14:paraId="25D881A0">
            <w:pPr>
              <w:autoSpaceDE w:val="0"/>
              <w:spacing w:line="340" w:lineRule="exact"/>
              <w:rPr>
                <w:rFonts w:hint="eastAsia" w:ascii="宋体" w:hAnsi="宋体" w:cs="宋体"/>
                <w:szCs w:val="21"/>
              </w:rPr>
            </w:pPr>
            <w:r>
              <w:rPr>
                <w:rFonts w:hint="eastAsia" w:ascii="宋体" w:hAnsi="宋体" w:cs="宋体"/>
                <w:szCs w:val="21"/>
              </w:rPr>
              <w:t>（6）网络客户端采用模块化设计，具有可扩展性，可以方便、快速、稳定地进行升级。</w:t>
            </w:r>
          </w:p>
          <w:p w14:paraId="51794CCB">
            <w:pPr>
              <w:autoSpaceDE w:val="0"/>
              <w:spacing w:line="340" w:lineRule="exact"/>
              <w:rPr>
                <w:rFonts w:hint="eastAsia" w:ascii="宋体" w:hAnsi="宋体" w:cs="宋体"/>
                <w:szCs w:val="21"/>
              </w:rPr>
            </w:pPr>
            <w:r>
              <w:rPr>
                <w:rFonts w:hint="eastAsia" w:ascii="宋体" w:hAnsi="宋体" w:cs="宋体"/>
                <w:szCs w:val="21"/>
              </w:rPr>
              <w:t>（7）网络客户端提供日志管理及审计功能，自动记录用户从登录到退出的所有操作，并提供良好的日志审计界面。</w:t>
            </w:r>
          </w:p>
          <w:p w14:paraId="3CDA488B">
            <w:pPr>
              <w:autoSpaceDE w:val="0"/>
              <w:spacing w:line="340" w:lineRule="exact"/>
              <w:rPr>
                <w:rFonts w:hint="eastAsia" w:ascii="宋体" w:hAnsi="宋体" w:cs="宋体"/>
                <w:szCs w:val="21"/>
              </w:rPr>
            </w:pPr>
            <w:r>
              <w:rPr>
                <w:rFonts w:hint="eastAsia" w:ascii="宋体" w:hAnsi="宋体" w:cs="宋体"/>
                <w:szCs w:val="21"/>
              </w:rPr>
              <w:t>（8）网络客户端支持系统访问的安全传输协议HTTPS。</w:t>
            </w:r>
          </w:p>
          <w:p w14:paraId="132A6272">
            <w:pPr>
              <w:autoSpaceDE w:val="0"/>
              <w:spacing w:line="340" w:lineRule="exact"/>
              <w:rPr>
                <w:rFonts w:hint="eastAsia" w:ascii="宋体" w:hAnsi="宋体" w:cs="宋体"/>
                <w:szCs w:val="21"/>
              </w:rPr>
            </w:pPr>
            <w:r>
              <w:rPr>
                <w:rFonts w:hint="eastAsia" w:ascii="宋体" w:hAnsi="宋体" w:cs="宋体"/>
                <w:szCs w:val="21"/>
              </w:rPr>
              <w:t>（9）网络客户端具有可靠的数据加密方式、算法及其它数据安全机制，确保业务数据的安全与稳定，严禁明码传输。</w:t>
            </w:r>
          </w:p>
          <w:p w14:paraId="54441879">
            <w:pPr>
              <w:autoSpaceDE w:val="0"/>
              <w:spacing w:line="340" w:lineRule="exact"/>
              <w:rPr>
                <w:rFonts w:hint="eastAsia" w:ascii="宋体" w:hAnsi="宋体" w:cs="宋体"/>
                <w:szCs w:val="21"/>
              </w:rPr>
            </w:pPr>
            <w:r>
              <w:rPr>
                <w:rFonts w:hint="eastAsia" w:ascii="宋体" w:hAnsi="宋体" w:cs="宋体"/>
                <w:szCs w:val="21"/>
              </w:rPr>
              <w:t>（10）网络客户端兼容电子文件密级标志管理系统。</w:t>
            </w:r>
          </w:p>
          <w:p w14:paraId="1697D9E5">
            <w:pPr>
              <w:autoSpaceDE w:val="0"/>
              <w:spacing w:line="340" w:lineRule="exact"/>
              <w:rPr>
                <w:rFonts w:hint="eastAsia" w:ascii="宋体" w:hAnsi="宋体" w:cs="宋体"/>
                <w:szCs w:val="21"/>
              </w:rPr>
            </w:pPr>
            <w:r>
              <w:rPr>
                <w:rFonts w:hint="eastAsia" w:ascii="宋体" w:hAnsi="宋体" w:cs="宋体"/>
                <w:szCs w:val="21"/>
              </w:rPr>
              <w:t>（11）网络客户端隐写信息无法通过肉眼识别且不含有形标识。</w:t>
            </w:r>
          </w:p>
          <w:p w14:paraId="06EA34DE">
            <w:pPr>
              <w:autoSpaceDE w:val="0"/>
              <w:spacing w:line="340" w:lineRule="exact"/>
              <w:rPr>
                <w:rFonts w:hint="eastAsia" w:ascii="宋体" w:hAnsi="宋体" w:cs="宋体"/>
                <w:szCs w:val="21"/>
              </w:rPr>
            </w:pPr>
            <w:r>
              <w:rPr>
                <w:rFonts w:hint="eastAsia" w:ascii="宋体" w:hAnsi="宋体" w:cs="宋体"/>
                <w:szCs w:val="21"/>
              </w:rPr>
              <w:t>（12）网络客户端支持从打印纸质文档（打印、复印和扫描）和屏幕显示图像（屏幕截屏、屏幕拍照、屏幕录制）的文档内容中提取水印溯源信息。</w:t>
            </w:r>
          </w:p>
          <w:p w14:paraId="32C43D1C">
            <w:pPr>
              <w:autoSpaceDE w:val="0"/>
              <w:spacing w:line="340" w:lineRule="exact"/>
              <w:rPr>
                <w:rFonts w:hint="eastAsia" w:ascii="宋体" w:hAnsi="宋体" w:cs="宋体"/>
                <w:szCs w:val="21"/>
              </w:rPr>
            </w:pPr>
            <w:r>
              <w:rPr>
                <w:rFonts w:hint="eastAsia" w:ascii="宋体" w:hAnsi="宋体" w:cs="宋体"/>
                <w:szCs w:val="21"/>
              </w:rPr>
              <w:t>（13）网络客户端设备打印的纸质文件隐写信息能抗揉搓、水浸、遮挡及复印。</w:t>
            </w:r>
          </w:p>
          <w:p w14:paraId="75206FE6">
            <w:pPr>
              <w:autoSpaceDE w:val="0"/>
              <w:spacing w:line="340" w:lineRule="exact"/>
              <w:rPr>
                <w:rFonts w:hint="eastAsia" w:ascii="宋体" w:hAnsi="宋体" w:cs="宋体"/>
                <w:szCs w:val="21"/>
              </w:rPr>
            </w:pPr>
            <w:r>
              <w:rPr>
                <w:rFonts w:hint="eastAsia" w:ascii="宋体" w:hAnsi="宋体" w:cs="宋体"/>
                <w:szCs w:val="21"/>
              </w:rPr>
              <w:t>（14）网络客户端电子文档溯源功能不受截屏、缩放及变形获取方式影响。</w:t>
            </w:r>
          </w:p>
          <w:p w14:paraId="6A28693B">
            <w:pPr>
              <w:autoSpaceDE w:val="0"/>
              <w:spacing w:line="340" w:lineRule="exact"/>
              <w:rPr>
                <w:rFonts w:hint="eastAsia" w:ascii="宋体" w:hAnsi="宋体" w:cs="宋体"/>
                <w:szCs w:val="21"/>
              </w:rPr>
            </w:pPr>
            <w:r>
              <w:rPr>
                <w:rFonts w:hint="eastAsia" w:ascii="宋体" w:hAnsi="宋体" w:cs="宋体"/>
                <w:szCs w:val="21"/>
              </w:rPr>
              <w:t>▲（15）取得原厂针对本项目的授权。</w:t>
            </w:r>
          </w:p>
          <w:p w14:paraId="71F74408">
            <w:pPr>
              <w:autoSpaceDE w:val="0"/>
              <w:spacing w:line="340" w:lineRule="exact"/>
              <w:rPr>
                <w:rFonts w:hint="eastAsia" w:ascii="宋体" w:hAnsi="宋体" w:cs="宋体"/>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94BD">
            <w:pPr>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105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9D76">
            <w:pPr>
              <w:widowControl/>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r>
      <w:tr w14:paraId="3FFC8209">
        <w:tblPrEx>
          <w:tblCellMar>
            <w:top w:w="0" w:type="dxa"/>
            <w:left w:w="108" w:type="dxa"/>
            <w:bottom w:w="0" w:type="dxa"/>
            <w:right w:w="108" w:type="dxa"/>
          </w:tblCellMar>
        </w:tblPrEx>
        <w:trPr>
          <w:trHeight w:val="1345"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0497">
            <w:pPr>
              <w:jc w:val="center"/>
              <w:rPr>
                <w:rFonts w:hint="eastAsia" w:ascii="宋体" w:hAnsi="宋体" w:cs="宋体"/>
                <w:color w:val="000000"/>
                <w:sz w:val="22"/>
              </w:rPr>
            </w:pPr>
            <w:r>
              <w:rPr>
                <w:rFonts w:hint="eastAsia" w:ascii="等线" w:hAnsi="等线" w:eastAsia="等线" w:cs="等线"/>
                <w:color w:val="000000"/>
                <w:sz w:val="22"/>
                <w:szCs w:val="22"/>
              </w:rPr>
              <w:t>商务要求</w:t>
            </w:r>
          </w:p>
        </w:tc>
        <w:tc>
          <w:tcPr>
            <w:tcW w:w="117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53DD8B">
            <w:pPr>
              <w:autoSpaceDE w:val="0"/>
              <w:spacing w:line="340" w:lineRule="exact"/>
              <w:rPr>
                <w:rFonts w:hint="eastAsia" w:ascii="宋体" w:hAnsi="宋体" w:cs="宋体"/>
                <w:szCs w:val="21"/>
              </w:rPr>
            </w:pPr>
            <w:r>
              <w:rPr>
                <w:rFonts w:hint="eastAsia" w:ascii="宋体" w:hAnsi="宋体" w:cs="宋体"/>
                <w:szCs w:val="21"/>
              </w:rPr>
              <w:t>一、报价人必须在报价文件中提供完整的服务方案。</w:t>
            </w:r>
          </w:p>
          <w:p w14:paraId="2469B8F1">
            <w:pPr>
              <w:autoSpaceDE w:val="0"/>
              <w:spacing w:line="340" w:lineRule="exact"/>
              <w:rPr>
                <w:rFonts w:hint="eastAsia" w:ascii="宋体" w:hAnsi="宋体" w:cs="宋体"/>
                <w:szCs w:val="21"/>
              </w:rPr>
            </w:pPr>
            <w:r>
              <w:rPr>
                <w:rFonts w:hint="eastAsia" w:ascii="宋体" w:hAnsi="宋体" w:cs="宋体"/>
                <w:szCs w:val="21"/>
              </w:rPr>
              <w:t>二、交货期：自合同签订之日起60个自然日内。</w:t>
            </w:r>
          </w:p>
          <w:p w14:paraId="41825B75">
            <w:pPr>
              <w:autoSpaceDE w:val="0"/>
              <w:spacing w:line="340" w:lineRule="exact"/>
              <w:rPr>
                <w:rFonts w:hint="eastAsia" w:ascii="宋体" w:hAnsi="宋体" w:cs="宋体"/>
                <w:szCs w:val="21"/>
              </w:rPr>
            </w:pPr>
            <w:r>
              <w:rPr>
                <w:rFonts w:hint="eastAsia" w:ascii="宋体" w:hAnsi="宋体" w:cs="宋体"/>
                <w:szCs w:val="21"/>
              </w:rPr>
              <w:t>三、交货地点：广西采购方指定地点。</w:t>
            </w:r>
          </w:p>
          <w:p w14:paraId="6FCE41AC">
            <w:pPr>
              <w:autoSpaceDE w:val="0"/>
              <w:spacing w:line="340" w:lineRule="exact"/>
              <w:rPr>
                <w:rFonts w:hint="eastAsia" w:ascii="宋体" w:hAnsi="宋体" w:cs="宋体"/>
                <w:szCs w:val="21"/>
              </w:rPr>
            </w:pPr>
            <w:r>
              <w:rPr>
                <w:rFonts w:hint="eastAsia" w:ascii="宋体" w:hAnsi="宋体" w:cs="宋体"/>
                <w:szCs w:val="21"/>
              </w:rPr>
              <w:t>四、响应要求</w:t>
            </w:r>
          </w:p>
          <w:p w14:paraId="529D417A">
            <w:pPr>
              <w:autoSpaceDE w:val="0"/>
              <w:spacing w:line="340" w:lineRule="exact"/>
              <w:rPr>
                <w:rFonts w:hint="eastAsia" w:ascii="宋体" w:hAnsi="宋体" w:cs="宋体"/>
                <w:szCs w:val="21"/>
                <w:highlight w:val="none"/>
              </w:rPr>
            </w:pPr>
            <w:r>
              <w:rPr>
                <w:rFonts w:hint="eastAsia" w:ascii="宋体" w:hAnsi="宋体" w:cs="宋体"/>
                <w:szCs w:val="21"/>
              </w:rPr>
              <w:t>2.</w:t>
            </w:r>
            <w:r>
              <w:rPr>
                <w:rFonts w:hint="eastAsia" w:ascii="宋体" w:hAnsi="宋体" w:cs="宋体"/>
                <w:szCs w:val="21"/>
                <w:highlight w:val="none"/>
                <w:lang w:val="en-US" w:eastAsia="zh-CN"/>
              </w:rPr>
              <w:t>质保</w:t>
            </w:r>
            <w:r>
              <w:rPr>
                <w:rFonts w:hint="eastAsia" w:ascii="宋体" w:hAnsi="宋体" w:cs="宋体"/>
                <w:szCs w:val="21"/>
                <w:highlight w:val="none"/>
              </w:rPr>
              <w:t>期：1年，从提交服务成果并验收合格之日起计算。</w:t>
            </w:r>
          </w:p>
          <w:p w14:paraId="3AA2105B">
            <w:pPr>
              <w:autoSpaceDE w:val="0"/>
              <w:spacing w:line="340" w:lineRule="exact"/>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质保</w:t>
            </w:r>
            <w:r>
              <w:rPr>
                <w:rFonts w:hint="eastAsia" w:ascii="宋体" w:hAnsi="宋体" w:cs="宋体"/>
                <w:szCs w:val="21"/>
                <w:highlight w:val="none"/>
              </w:rPr>
              <w:t>期内，</w:t>
            </w:r>
            <w:r>
              <w:rPr>
                <w:rFonts w:hint="eastAsia" w:ascii="宋体" w:hAnsi="宋体" w:cs="宋体"/>
                <w:szCs w:val="21"/>
                <w:highlight w:val="none"/>
                <w:lang w:val="en-US" w:eastAsia="zh-CN"/>
              </w:rPr>
              <w:t>成交法方须提供技术支持完成所购置插件安装部署。插件安装部署后提供服务保障，</w:t>
            </w:r>
            <w:r>
              <w:rPr>
                <w:rFonts w:hint="eastAsia" w:ascii="宋体" w:hAnsi="宋体" w:cs="宋体"/>
                <w:szCs w:val="21"/>
                <w:highlight w:val="none"/>
              </w:rPr>
              <w:t>成交方在接到采购方故障报修后，30分钟内实质响应，2小时内确认修复方案，如确需现场进行解决的，应在</w:t>
            </w:r>
            <w:r>
              <w:rPr>
                <w:rFonts w:hint="eastAsia" w:ascii="宋体" w:hAnsi="宋体" w:cs="宋体"/>
                <w:szCs w:val="21"/>
                <w:highlight w:val="none"/>
                <w:lang w:val="en-US" w:eastAsia="zh-CN"/>
              </w:rPr>
              <w:t>4</w:t>
            </w:r>
            <w:r>
              <w:rPr>
                <w:rFonts w:hint="eastAsia" w:ascii="宋体" w:hAnsi="宋体" w:cs="宋体"/>
                <w:szCs w:val="21"/>
                <w:highlight w:val="none"/>
              </w:rPr>
              <w:t>小时内实地修复。</w:t>
            </w:r>
          </w:p>
          <w:p w14:paraId="7B45B995">
            <w:pPr>
              <w:autoSpaceDE w:val="0"/>
              <w:spacing w:line="340" w:lineRule="exact"/>
              <w:rPr>
                <w:rFonts w:hint="eastAsia" w:ascii="宋体" w:hAnsi="宋体" w:cs="宋体"/>
                <w:szCs w:val="21"/>
                <w:highlight w:val="none"/>
              </w:rPr>
            </w:pPr>
            <w:r>
              <w:rPr>
                <w:rFonts w:hint="eastAsia" w:ascii="宋体" w:hAnsi="宋体" w:cs="宋体"/>
                <w:szCs w:val="21"/>
                <w:highlight w:val="none"/>
              </w:rPr>
              <w:t>4.报价人在报价书中必须明确承诺达到用户的服务响应要求。</w:t>
            </w:r>
          </w:p>
          <w:p w14:paraId="27030148">
            <w:pPr>
              <w:autoSpaceDE w:val="0"/>
              <w:spacing w:line="340" w:lineRule="exact"/>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质保</w:t>
            </w:r>
            <w:r>
              <w:rPr>
                <w:rFonts w:hint="eastAsia" w:ascii="宋体" w:hAnsi="宋体" w:cs="宋体"/>
                <w:szCs w:val="21"/>
                <w:highlight w:val="none"/>
              </w:rPr>
              <w:t>期过后，报价人提供免费电话咨询服务，采购方需要继续由原报价人提供售后服务的，该报价人应以优惠价格提供售后服务。</w:t>
            </w:r>
          </w:p>
          <w:p w14:paraId="70D7E8BE">
            <w:pPr>
              <w:autoSpaceDE w:val="0"/>
              <w:spacing w:line="340" w:lineRule="exact"/>
              <w:rPr>
                <w:rFonts w:hint="eastAsia" w:ascii="宋体" w:hAnsi="宋体" w:cs="宋体"/>
                <w:szCs w:val="21"/>
              </w:rPr>
            </w:pPr>
            <w:r>
              <w:rPr>
                <w:rFonts w:hint="eastAsia" w:ascii="宋体" w:hAnsi="宋体" w:cs="宋体"/>
                <w:szCs w:val="21"/>
              </w:rPr>
              <w:t>6.因成交方的原因，导致采购方系统出现安全事故，由成交方承担造成的所有损失。</w:t>
            </w:r>
          </w:p>
          <w:p w14:paraId="65F51BED">
            <w:pPr>
              <w:widowControl/>
              <w:jc w:val="left"/>
              <w:textAlignment w:val="top"/>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六、</w:t>
            </w:r>
            <w:r>
              <w:rPr>
                <w:rFonts w:hint="eastAsia" w:ascii="等线" w:hAnsi="等线" w:eastAsia="等线" w:cs="等线"/>
                <w:b/>
                <w:bCs/>
                <w:color w:val="000000"/>
                <w:kern w:val="0"/>
                <w:sz w:val="22"/>
                <w:szCs w:val="22"/>
                <w:lang w:bidi="ar"/>
              </w:rPr>
              <w:t>报价人在报价书中必须明确响应本项目所有商务和技术要求，性能技术参数达到或优于需求说明，否则报价无效。</w:t>
            </w:r>
          </w:p>
        </w:tc>
      </w:tr>
      <w:bookmarkEnd w:id="0"/>
    </w:tbl>
    <w:p w14:paraId="3B547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7BE58B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sz w:val="32"/>
          <w:szCs w:val="32"/>
          <w:lang w:val="en-US" w:eastAsia="zh-CN"/>
        </w:rPr>
        <w:sectPr>
          <w:pgSz w:w="16838" w:h="11906" w:orient="landscape"/>
          <w:pgMar w:top="1587" w:right="2098" w:bottom="1474" w:left="1984" w:header="851" w:footer="992" w:gutter="0"/>
          <w:pgNumType w:fmt="decimal"/>
          <w:cols w:space="425" w:num="1"/>
          <w:docGrid w:type="lines" w:linePitch="312" w:charSpace="0"/>
        </w:sectPr>
      </w:pPr>
    </w:p>
    <w:p w14:paraId="4FC8E5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highlight w:val="none"/>
          <w:lang w:val="en-US" w:eastAsia="zh-CN"/>
        </w:rPr>
      </w:pPr>
      <w:r>
        <w:rPr>
          <w:rFonts w:hint="eastAsia" w:ascii="仿宋_GB2312" w:hAnsi="Calibri" w:eastAsia="仿宋_GB2312" w:cs="Times New Roman"/>
          <w:b/>
          <w:bCs/>
          <w:sz w:val="32"/>
          <w:szCs w:val="32"/>
          <w:highlight w:val="none"/>
          <w:lang w:val="en-US" w:eastAsia="zh-CN"/>
        </w:rPr>
        <w:t>二、资质要求</w:t>
      </w:r>
    </w:p>
    <w:p w14:paraId="6C8C9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（一）投标单位为政采云正式供货商、已入围“一张网”协议，可参与网上超市、在线询价、反向竞价等业务。</w:t>
      </w:r>
    </w:p>
    <w:p w14:paraId="01009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在“信用中国”网站(www.creditchina.gov.cn)和中国政府采购网(www.ccgp.gov.cn)等渠道列入失信被执行人、重大税收违法案件当事人名单、政府采购严重违法失信行为记录名单及其他不符合《中华人民共和国政府采购法》第二十二条规定条件的供应商，不允许参与本次采购活动；</w:t>
      </w:r>
    </w:p>
    <w:p w14:paraId="55B4E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（三）供应商负责人为同一人或者存在控股、管理关系的不同单位不得同时投标；</w:t>
      </w:r>
    </w:p>
    <w:p w14:paraId="698C5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（四）本项目不接受联合体竞标。</w:t>
      </w:r>
    </w:p>
    <w:p w14:paraId="19C32B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三、商务条款</w:t>
      </w:r>
    </w:p>
    <w:p w14:paraId="102E0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（一）报价方须有合法的经营资格，必须提供下列有效证照材料：营业执照</w:t>
      </w:r>
      <w:r>
        <w:rPr>
          <w:rFonts w:hint="eastAsia" w:ascii="仿宋_GB2312" w:hAnsi="Calibri" w:eastAsia="仿宋_GB2312" w:cs="Times New Roman"/>
          <w:sz w:val="32"/>
          <w:szCs w:val="32"/>
          <w:highlight w:val="none"/>
          <w:lang w:val="en-US" w:eastAsia="zh-CN"/>
        </w:rPr>
        <w:t>（或单位机构代码证）、</w:t>
      </w:r>
      <w:r>
        <w:rPr>
          <w:rFonts w:hint="eastAsia" w:ascii="仿宋_GB2312" w:hAnsi="Calibri" w:eastAsia="仿宋_GB2312" w:cs="Times New Roman"/>
          <w:sz w:val="32"/>
          <w:szCs w:val="32"/>
          <w:lang w:val="en-US" w:eastAsia="zh-CN"/>
        </w:rPr>
        <w:t>法人身份证（复印件）以及报价方认为需要提供的资料,相关复印件需签“与原件相符”并盖单位公章（下同）。</w:t>
      </w:r>
    </w:p>
    <w:p w14:paraId="47C62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（二）报价方必须提供针对本次采购的原厂授权文件。</w:t>
      </w:r>
    </w:p>
    <w:p w14:paraId="65669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成交方须按照双方约定提供执法局广西党政机关综合办公平台基础支撑插件，未按期提供服务或服务内容、标准未达到合同约定要求的，采购方有权拒绝付款，并中止履行合同；造成采购方经济损失的，依法追究成交方相关责任。</w:t>
      </w:r>
    </w:p>
    <w:p w14:paraId="32D3A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（四）成交方必须签署相关保密协议，严格遵守协议及有关保密要求。</w:t>
      </w:r>
    </w:p>
    <w:p w14:paraId="40A72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（五）不可抗力：如因不可抗问题导致无法或延迟履行合同的，应在不可抗力事件发生后三天内通知对方，并协商寻求减少损失的办法或对双方都公正合理的另外安排。</w:t>
      </w:r>
    </w:p>
    <w:p w14:paraId="7468FB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四、验收标准</w:t>
      </w:r>
    </w:p>
    <w:p w14:paraId="21324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成交方按合同要求完成广西党政机关综合办公平台基础插件安装部署要求，局本级及各下设机构综合办公平台使用正常，验收通过。</w:t>
      </w:r>
    </w:p>
    <w:p w14:paraId="6A7F7B5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付款方式</w:t>
      </w:r>
    </w:p>
    <w:p w14:paraId="7EAB5B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履约保证金：成交方在签订合同时按合同金额的5%（小微企业按合同金额的2%）向采购方支付履约保证金（履约保证金作为违约金的一部分用于补偿采购方因成交方不能履行合同义务所蒙受的损失），服务期1年到期后，采购方接成交方来函10个工作日内采购方无息退还成交方。</w:t>
      </w:r>
    </w:p>
    <w:p w14:paraId="032AD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采购方与成交方合同签订（含保密协议）并生效后10个工作日内，成交方提交项目实施方案，采购方向成交方支付合同总额的50%；成交方完成广西党政机关综合办公平台基础插件安装，平台使用正常并验收合格后，采购方向成交方支付合同总额的50%。</w:t>
      </w:r>
    </w:p>
    <w:p w14:paraId="6D5E1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（三）成交方申请支付合同价款前，应开具相应金额合规发票给采购方。</w:t>
      </w:r>
    </w:p>
    <w:p w14:paraId="5839C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（四）本项目报价为总包干价，报价必须包括实施和完成该项目所需的设备和服务、税费等一切费用，以及合同明示所有责任、义务和一般风险，采购方不再支付任何费用。</w:t>
      </w:r>
    </w:p>
    <w:p w14:paraId="70AD78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评审和推荐成交候选人</w:t>
      </w:r>
    </w:p>
    <w:p w14:paraId="49FB6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（一）“评审委员会”构成：本采购项目的“评审委员会”由执法局根据有关要求抽取3人及以上单数作为评委和1名监督员构成。</w:t>
      </w:r>
    </w:p>
    <w:p w14:paraId="4C386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（二）评审条件：“评审委员会”将以采购文件、报价文件为评审依据，对报价方的报价最终报价、产品质量、服务质量、资质条件等开展评审工作。</w:t>
      </w:r>
    </w:p>
    <w:p w14:paraId="2BF6F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（三）评审采用综合评分法，即报价方的报价文件完全响应采购文件的前提下，综合评分最高者推荐为第一成交候选人。</w:t>
      </w:r>
    </w:p>
    <w:p w14:paraId="3BD6A73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评分方法及标准</w:t>
      </w:r>
    </w:p>
    <w:tbl>
      <w:tblPr>
        <w:tblStyle w:val="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52"/>
        <w:gridCol w:w="6187"/>
        <w:gridCol w:w="851"/>
      </w:tblGrid>
      <w:tr w14:paraId="2018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noWrap/>
            <w:vAlign w:val="center"/>
          </w:tcPr>
          <w:p w14:paraId="34D9C7FE">
            <w:pPr>
              <w:widowControl/>
              <w:spacing w:line="360" w:lineRule="auto"/>
              <w:jc w:val="center"/>
              <w:rPr>
                <w:rFonts w:hint="eastAsia" w:ascii="宋体" w:hAnsi="宋体" w:cs="Tahoma"/>
                <w:b/>
                <w:bCs/>
                <w:kern w:val="0"/>
                <w:szCs w:val="21"/>
                <w:highlight w:val="none"/>
              </w:rPr>
            </w:pPr>
            <w:bookmarkStart w:id="1" w:name="PO_TDCUS_ITEM_SM_TABLE_1"/>
            <w:r>
              <w:rPr>
                <w:rFonts w:hint="eastAsia" w:ascii="宋体" w:hAnsi="宋体" w:cs="Tahoma"/>
                <w:b/>
                <w:bCs/>
                <w:kern w:val="0"/>
                <w:szCs w:val="21"/>
                <w:highlight w:val="none"/>
              </w:rPr>
              <w:t>序号</w:t>
            </w:r>
          </w:p>
        </w:tc>
        <w:tc>
          <w:tcPr>
            <w:tcW w:w="1352" w:type="dxa"/>
            <w:noWrap/>
            <w:vAlign w:val="center"/>
          </w:tcPr>
          <w:p w14:paraId="21DA1B0A">
            <w:pPr>
              <w:widowControl/>
              <w:spacing w:line="360" w:lineRule="auto"/>
              <w:jc w:val="center"/>
              <w:rPr>
                <w:rFonts w:hint="eastAsia" w:ascii="宋体" w:hAnsi="宋体" w:cs="Tahoma"/>
                <w:b/>
                <w:bCs/>
                <w:kern w:val="0"/>
                <w:szCs w:val="21"/>
                <w:highlight w:val="none"/>
              </w:rPr>
            </w:pPr>
            <w:r>
              <w:rPr>
                <w:rFonts w:hint="eastAsia" w:ascii="宋体" w:hAnsi="宋体" w:cs="Tahoma"/>
                <w:b/>
                <w:bCs/>
                <w:kern w:val="0"/>
                <w:szCs w:val="21"/>
                <w:highlight w:val="none"/>
              </w:rPr>
              <w:t>评审因素</w:t>
            </w:r>
          </w:p>
        </w:tc>
        <w:tc>
          <w:tcPr>
            <w:tcW w:w="6187" w:type="dxa"/>
            <w:noWrap/>
            <w:vAlign w:val="center"/>
          </w:tcPr>
          <w:p w14:paraId="474C1836">
            <w:pPr>
              <w:widowControl/>
              <w:spacing w:line="360" w:lineRule="auto"/>
              <w:jc w:val="center"/>
              <w:rPr>
                <w:rFonts w:hint="eastAsia" w:ascii="宋体" w:hAnsi="宋体" w:cs="Tahoma"/>
                <w:b/>
                <w:bCs/>
                <w:kern w:val="0"/>
                <w:szCs w:val="21"/>
                <w:highlight w:val="none"/>
              </w:rPr>
            </w:pPr>
            <w:r>
              <w:rPr>
                <w:rFonts w:hint="eastAsia" w:ascii="宋体" w:hAnsi="宋体" w:cs="Tahoma"/>
                <w:b/>
                <w:bCs/>
                <w:kern w:val="0"/>
                <w:szCs w:val="21"/>
                <w:highlight w:val="none"/>
              </w:rPr>
              <w:t>评审因素具体内容</w:t>
            </w:r>
          </w:p>
        </w:tc>
        <w:tc>
          <w:tcPr>
            <w:tcW w:w="851" w:type="dxa"/>
            <w:noWrap/>
            <w:vAlign w:val="center"/>
          </w:tcPr>
          <w:p w14:paraId="4D49B7B1">
            <w:pPr>
              <w:widowControl/>
              <w:spacing w:line="360" w:lineRule="auto"/>
              <w:jc w:val="center"/>
              <w:rPr>
                <w:rFonts w:hint="eastAsia" w:ascii="宋体" w:hAnsi="宋体" w:cs="Tahoma"/>
                <w:b/>
                <w:bCs/>
                <w:kern w:val="0"/>
                <w:szCs w:val="21"/>
                <w:highlight w:val="none"/>
              </w:rPr>
            </w:pPr>
            <w:r>
              <w:rPr>
                <w:rFonts w:hint="eastAsia" w:ascii="宋体" w:hAnsi="宋体" w:cs="Tahoma"/>
                <w:b/>
                <w:bCs/>
                <w:kern w:val="0"/>
                <w:szCs w:val="21"/>
                <w:highlight w:val="none"/>
              </w:rPr>
              <w:t>分值</w:t>
            </w:r>
          </w:p>
        </w:tc>
      </w:tr>
      <w:tr w14:paraId="5B80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noWrap/>
            <w:vAlign w:val="center"/>
          </w:tcPr>
          <w:p w14:paraId="765391F6">
            <w:pPr>
              <w:widowControl/>
              <w:spacing w:line="360" w:lineRule="auto"/>
              <w:jc w:val="center"/>
              <w:rPr>
                <w:rFonts w:hint="eastAsia" w:ascii="宋体" w:hAnsi="宋体" w:cs="Tahoma"/>
                <w:kern w:val="0"/>
                <w:szCs w:val="21"/>
                <w:highlight w:val="none"/>
              </w:rPr>
            </w:pPr>
            <w:r>
              <w:rPr>
                <w:rFonts w:hint="eastAsia" w:ascii="宋体" w:hAnsi="宋体" w:cs="Tahoma"/>
                <w:kern w:val="0"/>
                <w:szCs w:val="21"/>
                <w:highlight w:val="none"/>
              </w:rPr>
              <w:t>1</w:t>
            </w:r>
          </w:p>
        </w:tc>
        <w:tc>
          <w:tcPr>
            <w:tcW w:w="1352" w:type="dxa"/>
            <w:noWrap/>
            <w:vAlign w:val="center"/>
          </w:tcPr>
          <w:p w14:paraId="4975881A">
            <w:pPr>
              <w:widowControl/>
              <w:spacing w:line="360" w:lineRule="auto"/>
              <w:jc w:val="center"/>
              <w:rPr>
                <w:rFonts w:hint="eastAsia" w:ascii="宋体" w:hAnsi="宋体" w:cs="Tahoma"/>
                <w:kern w:val="0"/>
                <w:szCs w:val="21"/>
                <w:highlight w:val="none"/>
              </w:rPr>
            </w:pPr>
            <w:r>
              <w:rPr>
                <w:rFonts w:hint="eastAsia" w:ascii="宋体" w:hAnsi="宋体" w:cs="Tahoma"/>
                <w:kern w:val="0"/>
                <w:szCs w:val="21"/>
                <w:highlight w:val="none"/>
              </w:rPr>
              <w:t>价格分</w:t>
            </w:r>
          </w:p>
          <w:p w14:paraId="7F137968">
            <w:pPr>
              <w:widowControl/>
              <w:spacing w:line="360" w:lineRule="auto"/>
              <w:jc w:val="center"/>
              <w:rPr>
                <w:rFonts w:hint="eastAsia" w:ascii="宋体" w:hAnsi="宋体" w:cs="Tahoma" w:eastAsiaTheme="minorEastAsia"/>
                <w:kern w:val="0"/>
                <w:szCs w:val="21"/>
                <w:highlight w:val="none"/>
                <w:lang w:eastAsia="zh-CN"/>
              </w:rPr>
            </w:pPr>
            <w:r>
              <w:rPr>
                <w:rFonts w:hint="eastAsia" w:ascii="宋体" w:hAnsi="宋体" w:cs="Tahoma"/>
                <w:kern w:val="0"/>
                <w:szCs w:val="21"/>
                <w:highlight w:val="none"/>
                <w:lang w:eastAsia="zh-CN"/>
              </w:rPr>
              <w:t>（</w:t>
            </w:r>
            <w:r>
              <w:rPr>
                <w:rFonts w:hint="eastAsia" w:ascii="宋体" w:hAnsi="宋体" w:cs="Tahoma"/>
                <w:kern w:val="0"/>
                <w:szCs w:val="21"/>
                <w:highlight w:val="none"/>
                <w:lang w:val="en-US" w:eastAsia="zh-CN"/>
              </w:rPr>
              <w:t>30分</w:t>
            </w:r>
            <w:r>
              <w:rPr>
                <w:rFonts w:hint="eastAsia" w:ascii="宋体" w:hAnsi="宋体" w:cs="Tahoma"/>
                <w:kern w:val="0"/>
                <w:szCs w:val="21"/>
                <w:highlight w:val="none"/>
                <w:lang w:eastAsia="zh-CN"/>
              </w:rPr>
              <w:t>）</w:t>
            </w:r>
          </w:p>
        </w:tc>
        <w:tc>
          <w:tcPr>
            <w:tcW w:w="6187" w:type="dxa"/>
            <w:noWrap/>
          </w:tcPr>
          <w:p w14:paraId="2925927A">
            <w:pPr>
              <w:spacing w:line="360" w:lineRule="auto"/>
              <w:ind w:firstLine="420" w:firstLineChars="200"/>
              <w:rPr>
                <w:rFonts w:hint="eastAsia" w:ascii="宋体" w:hAnsi="宋体"/>
                <w:szCs w:val="21"/>
                <w:highlight w:val="none"/>
              </w:rPr>
            </w:pPr>
            <w:r>
              <w:rPr>
                <w:rFonts w:hint="eastAsia" w:ascii="宋体" w:hAnsi="宋体"/>
                <w:szCs w:val="21"/>
                <w:highlight w:val="none"/>
              </w:rPr>
              <w:t>（1）评审价为供应商的最后报价进行政策性扣除后的价格，评审价只是作为评审时使用。最终成交供应商的成交金额等于最后报价（如有修正，以确认修正后的最后报价为准）。</w:t>
            </w:r>
          </w:p>
          <w:p w14:paraId="21712A5D">
            <w:pPr>
              <w:spacing w:line="360" w:lineRule="auto"/>
              <w:ind w:firstLine="420" w:firstLineChars="200"/>
              <w:rPr>
                <w:rFonts w:hint="eastAsia" w:ascii="宋体" w:hAnsi="宋体"/>
                <w:szCs w:val="21"/>
                <w:highlight w:val="none"/>
              </w:rPr>
            </w:pPr>
            <w:r>
              <w:rPr>
                <w:rFonts w:hint="eastAsia" w:ascii="宋体" w:hAnsi="宋体"/>
                <w:szCs w:val="21"/>
                <w:highlight w:val="none"/>
              </w:rPr>
              <w:t>（2）政府采购政策性扣除计算方法</w:t>
            </w:r>
          </w:p>
          <w:p w14:paraId="0D72F5AC">
            <w:pPr>
              <w:spacing w:line="360" w:lineRule="auto"/>
              <w:ind w:firstLine="420" w:firstLineChars="200"/>
              <w:rPr>
                <w:rFonts w:hint="eastAsia" w:ascii="宋体" w:hAnsi="宋体"/>
                <w:szCs w:val="21"/>
                <w:highlight w:val="none"/>
              </w:rPr>
            </w:pPr>
            <w:r>
              <w:rPr>
                <w:rFonts w:hint="eastAsia" w:ascii="宋体" w:hAnsi="宋体"/>
                <w:szCs w:val="21"/>
                <w:highlight w:val="none"/>
              </w:rPr>
              <w:t>根据《政府采购促进中小企业发展管理办法》（财库〔2020〕46号）及《广西壮族自治区财政厅关于进一步发挥政府采购政策功能促进企业发展的通知》（桂财采〔2022〕30号）的规定，供应商在其响应文件中提供《中小企业声明函》，且服务全部由小微企业承接，对供应商的竞标报价给予</w:t>
            </w:r>
            <w:r>
              <w:rPr>
                <w:rFonts w:ascii="宋体" w:hAnsi="宋体"/>
                <w:szCs w:val="21"/>
                <w:highlight w:val="none"/>
              </w:rPr>
              <w:t>2</w:t>
            </w:r>
            <w:r>
              <w:rPr>
                <w:rFonts w:hint="eastAsia" w:ascii="宋体" w:hAnsi="宋体"/>
                <w:szCs w:val="21"/>
                <w:highlight w:val="none"/>
              </w:rPr>
              <w:t>0%的扣除，扣除后的价格为评审价，即评审价=竞标报价×（1-</w:t>
            </w:r>
            <w:r>
              <w:rPr>
                <w:rFonts w:ascii="宋体" w:hAnsi="宋体"/>
                <w:szCs w:val="21"/>
                <w:highlight w:val="none"/>
              </w:rPr>
              <w:t>2</w:t>
            </w:r>
            <w:r>
              <w:rPr>
                <w:rFonts w:hint="eastAsia" w:ascii="宋体" w:hAnsi="宋体"/>
                <w:szCs w:val="21"/>
                <w:highlight w:val="none"/>
              </w:rPr>
              <w:t xml:space="preserve">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w:t>
            </w:r>
            <w:r>
              <w:rPr>
                <w:rFonts w:ascii="宋体" w:hAnsi="宋体"/>
                <w:szCs w:val="21"/>
                <w:highlight w:val="none"/>
              </w:rPr>
              <w:t>4</w:t>
            </w:r>
            <w:r>
              <w:rPr>
                <w:rFonts w:hint="eastAsia" w:ascii="宋体" w:hAnsi="宋体"/>
                <w:szCs w:val="21"/>
                <w:highlight w:val="none"/>
              </w:rPr>
              <w:t xml:space="preserve"> %的扣除，用扣除后的价格参加评审，扣除后的价格为评审价，即评审价=竞标报价×（1- </w:t>
            </w:r>
            <w:r>
              <w:rPr>
                <w:rFonts w:ascii="宋体" w:hAnsi="宋体"/>
                <w:szCs w:val="21"/>
                <w:highlight w:val="none"/>
              </w:rPr>
              <w:t>4</w:t>
            </w:r>
            <w:r>
              <w:rPr>
                <w:rFonts w:hint="eastAsia" w:ascii="宋体" w:hAnsi="宋体"/>
                <w:szCs w:val="21"/>
                <w:highlight w:val="none"/>
              </w:rPr>
              <w:t xml:space="preserve"> %）。除上述情况外，评审价=竞标报价。</w:t>
            </w:r>
          </w:p>
          <w:p w14:paraId="0E4790B1">
            <w:pPr>
              <w:spacing w:line="360" w:lineRule="auto"/>
              <w:ind w:firstLine="420" w:firstLineChars="200"/>
              <w:rPr>
                <w:rFonts w:hint="eastAsia" w:ascii="宋体" w:hAnsi="宋体"/>
                <w:szCs w:val="21"/>
                <w:highlight w:val="none"/>
              </w:rPr>
            </w:pPr>
            <w:r>
              <w:rPr>
                <w:rFonts w:hint="eastAsia" w:ascii="宋体" w:hAnsi="宋体"/>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A869B88">
            <w:pPr>
              <w:spacing w:line="360" w:lineRule="auto"/>
              <w:ind w:firstLine="420" w:firstLineChars="200"/>
              <w:rPr>
                <w:rFonts w:hint="eastAsia" w:ascii="宋体" w:hAnsi="宋体"/>
                <w:szCs w:val="21"/>
                <w:highlight w:val="none"/>
              </w:rPr>
            </w:pPr>
            <w:r>
              <w:rPr>
                <w:rFonts w:hint="eastAsia" w:ascii="宋体" w:hAnsi="宋体"/>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909AA50">
            <w:pPr>
              <w:spacing w:line="360" w:lineRule="auto"/>
              <w:ind w:firstLine="420" w:firstLineChars="200"/>
              <w:rPr>
                <w:rFonts w:hint="eastAsia" w:ascii="宋体" w:hAnsi="宋体" w:cs="Courier New"/>
                <w:bCs/>
                <w:szCs w:val="21"/>
                <w:highlight w:val="none"/>
              </w:rPr>
            </w:pPr>
            <w:r>
              <w:rPr>
                <w:rFonts w:hint="eastAsia" w:ascii="宋体" w:hAnsi="宋体" w:cs="Courier New"/>
                <w:bCs/>
                <w:szCs w:val="21"/>
                <w:highlight w:val="none"/>
              </w:rPr>
              <w:t>（5）价格分计算公式：</w:t>
            </w:r>
          </w:p>
          <w:p w14:paraId="12D7AD36">
            <w:pPr>
              <w:spacing w:line="360" w:lineRule="auto"/>
              <w:ind w:firstLine="404" w:firstLineChars="200"/>
              <w:rPr>
                <w:rFonts w:hint="eastAsia" w:ascii="宋体" w:hAnsi="宋体"/>
                <w:color w:val="000000"/>
                <w:spacing w:val="-4"/>
                <w:szCs w:val="20"/>
                <w:highlight w:val="none"/>
              </w:rPr>
            </w:pPr>
            <w:r>
              <w:rPr>
                <w:rFonts w:hint="eastAsia" w:ascii="宋体" w:hAnsi="宋体"/>
                <w:color w:val="000000"/>
                <w:spacing w:val="-4"/>
                <w:szCs w:val="20"/>
                <w:highlight w:val="none"/>
              </w:rPr>
              <w:t>　                 供应商最低评标价金额</w:t>
            </w:r>
          </w:p>
          <w:p w14:paraId="771CA48A">
            <w:pPr>
              <w:spacing w:line="300" w:lineRule="exact"/>
              <w:ind w:firstLine="420" w:firstLineChars="200"/>
              <w:rPr>
                <w:rFonts w:hint="eastAsia" w:ascii="宋体" w:hAnsi="宋体"/>
                <w:color w:val="000000"/>
                <w:spacing w:val="-4"/>
                <w:szCs w:val="20"/>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1400175</wp:posOffset>
                      </wp:positionH>
                      <wp:positionV relativeFrom="paragraph">
                        <wp:posOffset>106680</wp:posOffset>
                      </wp:positionV>
                      <wp:extent cx="16002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0.25pt;margin-top:8.4pt;height:0pt;width:126pt;z-index:251659264;mso-width-relative:page;mso-height-relative:page;" filled="f" stroked="t" coordsize="21600,21600" o:gfxdata="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RQN7HVAAAACQEAAA8AAAAAAAAAAQAgAAAAIgAAAGRycy9kb3ducmV2LnhtbFBLAQIUABQAAAAI&#10;AIdO4kCAKLXg8AEAAOY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color w:val="000000"/>
                <w:spacing w:val="-4"/>
                <w:szCs w:val="20"/>
                <w:highlight w:val="none"/>
              </w:rPr>
              <w:t>某供应商价格分 ＝                            ×　</w:t>
            </w:r>
            <w:r>
              <w:rPr>
                <w:rFonts w:hint="eastAsia" w:ascii="宋体" w:hAnsi="宋体"/>
                <w:b/>
                <w:color w:val="000000"/>
                <w:spacing w:val="-4"/>
                <w:szCs w:val="20"/>
                <w:highlight w:val="none"/>
              </w:rPr>
              <w:t>3</w:t>
            </w:r>
            <w:r>
              <w:rPr>
                <w:rFonts w:ascii="宋体" w:hAnsi="宋体"/>
                <w:b/>
                <w:color w:val="000000"/>
                <w:spacing w:val="-4"/>
                <w:szCs w:val="20"/>
                <w:highlight w:val="none"/>
              </w:rPr>
              <w:t>0</w:t>
            </w:r>
            <w:r>
              <w:rPr>
                <w:rFonts w:hint="eastAsia" w:ascii="宋体" w:hAnsi="宋体"/>
                <w:b/>
                <w:color w:val="000000"/>
                <w:spacing w:val="-4"/>
                <w:szCs w:val="20"/>
                <w:highlight w:val="none"/>
              </w:rPr>
              <w:t>分</w:t>
            </w:r>
          </w:p>
          <w:p w14:paraId="20E13D9E">
            <w:pPr>
              <w:spacing w:line="300" w:lineRule="exact"/>
              <w:ind w:firstLine="404" w:firstLineChars="200"/>
              <w:rPr>
                <w:rFonts w:hint="eastAsia" w:ascii="宋体" w:hAnsi="宋体"/>
                <w:color w:val="000000"/>
                <w:spacing w:val="-4"/>
                <w:szCs w:val="20"/>
                <w:highlight w:val="none"/>
              </w:rPr>
            </w:pPr>
            <w:r>
              <w:rPr>
                <w:rFonts w:hint="eastAsia" w:ascii="宋体" w:hAnsi="宋体"/>
                <w:color w:val="000000"/>
                <w:spacing w:val="-4"/>
                <w:szCs w:val="20"/>
                <w:highlight w:val="none"/>
              </w:rPr>
              <w:t xml:space="preserve">                   　某供应商评标价金额</w:t>
            </w:r>
          </w:p>
          <w:p w14:paraId="7C05970F">
            <w:pPr>
              <w:spacing w:line="360" w:lineRule="auto"/>
              <w:ind w:firstLine="420" w:firstLineChars="200"/>
              <w:rPr>
                <w:rFonts w:hint="eastAsia" w:ascii="宋体" w:hAnsi="宋体" w:cs="Courier New"/>
                <w:bCs/>
                <w:szCs w:val="21"/>
                <w:highlight w:val="none"/>
              </w:rPr>
            </w:pPr>
            <w:r>
              <w:rPr>
                <w:rFonts w:hint="eastAsia" w:ascii="宋体" w:hAnsi="宋体" w:cs="Courier New"/>
                <w:bCs/>
                <w:szCs w:val="21"/>
                <w:highlight w:val="none"/>
              </w:rPr>
              <w:t xml:space="preserve"> </w:t>
            </w:r>
          </w:p>
        </w:tc>
        <w:tc>
          <w:tcPr>
            <w:tcW w:w="851" w:type="dxa"/>
            <w:noWrap/>
            <w:vAlign w:val="center"/>
          </w:tcPr>
          <w:p w14:paraId="7D811148">
            <w:pPr>
              <w:widowControl/>
              <w:spacing w:line="360" w:lineRule="auto"/>
              <w:jc w:val="center"/>
              <w:rPr>
                <w:rFonts w:hint="eastAsia" w:ascii="宋体" w:hAnsi="宋体" w:cs="Tahoma"/>
                <w:kern w:val="0"/>
                <w:szCs w:val="21"/>
                <w:highlight w:val="none"/>
              </w:rPr>
            </w:pPr>
            <w:r>
              <w:rPr>
                <w:rFonts w:hint="eastAsia" w:ascii="宋体" w:hAnsi="宋体" w:cs="Tahoma"/>
                <w:kern w:val="0"/>
                <w:szCs w:val="21"/>
                <w:highlight w:val="none"/>
              </w:rPr>
              <w:t>3</w:t>
            </w:r>
            <w:r>
              <w:rPr>
                <w:rFonts w:ascii="宋体" w:hAnsi="宋体" w:cs="Tahoma"/>
                <w:kern w:val="0"/>
                <w:szCs w:val="21"/>
                <w:highlight w:val="none"/>
              </w:rPr>
              <w:t>0</w:t>
            </w:r>
            <w:r>
              <w:rPr>
                <w:rFonts w:hint="eastAsia" w:ascii="宋体" w:hAnsi="宋体" w:cs="Tahoma"/>
                <w:kern w:val="0"/>
                <w:szCs w:val="21"/>
                <w:highlight w:val="none"/>
              </w:rPr>
              <w:t>分</w:t>
            </w:r>
          </w:p>
        </w:tc>
      </w:tr>
      <w:tr w14:paraId="1AB1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noWrap/>
            <w:vAlign w:val="center"/>
          </w:tcPr>
          <w:p w14:paraId="7E1CD07A">
            <w:pPr>
              <w:widowControl/>
              <w:spacing w:line="360" w:lineRule="auto"/>
              <w:jc w:val="center"/>
              <w:rPr>
                <w:rFonts w:hint="eastAsia" w:ascii="宋体" w:hAnsi="宋体" w:cs="Tahoma"/>
                <w:kern w:val="0"/>
                <w:szCs w:val="21"/>
                <w:highlight w:val="none"/>
              </w:rPr>
            </w:pPr>
            <w:r>
              <w:rPr>
                <w:rFonts w:hint="eastAsia" w:ascii="宋体" w:hAnsi="宋体"/>
                <w:bCs/>
                <w:kern w:val="0"/>
                <w:szCs w:val="21"/>
                <w:highlight w:val="none"/>
              </w:rPr>
              <w:t>2</w:t>
            </w:r>
          </w:p>
        </w:tc>
        <w:tc>
          <w:tcPr>
            <w:tcW w:w="1352" w:type="dxa"/>
            <w:noWrap/>
            <w:vAlign w:val="center"/>
          </w:tcPr>
          <w:p w14:paraId="3276C32B">
            <w:pPr>
              <w:widowControl/>
              <w:spacing w:line="360" w:lineRule="auto"/>
              <w:jc w:val="center"/>
              <w:rPr>
                <w:rFonts w:hint="eastAsia" w:ascii="宋体" w:hAnsi="宋体"/>
                <w:bCs/>
                <w:kern w:val="0"/>
                <w:szCs w:val="21"/>
                <w:highlight w:val="none"/>
              </w:rPr>
            </w:pPr>
            <w:r>
              <w:rPr>
                <w:rFonts w:hint="eastAsia" w:ascii="宋体" w:hAnsi="宋体"/>
                <w:bCs/>
                <w:kern w:val="0"/>
                <w:szCs w:val="21"/>
                <w:highlight w:val="none"/>
              </w:rPr>
              <w:t>技术分</w:t>
            </w:r>
          </w:p>
          <w:p w14:paraId="112A235D">
            <w:pPr>
              <w:widowControl/>
              <w:spacing w:line="360" w:lineRule="auto"/>
              <w:jc w:val="center"/>
              <w:rPr>
                <w:rFonts w:hint="eastAsia" w:ascii="宋体" w:hAnsi="宋体"/>
                <w:bCs/>
                <w:kern w:val="0"/>
                <w:szCs w:val="21"/>
                <w:highlight w:val="none"/>
              </w:rPr>
            </w:pPr>
            <w:r>
              <w:rPr>
                <w:rFonts w:hint="eastAsia" w:ascii="宋体" w:hAnsi="宋体"/>
                <w:bCs/>
                <w:kern w:val="0"/>
                <w:szCs w:val="21"/>
                <w:highlight w:val="none"/>
              </w:rPr>
              <w:t>（6</w:t>
            </w:r>
            <w:r>
              <w:rPr>
                <w:rFonts w:hint="eastAsia" w:ascii="宋体" w:hAnsi="宋体"/>
                <w:bCs/>
                <w:kern w:val="0"/>
                <w:szCs w:val="21"/>
                <w:highlight w:val="none"/>
                <w:lang w:val="en-US" w:eastAsia="zh-CN"/>
              </w:rPr>
              <w:t>2</w:t>
            </w:r>
            <w:r>
              <w:rPr>
                <w:rFonts w:hint="eastAsia" w:ascii="宋体" w:hAnsi="宋体"/>
                <w:bCs/>
                <w:kern w:val="0"/>
                <w:szCs w:val="21"/>
                <w:highlight w:val="none"/>
              </w:rPr>
              <w:t>分）</w:t>
            </w:r>
          </w:p>
        </w:tc>
        <w:tc>
          <w:tcPr>
            <w:tcW w:w="7038" w:type="dxa"/>
            <w:gridSpan w:val="2"/>
            <w:noWrap/>
            <w:vAlign w:val="center"/>
          </w:tcPr>
          <w:p w14:paraId="189B58FD">
            <w:pPr>
              <w:widowControl/>
              <w:spacing w:line="360" w:lineRule="auto"/>
              <w:jc w:val="center"/>
              <w:rPr>
                <w:rFonts w:hint="eastAsia" w:ascii="宋体" w:hAnsi="宋体" w:cs="Tahoma"/>
                <w:kern w:val="0"/>
                <w:szCs w:val="21"/>
                <w:highlight w:val="none"/>
              </w:rPr>
            </w:pPr>
            <w:r>
              <w:rPr>
                <w:rFonts w:hint="eastAsia" w:ascii="宋体" w:hAnsi="宋体" w:cs="Tahoma"/>
                <w:kern w:val="0"/>
                <w:szCs w:val="21"/>
                <w:highlight w:val="none"/>
              </w:rPr>
              <w:t>评审因素</w:t>
            </w:r>
          </w:p>
        </w:tc>
      </w:tr>
      <w:tr w14:paraId="20A8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0" w:type="dxa"/>
            <w:noWrap/>
            <w:vAlign w:val="center"/>
          </w:tcPr>
          <w:p w14:paraId="2DC1DA57">
            <w:pPr>
              <w:adjustRightInd w:val="0"/>
              <w:spacing w:line="360" w:lineRule="auto"/>
              <w:ind w:left="-105" w:leftChars="-50" w:right="-105" w:rightChars="-50"/>
              <w:jc w:val="center"/>
              <w:textAlignment w:val="baseline"/>
              <w:rPr>
                <w:rFonts w:hint="eastAsia" w:ascii="宋体" w:hAnsi="宋体"/>
                <w:bCs/>
                <w:kern w:val="0"/>
                <w:szCs w:val="21"/>
                <w:highlight w:val="none"/>
              </w:rPr>
            </w:pPr>
            <w:r>
              <w:rPr>
                <w:rFonts w:hint="eastAsia" w:ascii="宋体" w:hAnsi="宋体"/>
                <w:bCs/>
                <w:kern w:val="0"/>
                <w:szCs w:val="21"/>
                <w:highlight w:val="none"/>
              </w:rPr>
              <w:t>2</w:t>
            </w:r>
            <w:r>
              <w:rPr>
                <w:rFonts w:ascii="宋体" w:hAnsi="宋体"/>
                <w:bCs/>
                <w:kern w:val="0"/>
                <w:szCs w:val="21"/>
                <w:highlight w:val="none"/>
              </w:rPr>
              <w:t>.</w:t>
            </w:r>
            <w:r>
              <w:rPr>
                <w:rFonts w:hint="eastAsia" w:ascii="宋体" w:hAnsi="宋体"/>
                <w:bCs/>
                <w:kern w:val="0"/>
                <w:szCs w:val="21"/>
                <w:highlight w:val="none"/>
              </w:rPr>
              <w:t>1</w:t>
            </w:r>
          </w:p>
        </w:tc>
        <w:tc>
          <w:tcPr>
            <w:tcW w:w="1352" w:type="dxa"/>
            <w:noWrap/>
            <w:vAlign w:val="center"/>
          </w:tcPr>
          <w:p w14:paraId="00E20377">
            <w:pPr>
              <w:adjustRightInd w:val="0"/>
              <w:spacing w:line="360" w:lineRule="auto"/>
              <w:jc w:val="center"/>
              <w:textAlignment w:val="baseline"/>
              <w:rPr>
                <w:rFonts w:hint="eastAsia" w:ascii="宋体" w:hAnsi="宋体" w:eastAsiaTheme="minorEastAsia"/>
                <w:bCs/>
                <w:kern w:val="0"/>
                <w:szCs w:val="21"/>
                <w:highlight w:val="none"/>
                <w:lang w:eastAsia="zh-CN"/>
              </w:rPr>
            </w:pPr>
            <w:r>
              <w:rPr>
                <w:rFonts w:hint="eastAsia" w:ascii="宋体" w:hAnsi="宋体"/>
                <w:bCs/>
                <w:kern w:val="0"/>
                <w:szCs w:val="21"/>
                <w:highlight w:val="none"/>
              </w:rPr>
              <w:t>技术参数响应分</w:t>
            </w:r>
          </w:p>
        </w:tc>
        <w:tc>
          <w:tcPr>
            <w:tcW w:w="6187" w:type="dxa"/>
            <w:noWrap/>
            <w:vAlign w:val="center"/>
          </w:tcPr>
          <w:p w14:paraId="68C391C6">
            <w:pPr>
              <w:spacing w:line="360" w:lineRule="auto"/>
              <w:rPr>
                <w:rFonts w:hint="eastAsia" w:ascii="宋体" w:hAnsi="宋体" w:cs="Courier New"/>
                <w:bCs/>
                <w:szCs w:val="21"/>
                <w:highlight w:val="none"/>
              </w:rPr>
            </w:pPr>
            <w:r>
              <w:rPr>
                <w:rFonts w:hint="eastAsia" w:ascii="宋体" w:hAnsi="宋体" w:cs="Courier New"/>
                <w:bCs/>
                <w:szCs w:val="21"/>
                <w:highlight w:val="none"/>
              </w:rPr>
              <w:t>逐条响应电子文档安全系统和隐写溯源系统的功能点</w:t>
            </w:r>
            <w:r>
              <w:rPr>
                <w:rFonts w:hint="eastAsia" w:ascii="宋体" w:hAnsi="宋体" w:cs="Courier New"/>
                <w:bCs/>
                <w:szCs w:val="21"/>
                <w:highlight w:val="none"/>
                <w:lang w:val="en-US" w:eastAsia="zh-CN"/>
              </w:rPr>
              <w:t>得</w:t>
            </w:r>
            <w:r>
              <w:rPr>
                <w:rFonts w:hint="eastAsia" w:ascii="宋体" w:hAnsi="宋体" w:cs="Tahoma"/>
                <w:kern w:val="0"/>
                <w:szCs w:val="21"/>
                <w:highlight w:val="none"/>
              </w:rPr>
              <w:t>2</w:t>
            </w:r>
            <w:r>
              <w:rPr>
                <w:rFonts w:hint="eastAsia" w:ascii="宋体" w:hAnsi="宋体" w:cs="Tahoma"/>
                <w:kern w:val="0"/>
                <w:szCs w:val="21"/>
                <w:highlight w:val="none"/>
                <w:lang w:val="en-US" w:eastAsia="zh-CN"/>
              </w:rPr>
              <w:t>5</w:t>
            </w:r>
            <w:r>
              <w:rPr>
                <w:rFonts w:hint="eastAsia" w:ascii="宋体" w:hAnsi="宋体" w:cs="Tahoma"/>
                <w:kern w:val="0"/>
                <w:szCs w:val="21"/>
                <w:highlight w:val="none"/>
              </w:rPr>
              <w:t>分</w:t>
            </w:r>
            <w:r>
              <w:rPr>
                <w:rFonts w:hint="eastAsia" w:ascii="宋体" w:hAnsi="宋体" w:cs="Courier New"/>
                <w:bCs/>
                <w:szCs w:val="21"/>
                <w:highlight w:val="none"/>
              </w:rPr>
              <w:t>，每有一项负偏离扣</w:t>
            </w:r>
            <w:r>
              <w:rPr>
                <w:rFonts w:hint="eastAsia" w:ascii="宋体" w:hAnsi="宋体" w:cs="Courier New"/>
                <w:bCs/>
                <w:szCs w:val="21"/>
                <w:highlight w:val="none"/>
                <w:lang w:val="en-US" w:eastAsia="zh-CN"/>
              </w:rPr>
              <w:t>5</w:t>
            </w:r>
            <w:r>
              <w:rPr>
                <w:rFonts w:hint="eastAsia" w:ascii="宋体" w:hAnsi="宋体" w:cs="Courier New"/>
                <w:bCs/>
                <w:szCs w:val="21"/>
                <w:highlight w:val="none"/>
              </w:rPr>
              <w:t>分，扣完为止。</w:t>
            </w:r>
          </w:p>
        </w:tc>
        <w:tc>
          <w:tcPr>
            <w:tcW w:w="851" w:type="dxa"/>
            <w:noWrap/>
            <w:vAlign w:val="center"/>
          </w:tcPr>
          <w:p w14:paraId="31BC522A">
            <w:pPr>
              <w:spacing w:line="360" w:lineRule="auto"/>
              <w:jc w:val="center"/>
              <w:rPr>
                <w:rFonts w:hint="eastAsia" w:ascii="宋体" w:hAnsi="宋体" w:cs="Tahoma"/>
                <w:kern w:val="0"/>
                <w:szCs w:val="21"/>
                <w:highlight w:val="none"/>
              </w:rPr>
            </w:pPr>
            <w:r>
              <w:rPr>
                <w:rFonts w:hint="eastAsia" w:ascii="宋体" w:hAnsi="宋体" w:cs="Tahoma"/>
                <w:kern w:val="0"/>
                <w:szCs w:val="21"/>
                <w:highlight w:val="none"/>
              </w:rPr>
              <w:t>2</w:t>
            </w:r>
            <w:r>
              <w:rPr>
                <w:rFonts w:hint="eastAsia" w:ascii="宋体" w:hAnsi="宋体" w:cs="Tahoma"/>
                <w:kern w:val="0"/>
                <w:szCs w:val="21"/>
                <w:highlight w:val="none"/>
                <w:lang w:val="en-US" w:eastAsia="zh-CN"/>
              </w:rPr>
              <w:t>5</w:t>
            </w:r>
            <w:r>
              <w:rPr>
                <w:rFonts w:hint="eastAsia" w:ascii="宋体" w:hAnsi="宋体" w:cs="Tahoma"/>
                <w:kern w:val="0"/>
                <w:szCs w:val="21"/>
                <w:highlight w:val="none"/>
              </w:rPr>
              <w:t>分</w:t>
            </w:r>
          </w:p>
        </w:tc>
      </w:tr>
      <w:tr w14:paraId="434D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0" w:type="dxa"/>
            <w:noWrap/>
            <w:vAlign w:val="center"/>
          </w:tcPr>
          <w:p w14:paraId="03487213">
            <w:pPr>
              <w:adjustRightInd w:val="0"/>
              <w:spacing w:line="360" w:lineRule="auto"/>
              <w:ind w:left="-105" w:leftChars="-50" w:right="-105" w:rightChars="-50"/>
              <w:jc w:val="center"/>
              <w:textAlignment w:val="baseline"/>
              <w:rPr>
                <w:rFonts w:hint="eastAsia" w:ascii="宋体" w:hAnsi="宋体"/>
                <w:bCs/>
                <w:kern w:val="0"/>
                <w:szCs w:val="21"/>
                <w:highlight w:val="none"/>
              </w:rPr>
            </w:pPr>
            <w:r>
              <w:rPr>
                <w:rFonts w:hint="eastAsia" w:ascii="宋体" w:hAnsi="宋体"/>
                <w:bCs/>
                <w:kern w:val="0"/>
                <w:szCs w:val="21"/>
                <w:highlight w:val="none"/>
              </w:rPr>
              <w:t>2</w:t>
            </w:r>
            <w:r>
              <w:rPr>
                <w:rFonts w:ascii="宋体" w:hAnsi="宋体"/>
                <w:bCs/>
                <w:kern w:val="0"/>
                <w:szCs w:val="21"/>
                <w:highlight w:val="none"/>
              </w:rPr>
              <w:t>.</w:t>
            </w:r>
            <w:r>
              <w:rPr>
                <w:rFonts w:hint="eastAsia" w:ascii="宋体" w:hAnsi="宋体"/>
                <w:bCs/>
                <w:kern w:val="0"/>
                <w:szCs w:val="21"/>
                <w:highlight w:val="none"/>
              </w:rPr>
              <w:t>2</w:t>
            </w:r>
          </w:p>
        </w:tc>
        <w:tc>
          <w:tcPr>
            <w:tcW w:w="1352" w:type="dxa"/>
            <w:noWrap/>
            <w:vAlign w:val="center"/>
          </w:tcPr>
          <w:p w14:paraId="0D4D0465">
            <w:pPr>
              <w:adjustRightInd w:val="0"/>
              <w:spacing w:line="360" w:lineRule="auto"/>
              <w:jc w:val="center"/>
              <w:textAlignment w:val="baseline"/>
              <w:rPr>
                <w:rFonts w:hint="eastAsia" w:ascii="宋体" w:hAnsi="宋体" w:eastAsiaTheme="minorEastAsia"/>
                <w:bCs/>
                <w:kern w:val="0"/>
                <w:szCs w:val="21"/>
                <w:highlight w:val="none"/>
                <w:lang w:eastAsia="zh-CN"/>
              </w:rPr>
            </w:pPr>
            <w:r>
              <w:rPr>
                <w:rFonts w:hint="eastAsia" w:ascii="宋体" w:hAnsi="宋体"/>
                <w:bCs/>
                <w:kern w:val="0"/>
                <w:szCs w:val="21"/>
                <w:highlight w:val="none"/>
              </w:rPr>
              <w:t>技术方案分</w:t>
            </w:r>
          </w:p>
        </w:tc>
        <w:tc>
          <w:tcPr>
            <w:tcW w:w="6187" w:type="dxa"/>
            <w:noWrap/>
            <w:vAlign w:val="center"/>
          </w:tcPr>
          <w:p w14:paraId="303698AE">
            <w:pPr>
              <w:spacing w:line="360" w:lineRule="auto"/>
              <w:ind w:firstLine="420" w:firstLineChars="200"/>
              <w:rPr>
                <w:rFonts w:hint="eastAsia" w:ascii="宋体" w:hAnsi="宋体" w:cs="Courier New"/>
                <w:bCs/>
                <w:szCs w:val="21"/>
                <w:highlight w:val="none"/>
              </w:rPr>
            </w:pPr>
            <w:r>
              <w:rPr>
                <w:rFonts w:hint="eastAsia" w:ascii="宋体" w:hAnsi="宋体" w:cs="Courier New"/>
                <w:bCs/>
                <w:szCs w:val="21"/>
                <w:highlight w:val="none"/>
              </w:rPr>
              <w:t>一档（9分）：基本能够理解本项目的建设背景、建设目标、建设范围，技术方案能满足招标文件要求。</w:t>
            </w:r>
          </w:p>
          <w:p w14:paraId="398C1085">
            <w:pPr>
              <w:spacing w:line="360" w:lineRule="auto"/>
              <w:ind w:firstLine="420" w:firstLineChars="200"/>
              <w:rPr>
                <w:rFonts w:hint="eastAsia" w:ascii="宋体" w:hAnsi="宋体" w:cs="Courier New"/>
                <w:bCs/>
                <w:szCs w:val="21"/>
                <w:highlight w:val="none"/>
              </w:rPr>
            </w:pPr>
            <w:r>
              <w:rPr>
                <w:rFonts w:hint="eastAsia" w:ascii="宋体" w:hAnsi="宋体" w:cs="Courier New"/>
                <w:bCs/>
                <w:szCs w:val="21"/>
                <w:highlight w:val="none"/>
              </w:rPr>
              <w:t>二档（13分）：较准确理解本项目的建设背景、建设目标、建设范围，能够对系统现状、业务需求进行较好的分析，技术方案能满足招标文件要求。</w:t>
            </w:r>
          </w:p>
          <w:p w14:paraId="5EAE40BA">
            <w:pPr>
              <w:spacing w:line="360" w:lineRule="auto"/>
              <w:ind w:firstLine="420" w:firstLineChars="200"/>
              <w:rPr>
                <w:rFonts w:hint="eastAsia" w:ascii="宋体" w:hAnsi="宋体" w:cs="Courier New"/>
                <w:bCs/>
                <w:szCs w:val="21"/>
                <w:highlight w:val="none"/>
              </w:rPr>
            </w:pPr>
            <w:r>
              <w:rPr>
                <w:rFonts w:hint="eastAsia" w:ascii="宋体" w:hAnsi="宋体" w:cs="Courier New"/>
                <w:bCs/>
                <w:szCs w:val="21"/>
                <w:highlight w:val="none"/>
              </w:rPr>
              <w:t>三档（17分）：能准确理解本项目的建设背景、建设目标、建设范围，能够对系统现状、业务需求进行详细的分析，能够对插件功能进行描述，并对插件激活方法进行说明，技术方案能满足招标文件要求。</w:t>
            </w:r>
          </w:p>
        </w:tc>
        <w:tc>
          <w:tcPr>
            <w:tcW w:w="851" w:type="dxa"/>
            <w:noWrap/>
            <w:vAlign w:val="center"/>
          </w:tcPr>
          <w:p w14:paraId="5DF60C95">
            <w:pPr>
              <w:spacing w:line="360" w:lineRule="auto"/>
              <w:jc w:val="center"/>
              <w:rPr>
                <w:rFonts w:hint="eastAsia" w:ascii="宋体" w:hAnsi="宋体" w:cs="Tahoma"/>
                <w:kern w:val="0"/>
                <w:szCs w:val="21"/>
                <w:highlight w:val="none"/>
              </w:rPr>
            </w:pPr>
            <w:r>
              <w:rPr>
                <w:rFonts w:hint="eastAsia" w:ascii="宋体" w:hAnsi="宋体" w:cs="Tahoma"/>
                <w:kern w:val="0"/>
                <w:szCs w:val="21"/>
                <w:highlight w:val="none"/>
              </w:rPr>
              <w:t>17分</w:t>
            </w:r>
          </w:p>
        </w:tc>
      </w:tr>
      <w:tr w14:paraId="500C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0" w:type="dxa"/>
            <w:noWrap/>
            <w:vAlign w:val="center"/>
          </w:tcPr>
          <w:p w14:paraId="0B4E2ABE">
            <w:pPr>
              <w:adjustRightInd w:val="0"/>
              <w:spacing w:line="360" w:lineRule="auto"/>
              <w:ind w:left="-105" w:leftChars="-50" w:right="-105" w:rightChars="-50"/>
              <w:jc w:val="center"/>
              <w:textAlignment w:val="baseline"/>
              <w:rPr>
                <w:rFonts w:hint="eastAsia" w:ascii="宋体" w:hAnsi="宋体"/>
                <w:bCs/>
                <w:kern w:val="0"/>
                <w:szCs w:val="21"/>
                <w:highlight w:val="none"/>
              </w:rPr>
            </w:pPr>
            <w:r>
              <w:rPr>
                <w:rFonts w:hint="eastAsia" w:ascii="宋体" w:hAnsi="宋体"/>
                <w:bCs/>
                <w:kern w:val="0"/>
                <w:szCs w:val="21"/>
                <w:highlight w:val="none"/>
              </w:rPr>
              <w:t>2.3</w:t>
            </w:r>
          </w:p>
        </w:tc>
        <w:tc>
          <w:tcPr>
            <w:tcW w:w="1352" w:type="dxa"/>
            <w:noWrap/>
            <w:vAlign w:val="center"/>
          </w:tcPr>
          <w:p w14:paraId="50CA6668">
            <w:pPr>
              <w:adjustRightInd w:val="0"/>
              <w:spacing w:line="360" w:lineRule="auto"/>
              <w:jc w:val="center"/>
              <w:textAlignment w:val="baseline"/>
              <w:rPr>
                <w:rFonts w:hint="eastAsia" w:ascii="宋体" w:hAnsi="宋体" w:eastAsiaTheme="minorEastAsia"/>
                <w:bCs/>
                <w:kern w:val="0"/>
                <w:szCs w:val="21"/>
                <w:highlight w:val="none"/>
                <w:lang w:eastAsia="zh-CN"/>
              </w:rPr>
            </w:pPr>
            <w:r>
              <w:rPr>
                <w:rFonts w:hint="eastAsia" w:ascii="宋体" w:hAnsi="宋体"/>
                <w:bCs/>
                <w:kern w:val="0"/>
                <w:szCs w:val="21"/>
                <w:highlight w:val="none"/>
              </w:rPr>
              <w:t>实施方案分</w:t>
            </w:r>
          </w:p>
        </w:tc>
        <w:tc>
          <w:tcPr>
            <w:tcW w:w="6187" w:type="dxa"/>
            <w:noWrap/>
            <w:vAlign w:val="center"/>
          </w:tcPr>
          <w:p w14:paraId="7FC78423">
            <w:pPr>
              <w:spacing w:line="360" w:lineRule="auto"/>
              <w:ind w:firstLine="420" w:firstLineChars="200"/>
              <w:rPr>
                <w:rFonts w:hint="eastAsia" w:ascii="宋体" w:hAnsi="宋体" w:cs="Courier New"/>
                <w:bCs/>
                <w:szCs w:val="21"/>
                <w:highlight w:val="none"/>
              </w:rPr>
            </w:pPr>
            <w:r>
              <w:rPr>
                <w:rFonts w:hint="eastAsia" w:ascii="宋体" w:hAnsi="宋体" w:cs="Courier New"/>
                <w:bCs/>
                <w:szCs w:val="21"/>
                <w:highlight w:val="none"/>
              </w:rPr>
              <w:t>一档（1</w:t>
            </w:r>
            <w:r>
              <w:rPr>
                <w:rFonts w:hint="eastAsia" w:ascii="宋体" w:hAnsi="宋体" w:cs="Courier New"/>
                <w:bCs/>
                <w:szCs w:val="21"/>
                <w:highlight w:val="none"/>
                <w:lang w:val="en-US" w:eastAsia="zh-CN"/>
              </w:rPr>
              <w:t>0</w:t>
            </w:r>
            <w:r>
              <w:rPr>
                <w:rFonts w:hint="eastAsia" w:ascii="宋体" w:hAnsi="宋体" w:cs="Courier New"/>
                <w:bCs/>
                <w:szCs w:val="21"/>
                <w:highlight w:val="none"/>
              </w:rPr>
              <w:t>分）：投标人提供有实施管理、实施组织方案、质量保证措施、系统测试、试运行、验收等内容，基本可行，实施过程中安排了相关实施团队人员。</w:t>
            </w:r>
          </w:p>
          <w:p w14:paraId="2425232F">
            <w:pPr>
              <w:spacing w:line="360" w:lineRule="auto"/>
              <w:ind w:firstLine="420" w:firstLineChars="200"/>
              <w:rPr>
                <w:rFonts w:hint="eastAsia" w:ascii="宋体" w:hAnsi="宋体" w:cs="Courier New"/>
                <w:bCs/>
                <w:szCs w:val="21"/>
                <w:highlight w:val="none"/>
              </w:rPr>
            </w:pPr>
            <w:r>
              <w:rPr>
                <w:rFonts w:hint="eastAsia" w:ascii="宋体" w:hAnsi="宋体" w:cs="Courier New"/>
                <w:bCs/>
                <w:szCs w:val="21"/>
                <w:highlight w:val="none"/>
              </w:rPr>
              <w:t>二档（</w:t>
            </w:r>
            <w:r>
              <w:rPr>
                <w:rFonts w:hint="eastAsia" w:ascii="宋体" w:hAnsi="宋体" w:cs="Courier New"/>
                <w:bCs/>
                <w:szCs w:val="21"/>
                <w:highlight w:val="none"/>
                <w:lang w:val="en-US" w:eastAsia="zh-CN"/>
              </w:rPr>
              <w:t>15</w:t>
            </w:r>
            <w:r>
              <w:rPr>
                <w:rFonts w:hint="eastAsia" w:ascii="宋体" w:hAnsi="宋体" w:cs="Courier New"/>
                <w:bCs/>
                <w:szCs w:val="21"/>
                <w:highlight w:val="none"/>
              </w:rPr>
              <w:t>分）：投标人提供可行的实施管理、实施组织方案、质量保证措施、系统测试、试运行、验收、响应时间、故障处理等内容；提供有实施思路，进度安排较为合理全面；实施过程中安排了相关实施团队人员。</w:t>
            </w:r>
          </w:p>
          <w:p w14:paraId="3FC38E47">
            <w:pPr>
              <w:spacing w:line="360" w:lineRule="auto"/>
              <w:ind w:firstLine="420" w:firstLineChars="200"/>
              <w:rPr>
                <w:rFonts w:hint="eastAsia" w:ascii="宋体" w:hAnsi="宋体" w:cs="Courier New"/>
                <w:bCs/>
                <w:szCs w:val="21"/>
                <w:highlight w:val="none"/>
              </w:rPr>
            </w:pPr>
            <w:r>
              <w:rPr>
                <w:rFonts w:hint="eastAsia" w:ascii="宋体" w:hAnsi="宋体" w:cs="Courier New"/>
                <w:bCs/>
                <w:szCs w:val="21"/>
                <w:highlight w:val="none"/>
              </w:rPr>
              <w:t>三档（2</w:t>
            </w:r>
            <w:r>
              <w:rPr>
                <w:rFonts w:hint="eastAsia" w:ascii="宋体" w:hAnsi="宋体" w:cs="Courier New"/>
                <w:bCs/>
                <w:szCs w:val="21"/>
                <w:highlight w:val="none"/>
                <w:lang w:val="en-US" w:eastAsia="zh-CN"/>
              </w:rPr>
              <w:t>0</w:t>
            </w:r>
            <w:r>
              <w:rPr>
                <w:rFonts w:hint="eastAsia" w:ascii="宋体" w:hAnsi="宋体" w:cs="Courier New"/>
                <w:bCs/>
                <w:szCs w:val="21"/>
                <w:highlight w:val="none"/>
              </w:rPr>
              <w:t>分）：投标人提供可行的实施管理、实施组织方案、质量保证措施、系统测试、试运行、验收、响应时间、故障处理等内容；提供有实施思路，进度安排较为合理全面；提供培训方案，培训方式多样，培训内容完整；提供售后服务承诺；实施过程中安排了相关实施团队人员。</w:t>
            </w:r>
          </w:p>
        </w:tc>
        <w:tc>
          <w:tcPr>
            <w:tcW w:w="851" w:type="dxa"/>
            <w:noWrap/>
            <w:vAlign w:val="center"/>
          </w:tcPr>
          <w:p w14:paraId="4C360937">
            <w:pPr>
              <w:spacing w:line="360" w:lineRule="auto"/>
              <w:jc w:val="center"/>
              <w:rPr>
                <w:rFonts w:hint="eastAsia" w:ascii="宋体" w:hAnsi="宋体" w:cs="Tahoma"/>
                <w:kern w:val="0"/>
                <w:szCs w:val="21"/>
                <w:highlight w:val="none"/>
              </w:rPr>
            </w:pPr>
            <w:r>
              <w:rPr>
                <w:rFonts w:hint="eastAsia" w:ascii="宋体" w:hAnsi="宋体" w:cs="Tahoma"/>
                <w:kern w:val="0"/>
                <w:szCs w:val="21"/>
                <w:highlight w:val="none"/>
              </w:rPr>
              <w:t>2</w:t>
            </w:r>
            <w:r>
              <w:rPr>
                <w:rFonts w:hint="eastAsia" w:ascii="宋体" w:hAnsi="宋体" w:cs="Tahoma"/>
                <w:kern w:val="0"/>
                <w:szCs w:val="21"/>
                <w:highlight w:val="none"/>
                <w:lang w:val="en-US" w:eastAsia="zh-CN"/>
              </w:rPr>
              <w:t>0</w:t>
            </w:r>
            <w:r>
              <w:rPr>
                <w:rFonts w:hint="eastAsia" w:ascii="宋体" w:hAnsi="宋体" w:cs="Tahoma"/>
                <w:kern w:val="0"/>
                <w:szCs w:val="21"/>
                <w:highlight w:val="none"/>
              </w:rPr>
              <w:t>分</w:t>
            </w:r>
          </w:p>
        </w:tc>
      </w:tr>
      <w:tr w14:paraId="303F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0" w:type="dxa"/>
            <w:noWrap/>
            <w:vAlign w:val="center"/>
          </w:tcPr>
          <w:p w14:paraId="680F2E6B">
            <w:pPr>
              <w:widowControl/>
              <w:spacing w:line="360" w:lineRule="auto"/>
              <w:jc w:val="center"/>
              <w:rPr>
                <w:rFonts w:hint="eastAsia" w:ascii="宋体" w:hAnsi="宋体" w:cs="Tahoma"/>
                <w:kern w:val="0"/>
                <w:szCs w:val="21"/>
                <w:highlight w:val="none"/>
              </w:rPr>
            </w:pPr>
            <w:r>
              <w:rPr>
                <w:rFonts w:hint="eastAsia" w:ascii="宋体" w:hAnsi="宋体" w:cs="Tahoma"/>
                <w:kern w:val="0"/>
                <w:szCs w:val="21"/>
                <w:highlight w:val="none"/>
              </w:rPr>
              <w:t>3</w:t>
            </w:r>
          </w:p>
        </w:tc>
        <w:tc>
          <w:tcPr>
            <w:tcW w:w="1352" w:type="dxa"/>
            <w:noWrap/>
            <w:vAlign w:val="center"/>
          </w:tcPr>
          <w:p w14:paraId="2974B902">
            <w:pPr>
              <w:widowControl/>
              <w:spacing w:line="360" w:lineRule="auto"/>
              <w:jc w:val="center"/>
              <w:rPr>
                <w:rFonts w:hint="eastAsia" w:ascii="宋体" w:hAnsi="宋体" w:cs="Courier New"/>
                <w:bCs/>
                <w:szCs w:val="21"/>
                <w:highlight w:val="none"/>
              </w:rPr>
            </w:pPr>
            <w:r>
              <w:rPr>
                <w:rFonts w:hint="eastAsia" w:ascii="宋体" w:hAnsi="宋体" w:cs="Courier New"/>
                <w:bCs/>
                <w:szCs w:val="21"/>
                <w:highlight w:val="none"/>
              </w:rPr>
              <w:t>商务分</w:t>
            </w:r>
          </w:p>
          <w:p w14:paraId="7DEA380C">
            <w:pPr>
              <w:widowControl/>
              <w:spacing w:line="360" w:lineRule="auto"/>
              <w:jc w:val="center"/>
              <w:rPr>
                <w:rFonts w:hint="eastAsia" w:ascii="宋体" w:hAnsi="宋体" w:cs="Courier New"/>
                <w:bCs/>
                <w:szCs w:val="21"/>
                <w:highlight w:val="none"/>
              </w:rPr>
            </w:pPr>
            <w:r>
              <w:rPr>
                <w:rFonts w:hint="eastAsia" w:ascii="宋体" w:hAnsi="宋体" w:cs="Courier New"/>
                <w:bCs/>
                <w:szCs w:val="21"/>
                <w:highlight w:val="none"/>
              </w:rPr>
              <w:t>（</w:t>
            </w:r>
            <w:r>
              <w:rPr>
                <w:rFonts w:hint="eastAsia" w:ascii="宋体" w:hAnsi="宋体" w:cs="Courier New"/>
                <w:bCs/>
                <w:szCs w:val="21"/>
                <w:highlight w:val="none"/>
                <w:lang w:val="en-US" w:eastAsia="zh-CN"/>
              </w:rPr>
              <w:t>8</w:t>
            </w:r>
            <w:r>
              <w:rPr>
                <w:rFonts w:hint="eastAsia" w:ascii="宋体" w:hAnsi="宋体" w:cs="Courier New"/>
                <w:bCs/>
                <w:szCs w:val="21"/>
                <w:highlight w:val="none"/>
              </w:rPr>
              <w:t>分）</w:t>
            </w:r>
          </w:p>
        </w:tc>
        <w:tc>
          <w:tcPr>
            <w:tcW w:w="7038" w:type="dxa"/>
            <w:gridSpan w:val="2"/>
            <w:noWrap/>
            <w:vAlign w:val="center"/>
          </w:tcPr>
          <w:p w14:paraId="1D7518A7">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评审因素</w:t>
            </w:r>
          </w:p>
        </w:tc>
      </w:tr>
      <w:tr w14:paraId="66B2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0" w:type="dxa"/>
            <w:noWrap/>
            <w:vAlign w:val="center"/>
          </w:tcPr>
          <w:p w14:paraId="0C80CD53">
            <w:pPr>
              <w:widowControl/>
              <w:spacing w:line="360" w:lineRule="auto"/>
              <w:jc w:val="center"/>
              <w:rPr>
                <w:rFonts w:hint="eastAsia" w:ascii="宋体" w:hAnsi="宋体" w:cs="Tahoma"/>
                <w:kern w:val="0"/>
                <w:szCs w:val="21"/>
                <w:highlight w:val="none"/>
              </w:rPr>
            </w:pPr>
            <w:r>
              <w:rPr>
                <w:rFonts w:hint="eastAsia" w:ascii="宋体" w:hAnsi="宋体"/>
                <w:bCs/>
                <w:kern w:val="0"/>
                <w:szCs w:val="21"/>
                <w:highlight w:val="none"/>
              </w:rPr>
              <w:t>3.1</w:t>
            </w:r>
          </w:p>
        </w:tc>
        <w:tc>
          <w:tcPr>
            <w:tcW w:w="1352" w:type="dxa"/>
            <w:noWrap/>
            <w:vAlign w:val="center"/>
          </w:tcPr>
          <w:p w14:paraId="4451A22C">
            <w:pPr>
              <w:widowControl/>
              <w:jc w:val="center"/>
              <w:textAlignment w:val="center"/>
              <w:rPr>
                <w:rFonts w:hint="eastAsia" w:ascii="宋体" w:hAnsi="宋体" w:cs="宋体" w:eastAsiaTheme="minorEastAsia"/>
                <w:szCs w:val="21"/>
                <w:highlight w:val="none"/>
                <w:lang w:eastAsia="zh-CN"/>
              </w:rPr>
            </w:pPr>
            <w:r>
              <w:rPr>
                <w:rFonts w:hint="eastAsia" w:ascii="宋体" w:hAnsi="宋体"/>
                <w:bCs/>
                <w:kern w:val="0"/>
                <w:szCs w:val="21"/>
                <w:highlight w:val="none"/>
              </w:rPr>
              <w:t>人员配置分</w:t>
            </w:r>
          </w:p>
        </w:tc>
        <w:tc>
          <w:tcPr>
            <w:tcW w:w="6187" w:type="dxa"/>
            <w:noWrap/>
            <w:vAlign w:val="center"/>
          </w:tcPr>
          <w:p w14:paraId="0383880D">
            <w:pPr>
              <w:adjustRightInd w:val="0"/>
              <w:snapToGrid w:val="0"/>
              <w:spacing w:line="360" w:lineRule="auto"/>
              <w:rPr>
                <w:rFonts w:hint="eastAsia" w:hAnsi="宋体" w:cs="Courier New"/>
                <w:bCs/>
                <w:highlight w:val="none"/>
              </w:rPr>
            </w:pPr>
            <w:r>
              <w:rPr>
                <w:rFonts w:hint="eastAsia" w:hAnsi="宋体" w:cs="Courier New"/>
                <w:bCs/>
                <w:highlight w:val="none"/>
              </w:rPr>
              <w:t>（1）</w:t>
            </w:r>
            <w:r>
              <w:rPr>
                <w:rFonts w:hAnsi="宋体" w:cs="Courier New"/>
                <w:bCs/>
                <w:highlight w:val="none"/>
              </w:rPr>
              <w:t>项目经理：具有信息系统项目管理师证书的得</w:t>
            </w:r>
            <w:r>
              <w:rPr>
                <w:rFonts w:hint="eastAsia" w:hAnsi="宋体" w:cs="Courier New"/>
                <w:bCs/>
                <w:highlight w:val="none"/>
              </w:rPr>
              <w:t>1</w:t>
            </w:r>
            <w:r>
              <w:rPr>
                <w:rFonts w:hAnsi="宋体" w:cs="Courier New"/>
                <w:bCs/>
                <w:highlight w:val="none"/>
              </w:rPr>
              <w:t>分。</w:t>
            </w:r>
          </w:p>
          <w:p w14:paraId="0E6646DC">
            <w:pPr>
              <w:adjustRightInd w:val="0"/>
              <w:snapToGrid w:val="0"/>
              <w:spacing w:line="360" w:lineRule="auto"/>
              <w:rPr>
                <w:rFonts w:hAnsi="宋体" w:cs="Courier New"/>
                <w:bCs/>
                <w:highlight w:val="none"/>
              </w:rPr>
            </w:pPr>
            <w:r>
              <w:rPr>
                <w:rFonts w:hint="eastAsia" w:hAnsi="宋体" w:cs="Courier New"/>
                <w:bCs/>
                <w:highlight w:val="none"/>
              </w:rPr>
              <w:t>（2）</w:t>
            </w:r>
            <w:r>
              <w:rPr>
                <w:rFonts w:hAnsi="宋体" w:cs="Courier New"/>
                <w:bCs/>
                <w:highlight w:val="none"/>
              </w:rPr>
              <w:t>项目团队成员（</w:t>
            </w:r>
            <w:r>
              <w:rPr>
                <w:rFonts w:hint="eastAsia" w:hAnsi="宋体" w:cs="Courier New"/>
                <w:bCs/>
                <w:highlight w:val="none"/>
              </w:rPr>
              <w:t>不含</w:t>
            </w:r>
            <w:r>
              <w:rPr>
                <w:rFonts w:hAnsi="宋体" w:cs="Courier New"/>
                <w:bCs/>
                <w:highlight w:val="none"/>
              </w:rPr>
              <w:t>项目经理）</w:t>
            </w:r>
            <w:r>
              <w:rPr>
                <w:rFonts w:hint="eastAsia" w:hAnsi="宋体" w:cs="Courier New"/>
                <w:bCs/>
                <w:highlight w:val="none"/>
              </w:rPr>
              <w:t>中具有系统架构设计师、软件评测师、网络工程师、信息安全工程师国家计算机技术与软件专业技术资格（水平）考试证书的，每本证书得1分，本项最高得2分。</w:t>
            </w:r>
          </w:p>
          <w:p w14:paraId="24183672">
            <w:pPr>
              <w:adjustRightInd w:val="0"/>
              <w:snapToGrid w:val="0"/>
              <w:spacing w:line="360" w:lineRule="auto"/>
              <w:rPr>
                <w:rFonts w:hint="eastAsia" w:hAnsi="宋体" w:cs="Courier New"/>
                <w:bCs/>
                <w:highlight w:val="none"/>
              </w:rPr>
            </w:pPr>
            <w:r>
              <w:rPr>
                <w:rFonts w:hint="eastAsia" w:hAnsi="宋体" w:cs="Courier New"/>
                <w:bCs/>
                <w:highlight w:val="none"/>
              </w:rPr>
              <w:t>注：（1）以上人员提供有效清晰的证书扫描件，并提供供应商为拟投入人员在本单位近半年内连续三个月缴纳社保的证明或劳动合同。（2）一人持有多证按照一本计算，一证多人持有也按一本计算，不按要求提供不予认可。</w:t>
            </w:r>
          </w:p>
        </w:tc>
        <w:tc>
          <w:tcPr>
            <w:tcW w:w="851" w:type="dxa"/>
            <w:noWrap/>
            <w:vAlign w:val="center"/>
          </w:tcPr>
          <w:p w14:paraId="4FED8922">
            <w:pPr>
              <w:widowControl/>
              <w:spacing w:line="360" w:lineRule="auto"/>
              <w:jc w:val="center"/>
              <w:rPr>
                <w:rFonts w:hint="eastAsia" w:ascii="宋体" w:hAnsi="宋体" w:cs="Tahoma"/>
                <w:kern w:val="0"/>
                <w:szCs w:val="21"/>
                <w:highlight w:val="none"/>
              </w:rPr>
            </w:pPr>
            <w:r>
              <w:rPr>
                <w:rFonts w:hint="eastAsia" w:ascii="宋体" w:hAnsi="宋体" w:cs="Tahoma"/>
                <w:kern w:val="0"/>
                <w:szCs w:val="21"/>
                <w:highlight w:val="none"/>
              </w:rPr>
              <w:t>3分</w:t>
            </w:r>
          </w:p>
        </w:tc>
      </w:tr>
      <w:tr w14:paraId="2371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700" w:type="dxa"/>
            <w:noWrap/>
            <w:vAlign w:val="center"/>
          </w:tcPr>
          <w:p w14:paraId="6FFFB1EB">
            <w:pPr>
              <w:widowControl/>
              <w:spacing w:line="360" w:lineRule="auto"/>
              <w:jc w:val="center"/>
              <w:rPr>
                <w:rFonts w:hint="eastAsia" w:ascii="宋体" w:hAnsi="宋体" w:cs="Tahoma"/>
                <w:kern w:val="0"/>
                <w:szCs w:val="21"/>
                <w:highlight w:val="none"/>
              </w:rPr>
            </w:pPr>
            <w:r>
              <w:rPr>
                <w:rFonts w:ascii="宋体" w:hAnsi="宋体" w:cs="Tahoma"/>
                <w:kern w:val="0"/>
                <w:szCs w:val="21"/>
                <w:highlight w:val="none"/>
              </w:rPr>
              <w:t>3.2</w:t>
            </w:r>
          </w:p>
        </w:tc>
        <w:tc>
          <w:tcPr>
            <w:tcW w:w="1352" w:type="dxa"/>
            <w:noWrap/>
            <w:vAlign w:val="center"/>
          </w:tcPr>
          <w:p w14:paraId="3F598AB8">
            <w:pPr>
              <w:widowControl/>
              <w:jc w:val="center"/>
              <w:textAlignment w:val="center"/>
              <w:rPr>
                <w:rFonts w:hint="eastAsia" w:ascii="宋体" w:hAnsi="宋体" w:cs="宋体" w:eastAsiaTheme="minorEastAsia"/>
                <w:szCs w:val="21"/>
                <w:highlight w:val="none"/>
                <w:lang w:eastAsia="zh-CN"/>
              </w:rPr>
            </w:pPr>
            <w:r>
              <w:rPr>
                <w:rFonts w:hint="eastAsia" w:ascii="宋体" w:hAnsi="宋体" w:cs="Courier New"/>
                <w:bCs/>
                <w:szCs w:val="21"/>
                <w:highlight w:val="none"/>
              </w:rPr>
              <w:t>项目业绩分</w:t>
            </w:r>
          </w:p>
        </w:tc>
        <w:tc>
          <w:tcPr>
            <w:tcW w:w="6187" w:type="dxa"/>
            <w:noWrap/>
            <w:vAlign w:val="center"/>
          </w:tcPr>
          <w:p w14:paraId="692B828B">
            <w:pPr>
              <w:spacing w:line="380" w:lineRule="exact"/>
              <w:rPr>
                <w:rFonts w:hint="eastAsia" w:ascii="宋体" w:hAnsi="宋体"/>
                <w:szCs w:val="21"/>
                <w:highlight w:val="none"/>
              </w:rPr>
            </w:pPr>
            <w:r>
              <w:rPr>
                <w:rFonts w:hint="eastAsia" w:ascii="宋体" w:hAnsi="宋体"/>
                <w:szCs w:val="21"/>
                <w:highlight w:val="none"/>
              </w:rPr>
              <w:t>供应商自2023年1月1日以来，投标人具备党政机关综合办公平台实施</w:t>
            </w:r>
            <w:r>
              <w:rPr>
                <w:rFonts w:hint="eastAsia" w:ascii="宋体" w:hAnsi="宋体"/>
                <w:szCs w:val="21"/>
                <w:highlight w:val="none"/>
                <w:lang w:eastAsia="zh-CN"/>
              </w:rPr>
              <w:t>、</w:t>
            </w:r>
            <w:r>
              <w:rPr>
                <w:rFonts w:hint="eastAsia" w:ascii="宋体" w:hAnsi="宋体"/>
                <w:szCs w:val="21"/>
                <w:highlight w:val="none"/>
              </w:rPr>
              <w:t>运维</w:t>
            </w:r>
            <w:r>
              <w:rPr>
                <w:rFonts w:hint="eastAsia" w:ascii="宋体" w:hAnsi="宋体"/>
                <w:szCs w:val="21"/>
                <w:highlight w:val="none"/>
                <w:lang w:eastAsia="zh-CN"/>
              </w:rPr>
              <w:t>、</w:t>
            </w:r>
            <w:r>
              <w:rPr>
                <w:rFonts w:hint="eastAsia" w:ascii="宋体" w:hAnsi="宋体"/>
                <w:szCs w:val="21"/>
                <w:highlight w:val="none"/>
                <w:lang w:val="en-US" w:eastAsia="zh-CN"/>
              </w:rPr>
              <w:t>相关软硬件</w:t>
            </w:r>
            <w:r>
              <w:rPr>
                <w:rFonts w:hint="eastAsia" w:ascii="宋体" w:hAnsi="宋体"/>
                <w:szCs w:val="21"/>
                <w:highlight w:val="none"/>
              </w:rPr>
              <w:t>服务合同（包括封面页、合同内容关键页、签字盖章页）。每提供1个得</w:t>
            </w:r>
            <w:r>
              <w:rPr>
                <w:rFonts w:hint="eastAsia" w:ascii="宋体" w:hAnsi="宋体"/>
                <w:szCs w:val="21"/>
                <w:highlight w:val="none"/>
                <w:lang w:val="en-US" w:eastAsia="zh-CN"/>
              </w:rPr>
              <w:t>1</w:t>
            </w:r>
            <w:r>
              <w:rPr>
                <w:rFonts w:hint="eastAsia" w:ascii="宋体" w:hAnsi="宋体"/>
                <w:szCs w:val="21"/>
                <w:highlight w:val="none"/>
              </w:rPr>
              <w:t>分，不按要求提供不得分，本项满分</w:t>
            </w:r>
            <w:r>
              <w:rPr>
                <w:rFonts w:hint="eastAsia" w:ascii="宋体" w:hAnsi="宋体"/>
                <w:szCs w:val="21"/>
                <w:highlight w:val="none"/>
                <w:lang w:val="en-US" w:eastAsia="zh-CN"/>
              </w:rPr>
              <w:t>5</w:t>
            </w:r>
            <w:r>
              <w:rPr>
                <w:rFonts w:hint="eastAsia" w:ascii="宋体" w:hAnsi="宋体"/>
                <w:szCs w:val="21"/>
                <w:highlight w:val="none"/>
              </w:rPr>
              <w:t>分</w:t>
            </w:r>
            <w:r>
              <w:rPr>
                <w:rFonts w:ascii="宋体" w:hAnsi="宋体"/>
                <w:szCs w:val="21"/>
                <w:highlight w:val="none"/>
              </w:rPr>
              <w:t>。</w:t>
            </w:r>
          </w:p>
          <w:p w14:paraId="453BF632">
            <w:pPr>
              <w:spacing w:line="380" w:lineRule="exact"/>
              <w:rPr>
                <w:rFonts w:hint="eastAsia" w:ascii="宋体" w:hAnsi="宋体"/>
                <w:szCs w:val="21"/>
                <w:highlight w:val="none"/>
              </w:rPr>
            </w:pPr>
            <w:r>
              <w:rPr>
                <w:rFonts w:hint="eastAsia" w:ascii="宋体" w:hAnsi="宋体"/>
                <w:szCs w:val="21"/>
                <w:highlight w:val="none"/>
              </w:rPr>
              <w:t>注：供应商需同时提供中标/成交通知书扫描件或合同扫描件并加盖</w:t>
            </w:r>
            <w:r>
              <w:rPr>
                <w:rFonts w:hint="eastAsia" w:hAnsi="宋体" w:cs="Courier New"/>
                <w:bCs/>
                <w:highlight w:val="none"/>
              </w:rPr>
              <w:t>单位公章</w:t>
            </w:r>
            <w:r>
              <w:rPr>
                <w:rFonts w:hint="eastAsia" w:ascii="宋体" w:hAnsi="宋体"/>
                <w:szCs w:val="21"/>
                <w:highlight w:val="none"/>
              </w:rPr>
              <w:t>。</w:t>
            </w:r>
          </w:p>
        </w:tc>
        <w:tc>
          <w:tcPr>
            <w:tcW w:w="851" w:type="dxa"/>
            <w:noWrap/>
            <w:vAlign w:val="center"/>
          </w:tcPr>
          <w:p w14:paraId="2860C4FE">
            <w:pPr>
              <w:widowControl/>
              <w:spacing w:line="360" w:lineRule="auto"/>
              <w:jc w:val="center"/>
              <w:rPr>
                <w:rFonts w:hint="eastAsia" w:ascii="宋体" w:hAnsi="宋体" w:cs="Tahoma"/>
                <w:kern w:val="0"/>
                <w:szCs w:val="21"/>
                <w:highlight w:val="none"/>
              </w:rPr>
            </w:pPr>
            <w:r>
              <w:rPr>
                <w:rFonts w:hint="eastAsia" w:ascii="宋体" w:hAnsi="宋体" w:cs="Tahoma"/>
                <w:kern w:val="0"/>
                <w:szCs w:val="21"/>
                <w:highlight w:val="none"/>
                <w:lang w:val="en-US" w:eastAsia="zh-CN"/>
              </w:rPr>
              <w:t>5</w:t>
            </w:r>
            <w:r>
              <w:rPr>
                <w:rFonts w:hint="eastAsia" w:ascii="宋体" w:hAnsi="宋体" w:cs="Tahoma"/>
                <w:kern w:val="0"/>
                <w:szCs w:val="21"/>
                <w:highlight w:val="none"/>
              </w:rPr>
              <w:t>分</w:t>
            </w:r>
          </w:p>
        </w:tc>
      </w:tr>
      <w:tr w14:paraId="50B3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90" w:type="dxa"/>
            <w:gridSpan w:val="4"/>
            <w:noWrap/>
          </w:tcPr>
          <w:p w14:paraId="66E3EACA">
            <w:pPr>
              <w:widowControl/>
              <w:jc w:val="center"/>
              <w:rPr>
                <w:rFonts w:hint="eastAsia" w:ascii="宋体" w:hAnsi="宋体" w:cs="宋体"/>
                <w:kern w:val="0"/>
                <w:szCs w:val="21"/>
                <w:highlight w:val="none"/>
              </w:rPr>
            </w:pPr>
            <w:r>
              <w:rPr>
                <w:rFonts w:hint="eastAsia" w:ascii="宋体" w:hAnsi="宋体" w:cs="宋体"/>
                <w:b/>
                <w:sz w:val="24"/>
                <w:highlight w:val="none"/>
              </w:rPr>
              <w:t>总得分＝1＋2＋3</w:t>
            </w:r>
          </w:p>
        </w:tc>
      </w:tr>
      <w:bookmarkEnd w:id="1"/>
    </w:tbl>
    <w:p w14:paraId="0A95B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5A93D2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 xml:space="preserve">八、报价的准备和报价 </w:t>
      </w:r>
    </w:p>
    <w:p w14:paraId="01E5C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（一）报价方应认真审阅本询价采购文件，并按本文件的规定，提交完整的报价文件。</w:t>
      </w:r>
    </w:p>
    <w:p w14:paraId="480FB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（二）报价方应用人民币作报价。</w:t>
      </w:r>
    </w:p>
    <w:p w14:paraId="5BE48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（三）报价文件</w:t>
      </w:r>
    </w:p>
    <w:p w14:paraId="2B33C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1.报价文件应由报价方法定代表签署，如由代理人签字应有法定代表人的授权书，授权书必须有法定代表人的签字并盖章方可生效。报价文件不得涂改，否则报价文件作废。</w:t>
      </w:r>
    </w:p>
    <w:p w14:paraId="28613C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2.报价方资格证明文件视为报价文件不可分割的一部分。</w:t>
      </w:r>
    </w:p>
    <w:p w14:paraId="04C924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3.报价方应将报价文件用信封密封，信封封口处应加贴密封条，密封条应加盖公章或密封章。</w:t>
      </w:r>
    </w:p>
    <w:p w14:paraId="562C3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4.报价方应对报价文件仔细核对和检查，报价后采购方不接收修改报价文件的意见，除非采购方对采购文件某部分内容进行澄清，所有报价方应在规定的时间内书面答复。</w:t>
      </w:r>
    </w:p>
    <w:p w14:paraId="79436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报价时间及地点：报价方请于2026年3月20日上午10：00时前将装订成册的报价文件（一式五份）以信封密封好，送至我局办公室808室（南宁市滨湖路66号公路大厦），报价材料递交联系人：张微，联系电话：0771-2115929，项目联系人：陆银，联系电话：0771-2115580。逾期将拒绝接收报价文件。</w:t>
      </w:r>
    </w:p>
    <w:p w14:paraId="708FC5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（四）签订合同</w:t>
      </w:r>
    </w:p>
    <w:p w14:paraId="1722C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1.成交方应在成交通知书规定的时间内，由法定代表人或委</w:t>
      </w:r>
      <w:bookmarkStart w:id="2" w:name="_GoBack"/>
      <w:bookmarkEnd w:id="2"/>
      <w:r>
        <w:rPr>
          <w:rFonts w:hint="eastAsia" w:ascii="仿宋_GB2312" w:hAnsi="Calibri" w:eastAsia="仿宋_GB2312" w:cs="Times New Roman"/>
          <w:sz w:val="32"/>
          <w:szCs w:val="32"/>
          <w:lang w:val="en-US" w:eastAsia="zh-CN"/>
        </w:rPr>
        <w:t>托代理人到采购单位签订合同。</w:t>
      </w:r>
    </w:p>
    <w:p w14:paraId="27CA17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成交通知书、本询价采购文件和成交方的报价文件是双方签订合同的依据，合同文本应符合国家相关政策要求。成交方在签订合同时对上述文件有异议，不愿遵照执行，将视情节取消成交方的成交资格，以及赔偿采购方的经济损失。</w:t>
      </w:r>
    </w:p>
    <w:p w14:paraId="46DA3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4DF0D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附件：报价文件格式及清单</w:t>
      </w:r>
    </w:p>
    <w:p w14:paraId="5B7F6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2E4DE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0D8D5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0F49F3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543AC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681D7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363BC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6E748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34EEE9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sz w:val="32"/>
          <w:szCs w:val="32"/>
          <w:lang w:val="en-US" w:eastAsia="zh-CN"/>
        </w:rPr>
      </w:pPr>
    </w:p>
    <w:p w14:paraId="60EA8A3F">
      <w:pPr>
        <w:jc w:val="center"/>
        <w:rPr>
          <w:rFonts w:ascii="仿宋_GB2312" w:eastAsia="仿宋_GB2312"/>
          <w:b/>
          <w:sz w:val="28"/>
          <w:szCs w:val="28"/>
        </w:rPr>
      </w:pPr>
      <w:r>
        <w:rPr>
          <w:rFonts w:hint="eastAsia" w:ascii="仿宋_GB2312" w:eastAsia="仿宋_GB2312"/>
          <w:b/>
          <w:sz w:val="28"/>
          <w:szCs w:val="28"/>
        </w:rPr>
        <w:t>报价文件格式</w:t>
      </w:r>
    </w:p>
    <w:p w14:paraId="20C66D7A">
      <w:pPr>
        <w:rPr>
          <w:rFonts w:hint="eastAsia" w:ascii="仿宋_GB2312" w:hAnsi="宋体" w:eastAsia="仿宋_GB2312"/>
          <w:b/>
          <w:sz w:val="28"/>
          <w:szCs w:val="21"/>
        </w:rPr>
      </w:pPr>
      <w:r>
        <w:rPr>
          <w:rFonts w:hint="eastAsia" w:ascii="仿宋_GB2312" w:hAnsi="宋体" w:eastAsia="仿宋_GB2312"/>
          <w:b/>
          <w:sz w:val="28"/>
          <w:szCs w:val="21"/>
        </w:rPr>
        <w:t>一、声明书</w:t>
      </w:r>
    </w:p>
    <w:p w14:paraId="7762ABF2">
      <w:pPr>
        <w:rPr>
          <w:rFonts w:hint="eastAsia" w:ascii="仿宋_GB2312" w:hAnsi="宋体" w:eastAsia="仿宋_GB2312"/>
          <w:b/>
          <w:sz w:val="28"/>
          <w:szCs w:val="21"/>
        </w:rPr>
      </w:pPr>
      <w:r>
        <w:rPr>
          <w:rFonts w:hint="eastAsia" w:ascii="仿宋_GB2312" w:hAnsi="宋体" w:eastAsia="仿宋_GB2312"/>
          <w:b/>
          <w:sz w:val="28"/>
          <w:szCs w:val="21"/>
        </w:rPr>
        <w:t>二、服务方案</w:t>
      </w:r>
    </w:p>
    <w:p w14:paraId="1F6B5FD2">
      <w:pPr>
        <w:rPr>
          <w:rFonts w:hint="eastAsia" w:ascii="仿宋_GB2312" w:hAnsi="宋体" w:eastAsia="仿宋_GB2312"/>
          <w:b/>
          <w:sz w:val="28"/>
          <w:szCs w:val="21"/>
        </w:rPr>
      </w:pPr>
      <w:r>
        <w:rPr>
          <w:rFonts w:hint="eastAsia" w:ascii="仿宋_GB2312" w:hAnsi="宋体" w:eastAsia="仿宋_GB2312"/>
          <w:b/>
          <w:sz w:val="28"/>
          <w:szCs w:val="21"/>
        </w:rPr>
        <w:t>三、报价表</w:t>
      </w:r>
    </w:p>
    <w:p w14:paraId="7547CD55">
      <w:pPr>
        <w:rPr>
          <w:rFonts w:hint="eastAsia" w:ascii="仿宋_GB2312" w:hAnsi="宋体" w:eastAsia="仿宋_GB2312"/>
          <w:b/>
          <w:sz w:val="28"/>
          <w:szCs w:val="21"/>
        </w:rPr>
      </w:pPr>
      <w:r>
        <w:rPr>
          <w:rFonts w:hint="eastAsia" w:ascii="仿宋_GB2312" w:hAnsi="宋体" w:eastAsia="仿宋_GB2312"/>
          <w:b/>
          <w:sz w:val="28"/>
          <w:szCs w:val="21"/>
        </w:rPr>
        <w:t>四</w:t>
      </w:r>
      <w:r>
        <w:rPr>
          <w:rFonts w:ascii="仿宋_GB2312" w:hAnsi="宋体" w:eastAsia="仿宋_GB2312"/>
          <w:b/>
          <w:sz w:val="28"/>
          <w:szCs w:val="21"/>
        </w:rPr>
        <w:t>、</w:t>
      </w:r>
      <w:r>
        <w:rPr>
          <w:rFonts w:hint="eastAsia" w:ascii="仿宋_GB2312" w:hAnsi="宋体" w:eastAsia="仿宋_GB2312"/>
          <w:b/>
          <w:sz w:val="28"/>
          <w:szCs w:val="21"/>
        </w:rPr>
        <w:t>营业执照复印件</w:t>
      </w:r>
    </w:p>
    <w:p w14:paraId="5E9D321C">
      <w:pPr>
        <w:rPr>
          <w:rFonts w:hint="eastAsia" w:ascii="仿宋_GB2312" w:hAnsi="宋体" w:eastAsia="仿宋_GB2312"/>
          <w:b/>
          <w:sz w:val="28"/>
          <w:szCs w:val="21"/>
        </w:rPr>
      </w:pPr>
      <w:r>
        <w:rPr>
          <w:rFonts w:hint="eastAsia" w:ascii="仿宋_GB2312" w:hAnsi="宋体" w:eastAsia="仿宋_GB2312"/>
          <w:b/>
          <w:sz w:val="28"/>
          <w:szCs w:val="21"/>
        </w:rPr>
        <w:t>五、法定代表人授权书（如非法定代表人报价请提供）</w:t>
      </w:r>
    </w:p>
    <w:p w14:paraId="4F983C4E">
      <w:pPr>
        <w:rPr>
          <w:rFonts w:hint="eastAsia" w:ascii="仿宋_GB2312" w:hAnsi="宋体" w:eastAsia="仿宋_GB2312"/>
          <w:b/>
          <w:sz w:val="28"/>
          <w:szCs w:val="21"/>
          <w:highlight w:val="none"/>
        </w:rPr>
      </w:pPr>
      <w:r>
        <w:rPr>
          <w:rFonts w:hint="eastAsia" w:ascii="仿宋_GB2312" w:hAnsi="宋体" w:eastAsia="仿宋_GB2312"/>
          <w:b/>
          <w:sz w:val="28"/>
          <w:szCs w:val="21"/>
          <w:highlight w:val="none"/>
        </w:rPr>
        <w:t>六、相关业绩证明材料</w:t>
      </w:r>
    </w:p>
    <w:p w14:paraId="090B1126">
      <w:pPr>
        <w:rPr>
          <w:rFonts w:hint="eastAsia" w:ascii="仿宋_GB2312" w:hAnsi="宋体" w:eastAsia="仿宋_GB2312"/>
          <w:b/>
          <w:sz w:val="28"/>
          <w:szCs w:val="21"/>
          <w:highlight w:val="none"/>
          <w:lang w:val="en-US" w:eastAsia="zh-CN"/>
        </w:rPr>
      </w:pPr>
      <w:r>
        <w:rPr>
          <w:rFonts w:hint="eastAsia" w:ascii="仿宋_GB2312" w:hAnsi="宋体" w:eastAsia="仿宋_GB2312"/>
          <w:b/>
          <w:sz w:val="28"/>
          <w:szCs w:val="21"/>
          <w:highlight w:val="none"/>
          <w:lang w:val="en-US" w:eastAsia="zh-CN"/>
        </w:rPr>
        <w:t>七、针对本次采购的原厂授权文件</w:t>
      </w:r>
    </w:p>
    <w:p w14:paraId="18F2DED1">
      <w:pPr>
        <w:rPr>
          <w:rFonts w:hint="eastAsia" w:ascii="仿宋_GB2312" w:hAnsi="宋体" w:eastAsia="仿宋_GB2312"/>
          <w:b/>
          <w:sz w:val="28"/>
          <w:szCs w:val="21"/>
          <w:highlight w:val="none"/>
          <w:lang w:val="en-US" w:eastAsia="zh-CN"/>
        </w:rPr>
      </w:pPr>
      <w:r>
        <w:rPr>
          <w:rFonts w:hint="eastAsia" w:ascii="仿宋_GB2312" w:hAnsi="宋体" w:eastAsia="仿宋_GB2312"/>
          <w:b/>
          <w:sz w:val="28"/>
          <w:szCs w:val="21"/>
          <w:highlight w:val="none"/>
          <w:lang w:val="en-US" w:eastAsia="zh-CN"/>
        </w:rPr>
        <w:t>八、投标单位入围政采云平台的截图证明；</w:t>
      </w:r>
    </w:p>
    <w:p w14:paraId="1E4E57E7">
      <w:pPr>
        <w:rPr>
          <w:rFonts w:hint="eastAsia" w:ascii="仿宋_GB2312" w:hAnsi="宋体" w:eastAsia="仿宋_GB2312"/>
          <w:b/>
          <w:sz w:val="28"/>
          <w:szCs w:val="21"/>
          <w:highlight w:val="none"/>
        </w:rPr>
      </w:pPr>
      <w:r>
        <w:rPr>
          <w:rFonts w:hint="eastAsia" w:ascii="仿宋_GB2312" w:hAnsi="宋体" w:eastAsia="仿宋_GB2312"/>
          <w:b/>
          <w:sz w:val="28"/>
          <w:szCs w:val="21"/>
          <w:highlight w:val="none"/>
          <w:lang w:val="en-US" w:eastAsia="zh-CN"/>
        </w:rPr>
        <w:t>九</w:t>
      </w:r>
      <w:r>
        <w:rPr>
          <w:rFonts w:hint="eastAsia" w:ascii="仿宋_GB2312" w:hAnsi="宋体" w:eastAsia="仿宋_GB2312"/>
          <w:b/>
          <w:sz w:val="28"/>
          <w:szCs w:val="21"/>
          <w:highlight w:val="none"/>
        </w:rPr>
        <w:t>、其他需要提供的材料</w:t>
      </w:r>
    </w:p>
    <w:p w14:paraId="75B2F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2E56A7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3E19FB55">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61282E4F">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74667F16">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298D564D">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5301971E">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59200045">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050EDDC9">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05F6271F">
      <w:pPr>
        <w:spacing w:line="240" w:lineRule="atLeast"/>
        <w:ind w:right="-317" w:rightChars="-151"/>
        <w:jc w:val="center"/>
        <w:rPr>
          <w:rFonts w:hint="eastAsia" w:ascii="仿宋_GB2312" w:hAnsi="楷体" w:eastAsia="仿宋_GB2312"/>
          <w:b/>
          <w:sz w:val="32"/>
          <w:szCs w:val="32"/>
        </w:rPr>
      </w:pPr>
      <w:r>
        <w:rPr>
          <w:rFonts w:hint="eastAsia" w:ascii="仿宋_GB2312" w:hAnsi="楷体" w:eastAsia="仿宋_GB2312"/>
          <w:b/>
          <w:sz w:val="32"/>
          <w:szCs w:val="32"/>
        </w:rPr>
        <w:t>声明书</w:t>
      </w:r>
    </w:p>
    <w:p w14:paraId="44C3DA6A">
      <w:pPr>
        <w:spacing w:line="240" w:lineRule="atLeast"/>
        <w:ind w:right="-317" w:rightChars="-151"/>
        <w:jc w:val="center"/>
        <w:rPr>
          <w:rFonts w:hint="eastAsia" w:ascii="仿宋_GB2312" w:hAnsi="楷体" w:eastAsia="仿宋_GB2312"/>
          <w:b/>
          <w:sz w:val="32"/>
          <w:szCs w:val="32"/>
        </w:rPr>
      </w:pPr>
    </w:p>
    <w:p w14:paraId="4F4792B9">
      <w:pPr>
        <w:spacing w:line="360" w:lineRule="auto"/>
        <w:rPr>
          <w:rFonts w:hint="eastAsia" w:ascii="仿宋_GB2312" w:hAnsi="宋体" w:eastAsia="仿宋_GB2312"/>
          <w:sz w:val="24"/>
        </w:rPr>
      </w:pPr>
      <w:r>
        <w:rPr>
          <w:rFonts w:hint="eastAsia" w:ascii="仿宋_GB2312" w:hAnsi="宋体" w:eastAsia="仿宋_GB2312"/>
          <w:sz w:val="24"/>
        </w:rPr>
        <w:t>广西壮族自治区交通运输综合行政执法局：</w:t>
      </w:r>
    </w:p>
    <w:p w14:paraId="07D4A178">
      <w:pPr>
        <w:spacing w:line="360" w:lineRule="auto"/>
        <w:ind w:firstLine="480" w:firstLineChars="200"/>
        <w:rPr>
          <w:rFonts w:hint="eastAsia" w:ascii="仿宋_GB2312" w:hAnsi="宋体" w:eastAsia="仿宋_GB2312" w:cs="仿宋_GB2312"/>
          <w:sz w:val="24"/>
          <w:u w:val="single"/>
        </w:rPr>
      </w:pPr>
      <w:r>
        <w:rPr>
          <w:rFonts w:hint="eastAsia" w:ascii="仿宋_GB2312" w:hAnsi="宋体" w:eastAsia="仿宋_GB2312" w:cs="仿宋_GB2312"/>
          <w:sz w:val="24"/>
        </w:rPr>
        <w:t>依据贵方</w:t>
      </w:r>
      <w:r>
        <w:rPr>
          <w:rFonts w:hint="eastAsia" w:ascii="仿宋_GB2312" w:hAnsi="宋体" w:eastAsia="仿宋_GB2312" w:cs="仿宋_GB2312"/>
          <w:sz w:val="24"/>
          <w:lang w:val="en-US" w:eastAsia="zh-CN"/>
        </w:rPr>
        <w:t xml:space="preserve"> </w:t>
      </w:r>
      <w:r>
        <w:rPr>
          <w:rFonts w:hint="eastAsia" w:ascii="仿宋_GB2312" w:hAnsi="宋体" w:eastAsia="仿宋_GB2312" w:cs="仿宋_GB2312"/>
          <w:sz w:val="24"/>
          <w:u w:val="single"/>
          <w:lang w:val="en-US" w:eastAsia="zh-CN"/>
        </w:rPr>
        <w:t xml:space="preserve">             （项目名称）</w:t>
      </w:r>
      <w:r>
        <w:rPr>
          <w:rFonts w:hint="eastAsia" w:ascii="仿宋_GB2312" w:hAnsi="宋体" w:eastAsia="仿宋_GB2312" w:cs="仿宋_GB2312"/>
          <w:sz w:val="24"/>
        </w:rPr>
        <w:t>的询价采购邀请，我方</w:t>
      </w:r>
      <w:r>
        <w:rPr>
          <w:rFonts w:hint="eastAsia" w:ascii="仿宋_GB2312" w:hAnsi="宋体" w:eastAsia="仿宋_GB2312" w:cs="仿宋_GB2312"/>
          <w:sz w:val="24"/>
          <w:u w:val="single"/>
        </w:rPr>
        <w:t xml:space="preserve">（委托代理人名字）    </w:t>
      </w:r>
      <w:r>
        <w:rPr>
          <w:rFonts w:hint="eastAsia" w:ascii="仿宋_GB2312" w:hAnsi="宋体" w:eastAsia="仿宋_GB2312" w:cs="仿宋_GB2312"/>
          <w:sz w:val="24"/>
        </w:rPr>
        <w:t>经正式授权并代表报价方</w:t>
      </w:r>
      <w:r>
        <w:rPr>
          <w:rFonts w:hint="eastAsia" w:ascii="仿宋_GB2312" w:hAnsi="宋体" w:eastAsia="仿宋_GB2312" w:cs="仿宋_GB2312"/>
          <w:sz w:val="24"/>
          <w:u w:val="single"/>
        </w:rPr>
        <w:t xml:space="preserve">      （名称）</w:t>
      </w:r>
      <w:r>
        <w:rPr>
          <w:rFonts w:hint="eastAsia" w:ascii="仿宋_GB2312" w:hAnsi="宋体" w:eastAsia="仿宋_GB2312"/>
          <w:sz w:val="24"/>
        </w:rPr>
        <w:t>提交“报价文件”正本一份，副本一份。</w:t>
      </w:r>
    </w:p>
    <w:p w14:paraId="03433F68">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在此，授权代表宣布同意如下：</w:t>
      </w:r>
    </w:p>
    <w:p w14:paraId="45E41ED8">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1.报价方已详细审查“采购文件”，已经了解我方对于采购文件、采购过程、采购结果有依法进行询问、质疑、投诉的权利及相关渠道和要求。</w:t>
      </w:r>
    </w:p>
    <w:p w14:paraId="5B8028CC">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2.报价方在报价之前已经与采购方进行了充分的沟通，完全理解并接受采购文件的各项规定和要求，对采购文件的合理性、合法性不再有异议。</w:t>
      </w:r>
    </w:p>
    <w:p w14:paraId="5EAA1344">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3.本报价有效期自开标日起</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个自然日。</w:t>
      </w:r>
    </w:p>
    <w:p w14:paraId="3DB20CE4">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4.如成交，本报价文件至本项目合同履行完毕止均保持有效，报价方将按“采购文件”及政府采购法律、法规的规定履行合同责任和义务。</w:t>
      </w:r>
    </w:p>
    <w:p w14:paraId="72A563F6">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5.报价方同意按照采购方要求提供与报价有关的一切数据或资料。</w:t>
      </w:r>
    </w:p>
    <w:p w14:paraId="4DF8CC1A">
      <w:pPr>
        <w:ind w:firstLine="5400" w:firstLineChars="2250"/>
        <w:rPr>
          <w:rFonts w:hint="eastAsia" w:ascii="仿宋_GB2312" w:hAnsi="宋体" w:eastAsia="仿宋_GB2312"/>
          <w:sz w:val="24"/>
        </w:rPr>
      </w:pPr>
    </w:p>
    <w:p w14:paraId="5CBAE579">
      <w:pPr>
        <w:ind w:firstLine="5400" w:firstLineChars="2250"/>
        <w:rPr>
          <w:rFonts w:hint="eastAsia" w:ascii="仿宋_GB2312" w:hAnsi="宋体" w:eastAsia="仿宋_GB2312"/>
          <w:sz w:val="24"/>
        </w:rPr>
      </w:pPr>
    </w:p>
    <w:p w14:paraId="09023F9B">
      <w:pPr>
        <w:ind w:firstLine="5400" w:firstLineChars="2250"/>
        <w:rPr>
          <w:rFonts w:hint="eastAsia" w:ascii="仿宋_GB2312" w:hAnsi="宋体" w:eastAsia="仿宋_GB2312"/>
          <w:sz w:val="24"/>
        </w:rPr>
      </w:pPr>
    </w:p>
    <w:p w14:paraId="364EDF52">
      <w:pPr>
        <w:ind w:firstLine="5400" w:firstLineChars="2250"/>
        <w:rPr>
          <w:rFonts w:hint="eastAsia" w:ascii="仿宋_GB2312" w:hAnsi="宋体" w:eastAsia="仿宋_GB2312"/>
          <w:sz w:val="24"/>
        </w:rPr>
      </w:pPr>
      <w:r>
        <w:rPr>
          <w:rFonts w:hint="eastAsia" w:ascii="仿宋_GB2312" w:hAnsi="宋体" w:eastAsia="仿宋_GB2312"/>
          <w:sz w:val="24"/>
        </w:rPr>
        <w:t>日期：        年   月  日</w:t>
      </w:r>
    </w:p>
    <w:p w14:paraId="0ADA279B">
      <w:pPr>
        <w:spacing w:line="360" w:lineRule="auto"/>
        <w:rPr>
          <w:rFonts w:hint="eastAsia" w:ascii="仿宋_GB2312" w:hAnsi="宋体" w:eastAsia="仿宋_GB2312"/>
          <w:sz w:val="24"/>
        </w:rPr>
      </w:pPr>
    </w:p>
    <w:p w14:paraId="6E2E1E7A">
      <w:pPr>
        <w:spacing w:line="360" w:lineRule="auto"/>
        <w:rPr>
          <w:rFonts w:hint="eastAsia" w:ascii="仿宋_GB2312" w:hAnsi="宋体" w:eastAsia="仿宋_GB2312"/>
          <w:sz w:val="24"/>
        </w:rPr>
      </w:pPr>
    </w:p>
    <w:p w14:paraId="7A541EDC">
      <w:pPr>
        <w:spacing w:line="360" w:lineRule="auto"/>
        <w:rPr>
          <w:rFonts w:hint="eastAsia" w:ascii="仿宋_GB2312" w:hAnsi="宋体" w:eastAsia="仿宋_GB2312"/>
          <w:sz w:val="24"/>
        </w:rPr>
      </w:pPr>
    </w:p>
    <w:p w14:paraId="0830D789">
      <w:pPr>
        <w:spacing w:line="360" w:lineRule="auto"/>
        <w:rPr>
          <w:rFonts w:hint="eastAsia" w:ascii="仿宋_GB2312" w:hAnsi="宋体" w:eastAsia="仿宋_GB2312"/>
          <w:sz w:val="24"/>
        </w:rPr>
      </w:pPr>
    </w:p>
    <w:p w14:paraId="54C94EC0">
      <w:pPr>
        <w:spacing w:line="360" w:lineRule="auto"/>
        <w:rPr>
          <w:rFonts w:hint="eastAsia" w:ascii="仿宋_GB2312" w:hAnsi="宋体" w:eastAsia="仿宋_GB2312"/>
          <w:sz w:val="24"/>
        </w:rPr>
      </w:pPr>
      <w:r>
        <w:rPr>
          <w:rFonts w:hint="eastAsia" w:ascii="仿宋_GB2312" w:hAnsi="宋体" w:eastAsia="仿宋_GB2312"/>
          <w:sz w:val="24"/>
        </w:rPr>
        <w:t>报价方法定代表人或委托代理人签字：</w:t>
      </w:r>
    </w:p>
    <w:p w14:paraId="49DF0D7E">
      <w:pPr>
        <w:spacing w:line="360" w:lineRule="auto"/>
        <w:rPr>
          <w:rFonts w:hint="eastAsia" w:ascii="仿宋_GB2312" w:hAnsi="宋体" w:eastAsia="仿宋_GB2312"/>
          <w:sz w:val="24"/>
          <w:u w:val="single"/>
        </w:rPr>
      </w:pPr>
      <w:r>
        <w:rPr>
          <w:rFonts w:hint="eastAsia" w:ascii="仿宋_GB2312" w:hAnsi="宋体" w:eastAsia="仿宋_GB2312"/>
          <w:sz w:val="24"/>
        </w:rPr>
        <w:t>报价方名称（公章）：</w:t>
      </w:r>
    </w:p>
    <w:p w14:paraId="0D156A47">
      <w:pPr>
        <w:spacing w:line="360" w:lineRule="auto"/>
        <w:rPr>
          <w:rFonts w:hint="eastAsia" w:ascii="仿宋_GB2312" w:hAnsi="宋体" w:eastAsia="仿宋_GB2312"/>
          <w:sz w:val="24"/>
          <w:u w:val="single"/>
        </w:rPr>
      </w:pPr>
      <w:r>
        <w:rPr>
          <w:rFonts w:hint="eastAsia" w:ascii="仿宋_GB2312" w:hAnsi="宋体" w:eastAsia="仿宋_GB2312"/>
          <w:sz w:val="24"/>
        </w:rPr>
        <w:t>开户名称：</w:t>
      </w:r>
    </w:p>
    <w:p w14:paraId="099ACE8F">
      <w:pPr>
        <w:pStyle w:val="4"/>
        <w:spacing w:line="360" w:lineRule="auto"/>
        <w:rPr>
          <w:rFonts w:hint="eastAsia" w:ascii="仿宋_GB2312" w:hAnsi="宋体" w:eastAsia="仿宋_GB2312" w:cs="宋体"/>
          <w:sz w:val="24"/>
          <w:szCs w:val="24"/>
          <w:u w:val="single"/>
        </w:rPr>
      </w:pPr>
      <w:r>
        <w:rPr>
          <w:rFonts w:hint="eastAsia" w:ascii="仿宋_GB2312" w:hAnsi="宋体" w:eastAsia="仿宋_GB2312"/>
          <w:sz w:val="24"/>
          <w:szCs w:val="24"/>
        </w:rPr>
        <w:t>开户银行：</w:t>
      </w:r>
    </w:p>
    <w:p w14:paraId="12F2F03C">
      <w:pPr>
        <w:spacing w:line="240" w:lineRule="atLeast"/>
        <w:ind w:right="-317" w:rightChars="-151"/>
        <w:rPr>
          <w:rFonts w:hint="eastAsia" w:ascii="仿宋_GB2312" w:hAnsi="宋体" w:eastAsia="仿宋_GB2312"/>
          <w:b/>
          <w:sz w:val="28"/>
          <w:szCs w:val="21"/>
        </w:rPr>
      </w:pPr>
      <w:r>
        <w:rPr>
          <w:rFonts w:hint="eastAsia" w:ascii="仿宋_GB2312" w:hAnsi="宋体" w:eastAsia="仿宋_GB2312"/>
          <w:sz w:val="24"/>
        </w:rPr>
        <w:t>账    号：</w:t>
      </w:r>
      <w:r>
        <w:rPr>
          <w:rFonts w:hint="eastAsia" w:ascii="仿宋_GB2312" w:hAnsi="宋体" w:eastAsia="仿宋_GB2312"/>
          <w:b/>
          <w:sz w:val="28"/>
          <w:szCs w:val="21"/>
        </w:rPr>
        <w:t xml:space="preserve"> </w:t>
      </w:r>
    </w:p>
    <w:p w14:paraId="782F94F3">
      <w:pPr>
        <w:spacing w:line="240" w:lineRule="atLeast"/>
        <w:ind w:right="-317" w:rightChars="-151"/>
        <w:jc w:val="both"/>
        <w:rPr>
          <w:rFonts w:hint="eastAsia" w:ascii="仿宋_GB2312" w:hAnsi="宋体" w:eastAsia="仿宋_GB2312"/>
          <w:b/>
          <w:sz w:val="28"/>
          <w:szCs w:val="21"/>
        </w:rPr>
      </w:pPr>
    </w:p>
    <w:p w14:paraId="08BBF9E6">
      <w:pPr>
        <w:spacing w:line="240" w:lineRule="atLeast"/>
        <w:ind w:right="-317" w:rightChars="-151"/>
        <w:jc w:val="center"/>
        <w:rPr>
          <w:rFonts w:hint="eastAsia" w:ascii="仿宋_GB2312" w:hAnsi="楷体" w:eastAsia="仿宋_GB2312"/>
          <w:b/>
          <w:sz w:val="32"/>
          <w:szCs w:val="32"/>
        </w:rPr>
      </w:pPr>
      <w:r>
        <w:rPr>
          <w:rFonts w:hint="eastAsia" w:ascii="仿宋_GB2312" w:hAnsi="楷体" w:eastAsia="仿宋_GB2312"/>
          <w:b/>
          <w:sz w:val="32"/>
          <w:szCs w:val="32"/>
        </w:rPr>
        <w:t>服务方案</w:t>
      </w:r>
    </w:p>
    <w:p w14:paraId="2E6EB310">
      <w:pPr>
        <w:spacing w:line="240" w:lineRule="atLeast"/>
        <w:ind w:right="-317" w:rightChars="-151"/>
        <w:jc w:val="center"/>
        <w:rPr>
          <w:rFonts w:hint="eastAsia" w:ascii="仿宋_GB2312" w:hAnsi="楷体" w:eastAsia="仿宋_GB2312"/>
          <w:b/>
          <w:sz w:val="32"/>
          <w:szCs w:val="32"/>
        </w:rPr>
      </w:pPr>
    </w:p>
    <w:p w14:paraId="67D843BA">
      <w:pPr>
        <w:spacing w:line="240" w:lineRule="atLeast"/>
        <w:ind w:right="-317" w:rightChars="-151"/>
        <w:jc w:val="center"/>
        <w:rPr>
          <w:rFonts w:hint="eastAsia" w:ascii="仿宋_GB2312" w:hAnsi="楷体" w:eastAsia="仿宋_GB2312"/>
          <w:b/>
          <w:sz w:val="32"/>
          <w:szCs w:val="32"/>
        </w:rPr>
      </w:pPr>
    </w:p>
    <w:p w14:paraId="6EAB2B62">
      <w:pPr>
        <w:spacing w:line="240" w:lineRule="atLeast"/>
        <w:ind w:right="-317" w:rightChars="-151"/>
        <w:jc w:val="center"/>
        <w:rPr>
          <w:rFonts w:hint="eastAsia" w:ascii="仿宋_GB2312" w:hAnsi="楷体" w:eastAsia="仿宋_GB2312"/>
          <w:b/>
          <w:sz w:val="32"/>
          <w:szCs w:val="32"/>
        </w:rPr>
      </w:pPr>
    </w:p>
    <w:p w14:paraId="37AC2F43">
      <w:pPr>
        <w:spacing w:line="240" w:lineRule="atLeast"/>
        <w:ind w:right="-317" w:rightChars="-151"/>
        <w:jc w:val="center"/>
        <w:rPr>
          <w:rFonts w:hint="eastAsia" w:ascii="仿宋_GB2312" w:hAnsi="楷体" w:eastAsia="仿宋_GB2312"/>
          <w:b/>
          <w:sz w:val="32"/>
          <w:szCs w:val="32"/>
        </w:rPr>
      </w:pPr>
    </w:p>
    <w:p w14:paraId="639DDD1A">
      <w:pPr>
        <w:spacing w:line="240" w:lineRule="atLeast"/>
        <w:ind w:right="-317" w:rightChars="-151"/>
        <w:jc w:val="center"/>
        <w:rPr>
          <w:rFonts w:hint="eastAsia" w:ascii="仿宋_GB2312" w:hAnsi="楷体" w:eastAsia="仿宋_GB2312"/>
          <w:b/>
          <w:sz w:val="32"/>
          <w:szCs w:val="32"/>
        </w:rPr>
      </w:pPr>
    </w:p>
    <w:p w14:paraId="3A381E64">
      <w:pPr>
        <w:spacing w:line="240" w:lineRule="atLeast"/>
        <w:ind w:right="-317" w:rightChars="-151"/>
        <w:jc w:val="center"/>
        <w:rPr>
          <w:rFonts w:hint="eastAsia" w:ascii="仿宋_GB2312" w:hAnsi="楷体" w:eastAsia="仿宋_GB2312"/>
          <w:b/>
          <w:sz w:val="32"/>
          <w:szCs w:val="32"/>
        </w:rPr>
      </w:pPr>
    </w:p>
    <w:p w14:paraId="15F2A40B">
      <w:pPr>
        <w:spacing w:line="240" w:lineRule="atLeast"/>
        <w:ind w:right="-317" w:rightChars="-151"/>
        <w:jc w:val="center"/>
        <w:rPr>
          <w:rFonts w:hint="eastAsia" w:ascii="仿宋_GB2312" w:hAnsi="楷体" w:eastAsia="仿宋_GB2312"/>
          <w:b/>
          <w:sz w:val="32"/>
          <w:szCs w:val="32"/>
        </w:rPr>
      </w:pPr>
    </w:p>
    <w:p w14:paraId="188BF8F0">
      <w:pPr>
        <w:spacing w:line="240" w:lineRule="atLeast"/>
        <w:ind w:right="-317" w:rightChars="-151"/>
        <w:jc w:val="center"/>
        <w:rPr>
          <w:rFonts w:hint="eastAsia" w:ascii="仿宋_GB2312" w:hAnsi="楷体" w:eastAsia="仿宋_GB2312"/>
          <w:b/>
          <w:sz w:val="32"/>
          <w:szCs w:val="32"/>
        </w:rPr>
      </w:pPr>
    </w:p>
    <w:p w14:paraId="4CD9D8D7">
      <w:pPr>
        <w:spacing w:line="240" w:lineRule="atLeast"/>
        <w:ind w:right="-317" w:rightChars="-151"/>
        <w:jc w:val="center"/>
        <w:rPr>
          <w:rFonts w:hint="eastAsia" w:ascii="仿宋_GB2312" w:hAnsi="楷体" w:eastAsia="仿宋_GB2312"/>
          <w:b/>
          <w:sz w:val="32"/>
          <w:szCs w:val="32"/>
        </w:rPr>
      </w:pPr>
    </w:p>
    <w:p w14:paraId="5C609F26">
      <w:pPr>
        <w:spacing w:line="240" w:lineRule="atLeast"/>
        <w:ind w:right="-317" w:rightChars="-151"/>
        <w:jc w:val="center"/>
        <w:rPr>
          <w:rFonts w:hint="eastAsia" w:ascii="仿宋_GB2312" w:hAnsi="楷体" w:eastAsia="仿宋_GB2312"/>
          <w:b/>
          <w:sz w:val="32"/>
          <w:szCs w:val="32"/>
        </w:rPr>
      </w:pPr>
    </w:p>
    <w:p w14:paraId="01C655FE">
      <w:pPr>
        <w:spacing w:line="240" w:lineRule="atLeast"/>
        <w:ind w:right="-317" w:rightChars="-151"/>
        <w:jc w:val="center"/>
        <w:rPr>
          <w:rFonts w:hint="eastAsia" w:ascii="仿宋_GB2312" w:hAnsi="楷体" w:eastAsia="仿宋_GB2312"/>
          <w:b/>
          <w:sz w:val="32"/>
          <w:szCs w:val="32"/>
        </w:rPr>
      </w:pPr>
    </w:p>
    <w:p w14:paraId="30DD94F1">
      <w:pPr>
        <w:spacing w:line="240" w:lineRule="atLeast"/>
        <w:ind w:right="-317" w:rightChars="-151"/>
        <w:jc w:val="center"/>
        <w:rPr>
          <w:rFonts w:hint="eastAsia" w:ascii="仿宋_GB2312" w:hAnsi="楷体" w:eastAsia="仿宋_GB2312"/>
          <w:b/>
          <w:sz w:val="32"/>
          <w:szCs w:val="32"/>
        </w:rPr>
      </w:pPr>
    </w:p>
    <w:p w14:paraId="3FA7A6B6">
      <w:pPr>
        <w:spacing w:line="240" w:lineRule="atLeast"/>
        <w:ind w:right="-317" w:rightChars="-151"/>
        <w:jc w:val="center"/>
        <w:rPr>
          <w:rFonts w:hint="eastAsia" w:ascii="仿宋_GB2312" w:hAnsi="楷体" w:eastAsia="仿宋_GB2312"/>
          <w:b/>
          <w:sz w:val="32"/>
          <w:szCs w:val="32"/>
        </w:rPr>
      </w:pPr>
    </w:p>
    <w:p w14:paraId="624583BE">
      <w:pPr>
        <w:spacing w:line="240" w:lineRule="atLeast"/>
        <w:ind w:right="-317" w:rightChars="-151"/>
        <w:jc w:val="both"/>
        <w:rPr>
          <w:rFonts w:hint="eastAsia" w:ascii="仿宋_GB2312" w:hAnsi="楷体" w:eastAsia="仿宋_GB2312"/>
          <w:b/>
          <w:sz w:val="32"/>
          <w:szCs w:val="32"/>
        </w:rPr>
      </w:pPr>
    </w:p>
    <w:p w14:paraId="1FDC04D7">
      <w:pPr>
        <w:spacing w:line="240" w:lineRule="atLeast"/>
        <w:ind w:right="-317" w:rightChars="-151"/>
        <w:jc w:val="center"/>
        <w:rPr>
          <w:rFonts w:hint="eastAsia" w:ascii="仿宋_GB2312" w:hAnsi="楷体" w:eastAsia="仿宋_GB2312"/>
          <w:b/>
          <w:sz w:val="32"/>
          <w:szCs w:val="32"/>
        </w:rPr>
      </w:pPr>
    </w:p>
    <w:p w14:paraId="56B26666">
      <w:pPr>
        <w:spacing w:line="240" w:lineRule="atLeast"/>
        <w:ind w:right="-317" w:rightChars="-151"/>
        <w:jc w:val="center"/>
        <w:rPr>
          <w:rFonts w:hint="eastAsia" w:ascii="仿宋_GB2312" w:hAnsi="楷体" w:eastAsia="仿宋_GB2312"/>
          <w:b/>
          <w:sz w:val="32"/>
          <w:szCs w:val="32"/>
        </w:rPr>
      </w:pPr>
    </w:p>
    <w:p w14:paraId="173504A2">
      <w:pPr>
        <w:rPr>
          <w:rFonts w:hint="eastAsia" w:ascii="仿宋_GB2312" w:hAnsi="楷体" w:eastAsia="仿宋_GB2312"/>
          <w:b/>
          <w:sz w:val="32"/>
          <w:szCs w:val="32"/>
        </w:rPr>
        <w:sectPr>
          <w:pgSz w:w="11906" w:h="16838"/>
          <w:pgMar w:top="2098" w:right="1474" w:bottom="1984" w:left="1587" w:header="851" w:footer="992" w:gutter="0"/>
          <w:pgNumType w:fmt="decimal"/>
          <w:cols w:space="425" w:num="1"/>
          <w:docGrid w:type="lines" w:linePitch="312" w:charSpace="0"/>
        </w:sectPr>
      </w:pPr>
      <w:r>
        <w:rPr>
          <w:rFonts w:hint="eastAsia" w:ascii="仿宋_GB2312" w:hAnsi="楷体" w:eastAsia="仿宋_GB2312"/>
          <w:b/>
          <w:sz w:val="32"/>
          <w:szCs w:val="32"/>
        </w:rPr>
        <w:br w:type="page"/>
      </w:r>
    </w:p>
    <w:p w14:paraId="3124C893">
      <w:pPr>
        <w:spacing w:line="240" w:lineRule="atLeast"/>
        <w:ind w:right="-317" w:rightChars="-151"/>
        <w:jc w:val="both"/>
        <w:rPr>
          <w:rFonts w:hint="eastAsia" w:ascii="仿宋_GB2312" w:hAnsi="楷体" w:eastAsia="仿宋_GB2312"/>
          <w:b/>
          <w:sz w:val="32"/>
          <w:szCs w:val="32"/>
        </w:rPr>
      </w:pPr>
    </w:p>
    <w:p w14:paraId="524503F6">
      <w:pPr>
        <w:spacing w:line="240" w:lineRule="atLeast"/>
        <w:ind w:right="-317" w:rightChars="-151"/>
        <w:jc w:val="center"/>
        <w:rPr>
          <w:rFonts w:hint="eastAsia" w:ascii="仿宋_GB2312" w:hAnsi="楷体" w:eastAsia="仿宋_GB2312"/>
          <w:b/>
          <w:sz w:val="32"/>
          <w:szCs w:val="32"/>
        </w:rPr>
      </w:pPr>
      <w:r>
        <w:rPr>
          <w:rFonts w:hint="eastAsia" w:ascii="仿宋_GB2312" w:hAnsi="楷体" w:eastAsia="仿宋_GB2312"/>
          <w:b/>
          <w:sz w:val="32"/>
          <w:szCs w:val="32"/>
        </w:rPr>
        <w:t>报价表</w:t>
      </w:r>
    </w:p>
    <w:p w14:paraId="3CB5D8EC">
      <w:pPr>
        <w:spacing w:line="240" w:lineRule="atLeast"/>
        <w:rPr>
          <w:rFonts w:hint="eastAsia" w:ascii="仿宋_GB2312" w:hAnsi="宋体" w:eastAsia="仿宋_GB2312"/>
          <w:szCs w:val="21"/>
        </w:rPr>
      </w:pPr>
    </w:p>
    <w:tbl>
      <w:tblPr>
        <w:tblStyle w:val="8"/>
        <w:tblW w:w="14715" w:type="dxa"/>
        <w:tblInd w:w="-769" w:type="dxa"/>
        <w:tblLayout w:type="fixed"/>
        <w:tblCellMar>
          <w:top w:w="0" w:type="dxa"/>
          <w:left w:w="108" w:type="dxa"/>
          <w:bottom w:w="0" w:type="dxa"/>
          <w:right w:w="108" w:type="dxa"/>
        </w:tblCellMar>
      </w:tblPr>
      <w:tblGrid>
        <w:gridCol w:w="885"/>
        <w:gridCol w:w="1245"/>
        <w:gridCol w:w="8719"/>
        <w:gridCol w:w="686"/>
        <w:gridCol w:w="735"/>
        <w:gridCol w:w="1230"/>
        <w:gridCol w:w="1215"/>
      </w:tblGrid>
      <w:tr w14:paraId="5ACEEF9D">
        <w:tblPrEx>
          <w:tblCellMar>
            <w:top w:w="0" w:type="dxa"/>
            <w:left w:w="108" w:type="dxa"/>
            <w:bottom w:w="0" w:type="dxa"/>
            <w:right w:w="108" w:type="dxa"/>
          </w:tblCellMar>
        </w:tblPrEx>
        <w:trPr>
          <w:trHeight w:val="13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7FC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2A1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项目</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B53C">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采购需求说明</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8486">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8256">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FE1F">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sz w:val="22"/>
                <w:szCs w:val="22"/>
              </w:rPr>
              <w:t>报价</w:t>
            </w:r>
          </w:p>
          <w:p w14:paraId="03885F8C">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sz w:val="22"/>
                <w:szCs w:val="22"/>
              </w:rPr>
              <w:t>（万元）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AE44">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sz w:val="22"/>
                <w:szCs w:val="22"/>
              </w:rPr>
              <w:t>响应情况</w:t>
            </w:r>
          </w:p>
        </w:tc>
      </w:tr>
      <w:tr w14:paraId="2C05405D">
        <w:tblPrEx>
          <w:tblCellMar>
            <w:top w:w="0" w:type="dxa"/>
            <w:left w:w="108" w:type="dxa"/>
            <w:bottom w:w="0" w:type="dxa"/>
            <w:right w:w="108" w:type="dxa"/>
          </w:tblCellMar>
        </w:tblPrEx>
        <w:trPr>
          <w:trHeight w:val="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AF6A">
            <w:pPr>
              <w:jc w:val="center"/>
              <w:rPr>
                <w:rFonts w:hint="eastAsia" w:ascii="宋体" w:hAnsi="宋体" w:cs="宋体"/>
                <w:color w:val="000000"/>
                <w:sz w:val="22"/>
              </w:rPr>
            </w:pPr>
            <w:r>
              <w:rPr>
                <w:rFonts w:hint="eastAsia" w:ascii="宋体" w:hAnsi="宋体" w:cs="宋体"/>
                <w:color w:val="000000"/>
                <w:sz w:val="22"/>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8AFC">
            <w:pPr>
              <w:autoSpaceDE w:val="0"/>
              <w:spacing w:line="340" w:lineRule="exact"/>
              <w:rPr>
                <w:rFonts w:hint="eastAsia" w:ascii="宋体" w:hAnsi="宋体" w:cs="宋体"/>
                <w:color w:val="000000"/>
                <w:sz w:val="22"/>
              </w:rPr>
            </w:pPr>
            <w:r>
              <w:rPr>
                <w:rFonts w:hint="eastAsia" w:ascii="宋体" w:hAnsi="宋体" w:cs="宋体"/>
                <w:szCs w:val="21"/>
              </w:rPr>
              <w:t>广西党政机关综合办公平台基础支撑插件1（电子文档安全系统）</w:t>
            </w:r>
          </w:p>
        </w:tc>
        <w:tc>
          <w:tcPr>
            <w:tcW w:w="8719" w:type="dxa"/>
            <w:tcBorders>
              <w:top w:val="single" w:color="000000" w:sz="4" w:space="0"/>
              <w:left w:val="single" w:color="000000" w:sz="4" w:space="0"/>
              <w:bottom w:val="single" w:color="000000" w:sz="4" w:space="0"/>
              <w:right w:val="single" w:color="000000" w:sz="4" w:space="0"/>
            </w:tcBorders>
            <w:shd w:val="clear" w:color="auto" w:fill="auto"/>
          </w:tcPr>
          <w:p w14:paraId="40F8C491">
            <w:pPr>
              <w:pStyle w:val="23"/>
              <w:ind w:firstLine="0" w:firstLineChars="0"/>
              <w:rPr>
                <w:rFonts w:hint="eastAsia" w:ascii="宋体" w:hAnsi="宋体" w:cs="宋体"/>
                <w:szCs w:val="21"/>
              </w:rPr>
            </w:pPr>
            <w:r>
              <w:rPr>
                <w:rFonts w:hint="eastAsia" w:ascii="宋体" w:hAnsi="宋体" w:cs="宋体"/>
                <w:szCs w:val="21"/>
              </w:rPr>
              <w:t>1.电子文档安全客户端全面兼容综合业务办公平台上架的操作系统、CPU及主机厂商，流式、版式软件及应用系统的使用。</w:t>
            </w:r>
          </w:p>
          <w:p w14:paraId="0B91A7E5">
            <w:pPr>
              <w:autoSpaceDE w:val="0"/>
              <w:spacing w:line="340" w:lineRule="exact"/>
              <w:rPr>
                <w:rFonts w:hint="eastAsia" w:ascii="宋体" w:hAnsi="宋体" w:cs="宋体"/>
                <w:szCs w:val="21"/>
              </w:rPr>
            </w:pPr>
            <w:r>
              <w:rPr>
                <w:rFonts w:hint="eastAsia" w:ascii="宋体" w:hAnsi="宋体" w:cs="宋体"/>
                <w:szCs w:val="21"/>
              </w:rPr>
              <w:t>2.等级标识生成与绑定</w:t>
            </w:r>
          </w:p>
          <w:p w14:paraId="0B588BF9">
            <w:pPr>
              <w:pStyle w:val="23"/>
              <w:ind w:firstLine="0" w:firstLineChars="0"/>
              <w:rPr>
                <w:rFonts w:hint="eastAsia" w:ascii="宋体" w:hAnsi="宋体" w:cs="宋体"/>
                <w:szCs w:val="21"/>
              </w:rPr>
            </w:pPr>
            <w:r>
              <w:rPr>
                <w:rFonts w:hint="eastAsia" w:ascii="宋体" w:hAnsi="宋体" w:cs="宋体"/>
                <w:szCs w:val="21"/>
              </w:rPr>
              <w:t>（1）电子文档安全客户端具备文件加密功能，生成符合单位要求的等级标识信息，并绑定到电子文件中，从而形成安全等级标识属性。</w:t>
            </w:r>
          </w:p>
          <w:p w14:paraId="0121DE44">
            <w:pPr>
              <w:pStyle w:val="23"/>
              <w:ind w:firstLine="0" w:firstLineChars="0"/>
              <w:rPr>
                <w:rFonts w:hint="eastAsia" w:ascii="宋体" w:hAnsi="宋体" w:cs="宋体"/>
                <w:szCs w:val="21"/>
              </w:rPr>
            </w:pPr>
            <w:r>
              <w:rPr>
                <w:rFonts w:hint="eastAsia" w:ascii="宋体" w:hAnsi="宋体" w:cs="宋体"/>
                <w:szCs w:val="21"/>
              </w:rPr>
              <w:t>（2）电子文档安全客户端具备对等级标识信息与电子文件不可分离，不可非授权修改。</w:t>
            </w:r>
          </w:p>
          <w:p w14:paraId="2818F105">
            <w:pPr>
              <w:autoSpaceDE w:val="0"/>
              <w:spacing w:line="340" w:lineRule="exact"/>
              <w:rPr>
                <w:rFonts w:hint="eastAsia" w:ascii="宋体" w:hAnsi="宋体" w:cs="宋体"/>
                <w:szCs w:val="21"/>
              </w:rPr>
            </w:pPr>
            <w:r>
              <w:rPr>
                <w:rFonts w:hint="eastAsia" w:ascii="宋体" w:hAnsi="宋体" w:cs="宋体"/>
                <w:szCs w:val="21"/>
              </w:rPr>
              <w:t>3.等级标识属性</w:t>
            </w:r>
          </w:p>
          <w:p w14:paraId="145AC6FA">
            <w:pPr>
              <w:pStyle w:val="23"/>
              <w:ind w:firstLine="0" w:firstLineChars="0"/>
              <w:rPr>
                <w:rFonts w:hint="eastAsia" w:ascii="宋体" w:hAnsi="宋体" w:cs="宋体"/>
                <w:szCs w:val="21"/>
              </w:rPr>
            </w:pPr>
            <w:r>
              <w:rPr>
                <w:rFonts w:hint="eastAsia" w:ascii="宋体" w:hAnsi="宋体" w:cs="宋体"/>
                <w:szCs w:val="21"/>
              </w:rPr>
              <w:t>（1）电子文档安全客户端具备对等级标识属性包括起草人、文件等级、定密依据、保密期限、知悉范围、定密责任人、定密单位等属性信息的添加与记录。（2）电子文档安全客户端具备对等级标识属性的自动关联，如选定定密依据后，可根据定密依据信息自动设置文件等级、保密期限和知悉范围。</w:t>
            </w:r>
          </w:p>
          <w:p w14:paraId="485F4B68">
            <w:pPr>
              <w:autoSpaceDE w:val="0"/>
              <w:spacing w:line="340" w:lineRule="exact"/>
              <w:rPr>
                <w:rFonts w:hint="eastAsia" w:ascii="宋体" w:hAnsi="宋体" w:cs="宋体"/>
                <w:szCs w:val="21"/>
              </w:rPr>
            </w:pPr>
            <w:r>
              <w:rPr>
                <w:rFonts w:hint="eastAsia" w:ascii="宋体" w:hAnsi="宋体" w:cs="宋体"/>
                <w:szCs w:val="21"/>
              </w:rPr>
              <w:t>4.显性等级标识</w:t>
            </w:r>
          </w:p>
          <w:p w14:paraId="66E55A24">
            <w:pPr>
              <w:pStyle w:val="23"/>
              <w:ind w:firstLine="0" w:firstLineChars="0"/>
              <w:rPr>
                <w:rFonts w:hint="eastAsia" w:ascii="宋体" w:hAnsi="宋体" w:cs="宋体"/>
                <w:szCs w:val="21"/>
              </w:rPr>
            </w:pPr>
            <w:r>
              <w:rPr>
                <w:rFonts w:hint="eastAsia" w:ascii="宋体" w:hAnsi="宋体" w:cs="宋体"/>
                <w:szCs w:val="21"/>
              </w:rPr>
              <w:t>（1）电子文档安全客户端具备在办公文档内容中嵌入符合单位公文格式规范的等级标识功能，且不能非授权修改和删除，能够支持流式文件和版式文件。</w:t>
            </w:r>
          </w:p>
          <w:p w14:paraId="0C902C78">
            <w:pPr>
              <w:pStyle w:val="23"/>
              <w:ind w:firstLine="0" w:firstLineChars="0"/>
              <w:rPr>
                <w:rFonts w:hint="eastAsia" w:ascii="宋体" w:hAnsi="宋体" w:cs="宋体"/>
                <w:szCs w:val="21"/>
              </w:rPr>
            </w:pPr>
            <w:r>
              <w:rPr>
                <w:rFonts w:hint="eastAsia" w:ascii="宋体" w:hAnsi="宋体" w:cs="宋体"/>
                <w:szCs w:val="21"/>
              </w:rPr>
              <w:t>（2）电子文档安全客户端具备对图纸、图像、音频、视频等多种文件格式上显示显性等级标识功能。</w:t>
            </w:r>
          </w:p>
          <w:p w14:paraId="3D862CB5">
            <w:pPr>
              <w:autoSpaceDE w:val="0"/>
              <w:spacing w:line="340" w:lineRule="exact"/>
              <w:rPr>
                <w:rFonts w:hint="eastAsia" w:ascii="宋体" w:hAnsi="宋体" w:cs="宋体"/>
                <w:szCs w:val="21"/>
              </w:rPr>
            </w:pPr>
            <w:r>
              <w:rPr>
                <w:rFonts w:hint="eastAsia" w:ascii="宋体" w:hAnsi="宋体" w:cs="宋体"/>
                <w:szCs w:val="21"/>
              </w:rPr>
              <w:t>5.等级标识状态管理</w:t>
            </w:r>
          </w:p>
          <w:p w14:paraId="0B8A9510">
            <w:pPr>
              <w:pStyle w:val="23"/>
              <w:ind w:firstLine="0" w:firstLineChars="0"/>
              <w:rPr>
                <w:rFonts w:hint="eastAsia" w:ascii="宋体" w:hAnsi="宋体" w:cs="宋体"/>
                <w:szCs w:val="21"/>
              </w:rPr>
            </w:pPr>
            <w:r>
              <w:rPr>
                <w:rFonts w:hint="eastAsia" w:ascii="宋体" w:hAnsi="宋体" w:cs="宋体"/>
                <w:szCs w:val="21"/>
              </w:rPr>
              <w:t>（1）电子文档安全客户端具备预定密功能，将初始加密的电子文件管理状态设置为预定密状态。</w:t>
            </w:r>
          </w:p>
          <w:p w14:paraId="3E91ED3A">
            <w:pPr>
              <w:pStyle w:val="23"/>
              <w:ind w:firstLine="0" w:firstLineChars="0"/>
              <w:rPr>
                <w:rFonts w:hint="eastAsia" w:ascii="宋体" w:hAnsi="宋体" w:cs="宋体"/>
                <w:szCs w:val="21"/>
              </w:rPr>
            </w:pPr>
            <w:r>
              <w:rPr>
                <w:rFonts w:hint="eastAsia" w:ascii="宋体" w:hAnsi="宋体" w:cs="宋体"/>
                <w:szCs w:val="21"/>
              </w:rPr>
              <w:t>（2）电子文档安全客户端具备定密功能，将预定密状态的电子文件通过流程变更为已定密状态。</w:t>
            </w:r>
          </w:p>
          <w:p w14:paraId="03C50BAC">
            <w:pPr>
              <w:pStyle w:val="23"/>
              <w:ind w:firstLine="0" w:firstLineChars="0"/>
              <w:rPr>
                <w:rFonts w:hint="eastAsia" w:ascii="宋体" w:hAnsi="宋体" w:cs="宋体"/>
                <w:szCs w:val="21"/>
              </w:rPr>
            </w:pPr>
            <w:r>
              <w:rPr>
                <w:rFonts w:hint="eastAsia" w:ascii="宋体" w:hAnsi="宋体" w:cs="宋体"/>
                <w:szCs w:val="21"/>
              </w:rPr>
              <w:t>（3）电子文档安全客户端具备签发功能，将已定密状态的电子文件通过流程变更为已签发状态。</w:t>
            </w:r>
          </w:p>
          <w:p w14:paraId="029B724E">
            <w:pPr>
              <w:autoSpaceDE w:val="0"/>
              <w:spacing w:line="340" w:lineRule="exact"/>
              <w:rPr>
                <w:rFonts w:hint="eastAsia" w:ascii="宋体" w:hAnsi="宋体" w:cs="宋体"/>
                <w:szCs w:val="21"/>
              </w:rPr>
            </w:pPr>
            <w:r>
              <w:rPr>
                <w:rFonts w:hint="eastAsia" w:ascii="宋体" w:hAnsi="宋体" w:cs="宋体"/>
                <w:szCs w:val="21"/>
              </w:rPr>
              <w:t>6.等级标识流程管理</w:t>
            </w:r>
          </w:p>
          <w:p w14:paraId="0EDF8EB2">
            <w:pPr>
              <w:pStyle w:val="23"/>
              <w:ind w:firstLine="0" w:firstLineChars="0"/>
              <w:rPr>
                <w:rFonts w:hint="eastAsia" w:ascii="宋体" w:hAnsi="宋体" w:cs="宋体"/>
                <w:szCs w:val="21"/>
              </w:rPr>
            </w:pPr>
            <w:r>
              <w:rPr>
                <w:rFonts w:hint="eastAsia" w:ascii="宋体" w:hAnsi="宋体" w:cs="宋体"/>
                <w:szCs w:val="21"/>
              </w:rPr>
              <w:t>（1）电子文档安全客户端具备系统流程配置后的业务发起和审批要求。（2）电子文档安全客户端具备代理审批功能。（3）电子文档安全客户端具备申请、审批结果的消息通知功能。</w:t>
            </w:r>
          </w:p>
          <w:p w14:paraId="73DD01A8">
            <w:pPr>
              <w:autoSpaceDE w:val="0"/>
              <w:spacing w:line="340" w:lineRule="exact"/>
              <w:rPr>
                <w:rFonts w:hint="eastAsia" w:ascii="宋体" w:hAnsi="宋体" w:cs="宋体"/>
                <w:szCs w:val="21"/>
              </w:rPr>
            </w:pPr>
            <w:r>
              <w:rPr>
                <w:rFonts w:hint="eastAsia" w:ascii="宋体" w:hAnsi="宋体" w:cs="宋体"/>
                <w:szCs w:val="21"/>
              </w:rPr>
              <w:t>7.加密文件访问控制</w:t>
            </w:r>
          </w:p>
          <w:p w14:paraId="455561F9">
            <w:pPr>
              <w:pStyle w:val="23"/>
              <w:ind w:firstLine="0" w:firstLineChars="0"/>
              <w:rPr>
                <w:rFonts w:hint="eastAsia" w:ascii="宋体" w:hAnsi="宋体" w:cs="宋体"/>
                <w:szCs w:val="21"/>
              </w:rPr>
            </w:pPr>
            <w:r>
              <w:rPr>
                <w:rFonts w:hint="eastAsia" w:ascii="宋体" w:hAnsi="宋体" w:cs="宋体"/>
                <w:szCs w:val="21"/>
              </w:rPr>
              <w:t>（1）电子文档安全客户端具备等级访问控制功能，防止低密级用户打开高等级文件。（2）电子文档安全客户端具备等级访问控制功能，防止在低密级终端上打开高等级文件。</w:t>
            </w:r>
          </w:p>
          <w:p w14:paraId="06535CAF">
            <w:pPr>
              <w:autoSpaceDE w:val="0"/>
              <w:spacing w:line="340" w:lineRule="exact"/>
              <w:rPr>
                <w:rFonts w:hint="eastAsia" w:ascii="宋体" w:hAnsi="宋体" w:cs="宋体"/>
                <w:szCs w:val="21"/>
              </w:rPr>
            </w:pPr>
            <w:r>
              <w:rPr>
                <w:rFonts w:hint="eastAsia" w:ascii="宋体" w:hAnsi="宋体" w:cs="宋体"/>
                <w:szCs w:val="21"/>
              </w:rPr>
              <w:t>8.加密文件权限控制</w:t>
            </w:r>
          </w:p>
          <w:p w14:paraId="7BEF680B">
            <w:pPr>
              <w:pStyle w:val="23"/>
              <w:ind w:firstLine="0" w:firstLineChars="0"/>
              <w:rPr>
                <w:rFonts w:hint="eastAsia" w:ascii="宋体" w:hAnsi="宋体" w:cs="宋体"/>
                <w:szCs w:val="21"/>
              </w:rPr>
            </w:pPr>
            <w:r>
              <w:rPr>
                <w:rFonts w:hint="eastAsia" w:ascii="宋体" w:hAnsi="宋体" w:cs="宋体"/>
                <w:szCs w:val="21"/>
              </w:rPr>
              <w:t>（1）电子文档安全客户端具备对加密文件的阅读、复制、编辑、截屏等细粒度权限控制。（2）电子文档安全客户端支持同一份电子文件对于不同的用户授予不同的操作权限。</w:t>
            </w:r>
          </w:p>
          <w:p w14:paraId="054F401B">
            <w:pPr>
              <w:autoSpaceDE w:val="0"/>
              <w:spacing w:line="340" w:lineRule="exact"/>
              <w:rPr>
                <w:rFonts w:hint="eastAsia" w:ascii="宋体" w:hAnsi="宋体" w:cs="宋体"/>
                <w:szCs w:val="21"/>
              </w:rPr>
            </w:pPr>
            <w:r>
              <w:rPr>
                <w:rFonts w:hint="eastAsia" w:ascii="宋体" w:hAnsi="宋体" w:cs="宋体"/>
                <w:szCs w:val="21"/>
              </w:rPr>
              <w:t>8.操作审计</w:t>
            </w:r>
          </w:p>
          <w:p w14:paraId="3910E1B4">
            <w:pPr>
              <w:autoSpaceDE w:val="0"/>
              <w:spacing w:line="340" w:lineRule="exact"/>
              <w:rPr>
                <w:rFonts w:hint="eastAsia" w:ascii="宋体" w:hAnsi="宋体" w:cs="宋体"/>
                <w:szCs w:val="21"/>
              </w:rPr>
            </w:pPr>
            <w:r>
              <w:rPr>
                <w:rFonts w:hint="eastAsia" w:ascii="宋体" w:hAnsi="宋体" w:cs="宋体"/>
                <w:szCs w:val="21"/>
              </w:rPr>
              <w:t>电子文档安全客户端具备用户对加密文件的操作日志上传至服务端进行用户操作审计功能。</w:t>
            </w:r>
          </w:p>
          <w:p w14:paraId="6B4630F5">
            <w:pPr>
              <w:autoSpaceDE w:val="0"/>
              <w:spacing w:line="340" w:lineRule="exact"/>
              <w:rPr>
                <w:rFonts w:hint="eastAsia" w:ascii="宋体" w:hAnsi="宋体" w:cs="宋体"/>
                <w:szCs w:val="21"/>
              </w:rPr>
            </w:pPr>
            <w:r>
              <w:rPr>
                <w:rFonts w:hint="eastAsia" w:ascii="宋体" w:hAnsi="宋体" w:cs="宋体"/>
                <w:szCs w:val="21"/>
              </w:rPr>
              <w:t>9.可用性</w:t>
            </w:r>
          </w:p>
          <w:p w14:paraId="6320697E">
            <w:pPr>
              <w:autoSpaceDE w:val="0"/>
              <w:spacing w:line="340" w:lineRule="exact"/>
              <w:rPr>
                <w:rFonts w:hint="eastAsia" w:ascii="宋体" w:hAnsi="宋体" w:cs="宋体"/>
                <w:szCs w:val="21"/>
              </w:rPr>
            </w:pPr>
            <w:r>
              <w:rPr>
                <w:rFonts w:hint="eastAsia" w:ascii="宋体" w:hAnsi="宋体" w:cs="宋体"/>
                <w:szCs w:val="21"/>
              </w:rPr>
              <w:t>（1）电子文档安全端具备对加密文件的内容保护，确保终端意外断电时，正在使用的加密文件等级标识不丢失，文件不损坏。</w:t>
            </w:r>
          </w:p>
          <w:p w14:paraId="2E93CB52">
            <w:pPr>
              <w:autoSpaceDE w:val="0"/>
              <w:spacing w:line="340" w:lineRule="exact"/>
              <w:rPr>
                <w:rFonts w:hint="eastAsia" w:ascii="宋体" w:hAnsi="宋体" w:cs="宋体"/>
                <w:szCs w:val="21"/>
              </w:rPr>
            </w:pPr>
            <w:r>
              <w:rPr>
                <w:rFonts w:hint="eastAsia" w:ascii="宋体" w:hAnsi="宋体" w:cs="宋体"/>
                <w:szCs w:val="21"/>
              </w:rPr>
              <w:t>（2）电子文档安全客户端具备断网可用功能，在客户端无法连接服务端时，保证终端上加密文件正常使用。</w:t>
            </w:r>
          </w:p>
          <w:p w14:paraId="3EBA54A8">
            <w:pPr>
              <w:pStyle w:val="23"/>
              <w:ind w:firstLine="0" w:firstLineChars="0"/>
              <w:rPr>
                <w:rFonts w:hint="eastAsia" w:ascii="宋体" w:hAnsi="宋体" w:cs="宋体"/>
                <w:szCs w:val="21"/>
              </w:rPr>
            </w:pPr>
            <w:r>
              <w:rPr>
                <w:rFonts w:hint="eastAsia" w:ascii="宋体" w:hAnsi="宋体" w:cs="宋体"/>
                <w:szCs w:val="21"/>
              </w:rPr>
              <w:t>▲10.取得原厂针对本项目的授权。</w:t>
            </w:r>
          </w:p>
          <w:p w14:paraId="7E6C32DC">
            <w:pPr>
              <w:pStyle w:val="23"/>
              <w:ind w:firstLine="0" w:firstLineChars="0"/>
              <w:rPr>
                <w:rFonts w:hint="eastAsia" w:ascii="宋体" w:hAnsi="宋体" w:cs="宋体"/>
                <w:szCs w:val="21"/>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6887">
            <w:pPr>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105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B161">
            <w:pPr>
              <w:widowControl/>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BD68">
            <w:pPr>
              <w:widowControl/>
              <w:jc w:val="center"/>
              <w:textAlignment w:val="center"/>
              <w:rPr>
                <w:rFonts w:hint="eastAsia" w:ascii="等线" w:hAnsi="等线" w:eastAsia="等线" w:cs="等线"/>
                <w:color w:val="000000"/>
                <w:kern w:val="0"/>
                <w:sz w:val="22"/>
                <w:szCs w:val="22"/>
                <w:lang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B07D">
            <w:pPr>
              <w:widowControl/>
              <w:jc w:val="center"/>
              <w:textAlignment w:val="center"/>
              <w:rPr>
                <w:rFonts w:hint="eastAsia" w:ascii="等线" w:hAnsi="等线" w:eastAsia="等线" w:cs="等线"/>
                <w:color w:val="000000"/>
                <w:kern w:val="0"/>
                <w:sz w:val="22"/>
                <w:szCs w:val="22"/>
                <w:lang w:bidi="ar"/>
              </w:rPr>
            </w:pPr>
          </w:p>
        </w:tc>
      </w:tr>
      <w:tr w14:paraId="16C882C4">
        <w:tblPrEx>
          <w:tblCellMar>
            <w:top w:w="0" w:type="dxa"/>
            <w:left w:w="108" w:type="dxa"/>
            <w:bottom w:w="0" w:type="dxa"/>
            <w:right w:w="108" w:type="dxa"/>
          </w:tblCellMar>
        </w:tblPrEx>
        <w:trPr>
          <w:trHeight w:val="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D9CD">
            <w:pPr>
              <w:jc w:val="center"/>
              <w:rPr>
                <w:rFonts w:hint="eastAsia" w:ascii="宋体" w:hAnsi="宋体" w:cs="宋体"/>
                <w:color w:val="000000"/>
                <w:sz w:val="22"/>
              </w:rPr>
            </w:pPr>
            <w:r>
              <w:rPr>
                <w:rFonts w:hint="eastAsia" w:ascii="宋体" w:hAnsi="宋体" w:cs="宋体"/>
                <w:color w:val="000000"/>
                <w:sz w:val="22"/>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68D8">
            <w:pPr>
              <w:autoSpaceDE w:val="0"/>
              <w:spacing w:line="340" w:lineRule="exact"/>
              <w:rPr>
                <w:rFonts w:hint="eastAsia" w:ascii="宋体" w:hAnsi="宋体" w:cs="宋体"/>
                <w:szCs w:val="21"/>
              </w:rPr>
            </w:pPr>
            <w:r>
              <w:rPr>
                <w:rFonts w:hint="eastAsia" w:ascii="宋体" w:hAnsi="宋体" w:cs="宋体"/>
                <w:szCs w:val="21"/>
              </w:rPr>
              <w:t>广西党政机关综合办公平台基础支撑插件2（隐写溯源系统）</w:t>
            </w:r>
          </w:p>
        </w:tc>
        <w:tc>
          <w:tcPr>
            <w:tcW w:w="8719" w:type="dxa"/>
            <w:tcBorders>
              <w:top w:val="single" w:color="000000" w:sz="4" w:space="0"/>
              <w:left w:val="single" w:color="000000" w:sz="4" w:space="0"/>
              <w:bottom w:val="single" w:color="000000" w:sz="4" w:space="0"/>
              <w:right w:val="single" w:color="000000" w:sz="4" w:space="0"/>
            </w:tcBorders>
            <w:shd w:val="clear" w:color="auto" w:fill="auto"/>
          </w:tcPr>
          <w:p w14:paraId="5F72E615">
            <w:pPr>
              <w:autoSpaceDE w:val="0"/>
              <w:spacing w:line="340" w:lineRule="exact"/>
              <w:rPr>
                <w:rFonts w:hint="eastAsia" w:ascii="宋体" w:hAnsi="宋体" w:cs="宋体"/>
                <w:szCs w:val="21"/>
              </w:rPr>
            </w:pPr>
            <w:r>
              <w:rPr>
                <w:rFonts w:hint="eastAsia" w:ascii="宋体" w:hAnsi="宋体" w:cs="宋体"/>
                <w:szCs w:val="21"/>
              </w:rPr>
              <w:t>（1）网络客户端支持无感监管，使用、监管过程无感知，不影响用户工作体验。</w:t>
            </w:r>
          </w:p>
          <w:p w14:paraId="75CC832B">
            <w:pPr>
              <w:autoSpaceDE w:val="0"/>
              <w:spacing w:line="340" w:lineRule="exact"/>
              <w:rPr>
                <w:rFonts w:hint="eastAsia" w:ascii="宋体" w:hAnsi="宋体" w:cs="宋体"/>
                <w:szCs w:val="21"/>
              </w:rPr>
            </w:pPr>
            <w:r>
              <w:rPr>
                <w:rFonts w:hint="eastAsia" w:ascii="宋体" w:hAnsi="宋体" w:cs="宋体"/>
                <w:szCs w:val="21"/>
              </w:rPr>
              <w:t>（2）网络客户端支持静默安装、自动激活，支持通过服务端IP地址或域名自动建立连接，注册到相应部门，并可自动激活。</w:t>
            </w:r>
          </w:p>
          <w:p w14:paraId="43FDE926">
            <w:pPr>
              <w:autoSpaceDE w:val="0"/>
              <w:spacing w:line="340" w:lineRule="exact"/>
              <w:rPr>
                <w:rFonts w:hint="eastAsia" w:ascii="宋体" w:hAnsi="宋体" w:cs="宋体"/>
                <w:szCs w:val="21"/>
              </w:rPr>
            </w:pPr>
            <w:r>
              <w:rPr>
                <w:rFonts w:hint="eastAsia" w:ascii="宋体" w:hAnsi="宋体" w:cs="宋体"/>
                <w:szCs w:val="21"/>
              </w:rPr>
              <w:t>（3）网络客户端支持平滑升级，可通过推送升级、覆盖安装更新版本，并保留升级前客户端配置和状态。</w:t>
            </w:r>
          </w:p>
          <w:p w14:paraId="32C85EC7">
            <w:pPr>
              <w:autoSpaceDE w:val="0"/>
              <w:spacing w:line="340" w:lineRule="exact"/>
              <w:rPr>
                <w:rFonts w:hint="eastAsia" w:ascii="宋体" w:hAnsi="宋体" w:cs="宋体"/>
                <w:szCs w:val="21"/>
              </w:rPr>
            </w:pPr>
            <w:r>
              <w:rPr>
                <w:rFonts w:hint="eastAsia" w:ascii="宋体" w:hAnsi="宋体" w:cs="宋体"/>
                <w:szCs w:val="21"/>
              </w:rPr>
              <w:t>（4）网络客户端在服务器连接正常状态下可实现实时上传隐写日志功能。</w:t>
            </w:r>
          </w:p>
          <w:p w14:paraId="6764B8FF">
            <w:pPr>
              <w:autoSpaceDE w:val="0"/>
              <w:spacing w:line="340" w:lineRule="exact"/>
              <w:rPr>
                <w:rFonts w:hint="eastAsia" w:ascii="宋体" w:hAnsi="宋体" w:cs="宋体"/>
                <w:szCs w:val="21"/>
              </w:rPr>
            </w:pPr>
            <w:r>
              <w:rPr>
                <w:rFonts w:hint="eastAsia" w:ascii="宋体" w:hAnsi="宋体" w:cs="宋体"/>
                <w:szCs w:val="21"/>
              </w:rPr>
              <w:t>（5）网络客户端在离线状态下可实现日志本地记录功能。</w:t>
            </w:r>
          </w:p>
          <w:p w14:paraId="65302E87">
            <w:pPr>
              <w:autoSpaceDE w:val="0"/>
              <w:spacing w:line="340" w:lineRule="exact"/>
              <w:rPr>
                <w:rFonts w:hint="eastAsia" w:ascii="宋体" w:hAnsi="宋体" w:cs="宋体"/>
                <w:szCs w:val="21"/>
              </w:rPr>
            </w:pPr>
            <w:r>
              <w:rPr>
                <w:rFonts w:hint="eastAsia" w:ascii="宋体" w:hAnsi="宋体" w:cs="宋体"/>
                <w:szCs w:val="21"/>
              </w:rPr>
              <w:t>（6）网络客户端采用模块化设计，具有可扩展性，可以方便、快速、稳定地进行升级。</w:t>
            </w:r>
          </w:p>
          <w:p w14:paraId="5A2EB2F0">
            <w:pPr>
              <w:autoSpaceDE w:val="0"/>
              <w:spacing w:line="340" w:lineRule="exact"/>
              <w:rPr>
                <w:rFonts w:hint="eastAsia" w:ascii="宋体" w:hAnsi="宋体" w:cs="宋体"/>
                <w:szCs w:val="21"/>
              </w:rPr>
            </w:pPr>
            <w:r>
              <w:rPr>
                <w:rFonts w:hint="eastAsia" w:ascii="宋体" w:hAnsi="宋体" w:cs="宋体"/>
                <w:szCs w:val="21"/>
              </w:rPr>
              <w:t>（7）网络客户端提供日志管理及审计功能，自动记录用户从登录到退出的所有操作，并提供良好的日志审计界面。</w:t>
            </w:r>
          </w:p>
          <w:p w14:paraId="0093D89B">
            <w:pPr>
              <w:autoSpaceDE w:val="0"/>
              <w:spacing w:line="340" w:lineRule="exact"/>
              <w:rPr>
                <w:rFonts w:hint="eastAsia" w:ascii="宋体" w:hAnsi="宋体" w:cs="宋体"/>
                <w:szCs w:val="21"/>
              </w:rPr>
            </w:pPr>
            <w:r>
              <w:rPr>
                <w:rFonts w:hint="eastAsia" w:ascii="宋体" w:hAnsi="宋体" w:cs="宋体"/>
                <w:szCs w:val="21"/>
              </w:rPr>
              <w:t>（8）网络客户端支持系统访问的安全传输协议HTTPS。</w:t>
            </w:r>
          </w:p>
          <w:p w14:paraId="259C83AF">
            <w:pPr>
              <w:autoSpaceDE w:val="0"/>
              <w:spacing w:line="340" w:lineRule="exact"/>
              <w:rPr>
                <w:rFonts w:hint="eastAsia" w:ascii="宋体" w:hAnsi="宋体" w:cs="宋体"/>
                <w:szCs w:val="21"/>
              </w:rPr>
            </w:pPr>
            <w:r>
              <w:rPr>
                <w:rFonts w:hint="eastAsia" w:ascii="宋体" w:hAnsi="宋体" w:cs="宋体"/>
                <w:szCs w:val="21"/>
              </w:rPr>
              <w:t>（9）网络客户端具有可靠的数据加密方式、算法及其它数据安全机制，确保业务数据的安全与稳定，严禁明码传输。</w:t>
            </w:r>
          </w:p>
          <w:p w14:paraId="2287B56D">
            <w:pPr>
              <w:autoSpaceDE w:val="0"/>
              <w:spacing w:line="340" w:lineRule="exact"/>
              <w:rPr>
                <w:rFonts w:hint="eastAsia" w:ascii="宋体" w:hAnsi="宋体" w:cs="宋体"/>
                <w:szCs w:val="21"/>
              </w:rPr>
            </w:pPr>
            <w:r>
              <w:rPr>
                <w:rFonts w:hint="eastAsia" w:ascii="宋体" w:hAnsi="宋体" w:cs="宋体"/>
                <w:szCs w:val="21"/>
              </w:rPr>
              <w:t>（10）网络客户端兼容电子文件密级标志管理系统。</w:t>
            </w:r>
          </w:p>
          <w:p w14:paraId="4A689414">
            <w:pPr>
              <w:autoSpaceDE w:val="0"/>
              <w:spacing w:line="340" w:lineRule="exact"/>
              <w:rPr>
                <w:rFonts w:hint="eastAsia" w:ascii="宋体" w:hAnsi="宋体" w:cs="宋体"/>
                <w:szCs w:val="21"/>
              </w:rPr>
            </w:pPr>
            <w:r>
              <w:rPr>
                <w:rFonts w:hint="eastAsia" w:ascii="宋体" w:hAnsi="宋体" w:cs="宋体"/>
                <w:szCs w:val="21"/>
              </w:rPr>
              <w:t>（11）网络客户端隐写信息无法通过肉眼识别且不含有形标识。</w:t>
            </w:r>
          </w:p>
          <w:p w14:paraId="1FB2666C">
            <w:pPr>
              <w:autoSpaceDE w:val="0"/>
              <w:spacing w:line="340" w:lineRule="exact"/>
              <w:rPr>
                <w:rFonts w:hint="eastAsia" w:ascii="宋体" w:hAnsi="宋体" w:cs="宋体"/>
                <w:szCs w:val="21"/>
              </w:rPr>
            </w:pPr>
            <w:r>
              <w:rPr>
                <w:rFonts w:hint="eastAsia" w:ascii="宋体" w:hAnsi="宋体" w:cs="宋体"/>
                <w:szCs w:val="21"/>
              </w:rPr>
              <w:t>（12）网络客户端支持从打印纸质文档（打印、复印和扫描）和屏幕显示图像（屏幕截屏、屏幕拍照、屏幕录制）的文档内容中提取水印溯源信息。</w:t>
            </w:r>
          </w:p>
          <w:p w14:paraId="2262849F">
            <w:pPr>
              <w:autoSpaceDE w:val="0"/>
              <w:spacing w:line="340" w:lineRule="exact"/>
              <w:rPr>
                <w:rFonts w:hint="eastAsia" w:ascii="宋体" w:hAnsi="宋体" w:cs="宋体"/>
                <w:szCs w:val="21"/>
              </w:rPr>
            </w:pPr>
            <w:r>
              <w:rPr>
                <w:rFonts w:hint="eastAsia" w:ascii="宋体" w:hAnsi="宋体" w:cs="宋体"/>
                <w:szCs w:val="21"/>
              </w:rPr>
              <w:t>（13）网络客户端设备打印的纸质文件隐写信息能抗揉搓、水浸、遮挡及复印。</w:t>
            </w:r>
          </w:p>
          <w:p w14:paraId="57CAFF00">
            <w:pPr>
              <w:autoSpaceDE w:val="0"/>
              <w:spacing w:line="340" w:lineRule="exact"/>
              <w:rPr>
                <w:rFonts w:hint="eastAsia" w:ascii="宋体" w:hAnsi="宋体" w:cs="宋体"/>
                <w:szCs w:val="21"/>
              </w:rPr>
            </w:pPr>
            <w:r>
              <w:rPr>
                <w:rFonts w:hint="eastAsia" w:ascii="宋体" w:hAnsi="宋体" w:cs="宋体"/>
                <w:szCs w:val="21"/>
              </w:rPr>
              <w:t>（14）网络客户端电子文档溯源功能不受截屏、缩放及变形获取方式影响。</w:t>
            </w:r>
          </w:p>
          <w:p w14:paraId="5ED0E2EE">
            <w:pPr>
              <w:autoSpaceDE w:val="0"/>
              <w:spacing w:line="340" w:lineRule="exact"/>
              <w:rPr>
                <w:rFonts w:hint="eastAsia" w:ascii="宋体" w:hAnsi="宋体" w:cs="宋体"/>
                <w:szCs w:val="21"/>
              </w:rPr>
            </w:pPr>
            <w:r>
              <w:rPr>
                <w:rFonts w:hint="eastAsia" w:ascii="宋体" w:hAnsi="宋体" w:cs="宋体"/>
                <w:szCs w:val="21"/>
              </w:rPr>
              <w:t>▲（15）.取得原厂针对本项目的授权。</w:t>
            </w:r>
          </w:p>
          <w:p w14:paraId="35AFDC8B">
            <w:pPr>
              <w:autoSpaceDE w:val="0"/>
              <w:spacing w:line="340" w:lineRule="exact"/>
              <w:rPr>
                <w:rFonts w:hint="eastAsia" w:ascii="宋体" w:hAnsi="宋体" w:cs="宋体"/>
                <w:szCs w:val="21"/>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03EA">
            <w:pPr>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105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41AF">
            <w:pPr>
              <w:widowControl/>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CD10">
            <w:pPr>
              <w:widowControl/>
              <w:jc w:val="center"/>
              <w:textAlignment w:val="center"/>
              <w:rPr>
                <w:rFonts w:hint="eastAsia" w:ascii="等线" w:hAnsi="等线" w:eastAsia="等线" w:cs="等线"/>
                <w:color w:val="000000"/>
                <w:kern w:val="0"/>
                <w:sz w:val="22"/>
                <w:szCs w:val="22"/>
                <w:lang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4A68">
            <w:pPr>
              <w:widowControl/>
              <w:jc w:val="center"/>
              <w:textAlignment w:val="center"/>
              <w:rPr>
                <w:rFonts w:hint="eastAsia" w:ascii="等线" w:hAnsi="等线" w:eastAsia="等线" w:cs="等线"/>
                <w:color w:val="000000"/>
                <w:kern w:val="0"/>
                <w:sz w:val="22"/>
                <w:szCs w:val="22"/>
                <w:lang w:bidi="ar"/>
              </w:rPr>
            </w:pPr>
          </w:p>
        </w:tc>
      </w:tr>
      <w:tr w14:paraId="32B18ECB">
        <w:tblPrEx>
          <w:tblCellMar>
            <w:top w:w="0" w:type="dxa"/>
            <w:left w:w="108" w:type="dxa"/>
            <w:bottom w:w="0" w:type="dxa"/>
            <w:right w:w="108" w:type="dxa"/>
          </w:tblCellMar>
        </w:tblPrEx>
        <w:trPr>
          <w:trHeight w:val="241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1E9C">
            <w:pPr>
              <w:widowControl/>
              <w:jc w:val="center"/>
              <w:textAlignment w:val="bottom"/>
              <w:rPr>
                <w:rFonts w:hint="eastAsia" w:ascii="等线" w:hAnsi="等线" w:eastAsia="等线" w:cs="等线"/>
                <w:color w:val="000000"/>
                <w:kern w:val="0"/>
                <w:sz w:val="22"/>
                <w:szCs w:val="22"/>
                <w:lang w:bidi="ar"/>
              </w:rPr>
            </w:pPr>
          </w:p>
          <w:p w14:paraId="7B7249F5">
            <w:pPr>
              <w:jc w:val="center"/>
              <w:rPr>
                <w:rFonts w:hint="eastAsia" w:ascii="等线" w:hAnsi="等线" w:eastAsia="等线" w:cs="等线"/>
                <w:color w:val="000000"/>
                <w:sz w:val="22"/>
                <w:szCs w:val="22"/>
              </w:rPr>
            </w:pPr>
            <w:r>
              <w:rPr>
                <w:rFonts w:hint="eastAsia" w:ascii="等线" w:hAnsi="等线" w:eastAsia="等线" w:cs="等线"/>
                <w:color w:val="000000"/>
                <w:sz w:val="22"/>
                <w:szCs w:val="22"/>
              </w:rPr>
              <w:t>商务要求</w:t>
            </w:r>
          </w:p>
        </w:tc>
        <w:tc>
          <w:tcPr>
            <w:tcW w:w="138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9109">
            <w:pPr>
              <w:widowControl/>
              <w:jc w:val="left"/>
              <w:textAlignment w:val="top"/>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一、报价人必须在报价文件中提供完整的服务方案。</w:t>
            </w:r>
          </w:p>
          <w:p w14:paraId="6F52A291">
            <w:pPr>
              <w:widowControl/>
              <w:jc w:val="left"/>
              <w:textAlignment w:val="top"/>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二、交货期：自合同签订之日起60个自然日内。</w:t>
            </w:r>
          </w:p>
          <w:p w14:paraId="52ADA739">
            <w:pPr>
              <w:widowControl/>
              <w:jc w:val="left"/>
              <w:textAlignment w:val="top"/>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三、交货地点：广西采购方指定地点。</w:t>
            </w:r>
          </w:p>
          <w:p w14:paraId="3F074C53">
            <w:pPr>
              <w:widowControl/>
              <w:jc w:val="left"/>
              <w:textAlignment w:val="top"/>
              <w:rPr>
                <w:rFonts w:hint="eastAsia" w:ascii="等线" w:hAnsi="等线" w:eastAsia="等线" w:cs="等线"/>
                <w:color w:val="000000"/>
                <w:kern w:val="0"/>
                <w:sz w:val="22"/>
                <w:szCs w:val="22"/>
                <w:highlight w:val="none"/>
                <w:lang w:bidi="ar"/>
              </w:rPr>
            </w:pPr>
            <w:r>
              <w:rPr>
                <w:rFonts w:hint="eastAsia" w:ascii="等线" w:hAnsi="等线" w:eastAsia="等线" w:cs="等线"/>
                <w:color w:val="000000"/>
                <w:kern w:val="0"/>
                <w:sz w:val="22"/>
                <w:szCs w:val="22"/>
                <w:lang w:bidi="ar"/>
              </w:rPr>
              <w:t>四、</w:t>
            </w:r>
            <w:r>
              <w:rPr>
                <w:rFonts w:hint="eastAsia" w:ascii="等线" w:hAnsi="等线" w:eastAsia="等线" w:cs="等线"/>
                <w:color w:val="000000"/>
                <w:kern w:val="0"/>
                <w:sz w:val="22"/>
                <w:szCs w:val="22"/>
                <w:highlight w:val="none"/>
                <w:lang w:bidi="ar"/>
              </w:rPr>
              <w:t>响应要求</w:t>
            </w:r>
          </w:p>
          <w:p w14:paraId="775E646A">
            <w:pPr>
              <w:widowControl/>
              <w:jc w:val="left"/>
              <w:textAlignment w:val="top"/>
              <w:rPr>
                <w:rFonts w:hint="eastAsia" w:ascii="等线" w:hAnsi="等线" w:eastAsia="等线" w:cs="等线"/>
                <w:color w:val="000000"/>
                <w:kern w:val="0"/>
                <w:sz w:val="22"/>
                <w:szCs w:val="22"/>
                <w:highlight w:val="none"/>
                <w:lang w:bidi="ar"/>
              </w:rPr>
            </w:pPr>
            <w:r>
              <w:rPr>
                <w:rFonts w:hint="eastAsia" w:ascii="等线" w:hAnsi="等线" w:eastAsia="等线" w:cs="等线"/>
                <w:color w:val="000000"/>
                <w:kern w:val="0"/>
                <w:sz w:val="22"/>
                <w:szCs w:val="22"/>
                <w:highlight w:val="none"/>
                <w:lang w:bidi="ar"/>
              </w:rPr>
              <w:t>2.</w:t>
            </w:r>
            <w:r>
              <w:rPr>
                <w:rFonts w:hint="eastAsia" w:ascii="等线" w:hAnsi="等线" w:eastAsia="等线" w:cs="等线"/>
                <w:color w:val="000000"/>
                <w:kern w:val="0"/>
                <w:sz w:val="22"/>
                <w:szCs w:val="22"/>
                <w:highlight w:val="none"/>
                <w:lang w:val="en-US" w:eastAsia="zh-CN" w:bidi="ar"/>
              </w:rPr>
              <w:t>质保</w:t>
            </w:r>
            <w:r>
              <w:rPr>
                <w:rFonts w:hint="eastAsia" w:ascii="等线" w:hAnsi="等线" w:eastAsia="等线" w:cs="等线"/>
                <w:color w:val="000000"/>
                <w:kern w:val="0"/>
                <w:sz w:val="22"/>
                <w:szCs w:val="22"/>
                <w:highlight w:val="none"/>
                <w:lang w:bidi="ar"/>
              </w:rPr>
              <w:t>期：1年，从提交服务成果并验收合格之日起计算。</w:t>
            </w:r>
          </w:p>
          <w:p w14:paraId="0BA76DE6">
            <w:pPr>
              <w:widowControl/>
              <w:jc w:val="left"/>
              <w:textAlignment w:val="top"/>
              <w:rPr>
                <w:rFonts w:hint="eastAsia" w:ascii="等线" w:hAnsi="等线" w:eastAsia="等线" w:cs="等线"/>
                <w:color w:val="000000"/>
                <w:kern w:val="0"/>
                <w:sz w:val="22"/>
                <w:szCs w:val="22"/>
                <w:highlight w:val="none"/>
                <w:lang w:bidi="ar"/>
              </w:rPr>
            </w:pPr>
            <w:r>
              <w:rPr>
                <w:rFonts w:hint="eastAsia" w:ascii="等线" w:hAnsi="等线" w:eastAsia="等线" w:cs="等线"/>
                <w:color w:val="000000"/>
                <w:kern w:val="0"/>
                <w:sz w:val="22"/>
                <w:szCs w:val="22"/>
                <w:highlight w:val="none"/>
                <w:lang w:bidi="ar"/>
              </w:rPr>
              <w:t>3.</w:t>
            </w:r>
            <w:r>
              <w:rPr>
                <w:rFonts w:hint="eastAsia" w:ascii="等线" w:hAnsi="等线" w:eastAsia="等线" w:cs="等线"/>
                <w:color w:val="000000"/>
                <w:kern w:val="0"/>
                <w:sz w:val="22"/>
                <w:szCs w:val="22"/>
                <w:highlight w:val="none"/>
                <w:lang w:val="en-US" w:eastAsia="zh-CN" w:bidi="ar"/>
              </w:rPr>
              <w:t>质保</w:t>
            </w:r>
            <w:r>
              <w:rPr>
                <w:rFonts w:hint="eastAsia" w:ascii="等线" w:hAnsi="等线" w:eastAsia="等线" w:cs="等线"/>
                <w:color w:val="000000"/>
                <w:kern w:val="0"/>
                <w:sz w:val="22"/>
                <w:szCs w:val="22"/>
                <w:highlight w:val="none"/>
                <w:lang w:bidi="ar"/>
              </w:rPr>
              <w:t>期内，</w:t>
            </w:r>
            <w:r>
              <w:rPr>
                <w:rFonts w:hint="eastAsia" w:ascii="等线" w:hAnsi="等线" w:eastAsia="等线" w:cs="等线"/>
                <w:color w:val="000000"/>
                <w:kern w:val="0"/>
                <w:sz w:val="22"/>
                <w:szCs w:val="22"/>
                <w:highlight w:val="none"/>
                <w:lang w:val="en-US" w:eastAsia="zh-CN" w:bidi="ar"/>
              </w:rPr>
              <w:t>成交法方须提供技术支持完成所购置插件安装部署。插件安装部署后提供服务保障，</w:t>
            </w:r>
            <w:r>
              <w:rPr>
                <w:rFonts w:hint="eastAsia" w:ascii="等线" w:hAnsi="等线" w:eastAsia="等线" w:cs="等线"/>
                <w:color w:val="000000"/>
                <w:kern w:val="0"/>
                <w:sz w:val="22"/>
                <w:szCs w:val="22"/>
                <w:highlight w:val="none"/>
                <w:lang w:bidi="ar"/>
              </w:rPr>
              <w:t>成交方在接到采购方故障报修后，30分钟内实质响应，2小时内确认修复方案，如确需现场进行解决的，应在</w:t>
            </w:r>
            <w:r>
              <w:rPr>
                <w:rFonts w:hint="eastAsia" w:ascii="等线" w:hAnsi="等线" w:eastAsia="等线" w:cs="等线"/>
                <w:color w:val="000000"/>
                <w:kern w:val="0"/>
                <w:sz w:val="22"/>
                <w:szCs w:val="22"/>
                <w:highlight w:val="none"/>
                <w:lang w:val="en-US" w:eastAsia="zh-CN" w:bidi="ar"/>
              </w:rPr>
              <w:t>4</w:t>
            </w:r>
            <w:r>
              <w:rPr>
                <w:rFonts w:hint="eastAsia" w:ascii="等线" w:hAnsi="等线" w:eastAsia="等线" w:cs="等线"/>
                <w:color w:val="000000"/>
                <w:kern w:val="0"/>
                <w:sz w:val="22"/>
                <w:szCs w:val="22"/>
                <w:highlight w:val="none"/>
                <w:lang w:bidi="ar"/>
              </w:rPr>
              <w:t>小时内实地修复。</w:t>
            </w:r>
          </w:p>
          <w:p w14:paraId="14B18E1C">
            <w:pPr>
              <w:widowControl/>
              <w:jc w:val="left"/>
              <w:textAlignment w:val="top"/>
              <w:rPr>
                <w:rFonts w:hint="eastAsia" w:ascii="等线" w:hAnsi="等线" w:eastAsia="等线" w:cs="等线"/>
                <w:color w:val="000000"/>
                <w:kern w:val="0"/>
                <w:sz w:val="22"/>
                <w:szCs w:val="22"/>
                <w:highlight w:val="none"/>
                <w:lang w:bidi="ar"/>
              </w:rPr>
            </w:pPr>
            <w:r>
              <w:rPr>
                <w:rFonts w:hint="eastAsia" w:ascii="等线" w:hAnsi="等线" w:eastAsia="等线" w:cs="等线"/>
                <w:color w:val="000000"/>
                <w:kern w:val="0"/>
                <w:sz w:val="22"/>
                <w:szCs w:val="22"/>
                <w:highlight w:val="none"/>
                <w:lang w:bidi="ar"/>
              </w:rPr>
              <w:t>4.报价人在报价书中必须明确承诺达到用户的服务响应要求。</w:t>
            </w:r>
          </w:p>
          <w:p w14:paraId="23E5B4D2">
            <w:pPr>
              <w:widowControl/>
              <w:jc w:val="left"/>
              <w:textAlignment w:val="top"/>
              <w:rPr>
                <w:rFonts w:hint="eastAsia" w:ascii="等线" w:hAnsi="等线" w:eastAsia="等线" w:cs="等线"/>
                <w:color w:val="000000"/>
                <w:kern w:val="0"/>
                <w:sz w:val="22"/>
                <w:szCs w:val="22"/>
                <w:highlight w:val="none"/>
                <w:lang w:bidi="ar"/>
              </w:rPr>
            </w:pPr>
            <w:r>
              <w:rPr>
                <w:rFonts w:hint="eastAsia" w:ascii="等线" w:hAnsi="等线" w:eastAsia="等线" w:cs="等线"/>
                <w:color w:val="000000"/>
                <w:kern w:val="0"/>
                <w:sz w:val="22"/>
                <w:szCs w:val="22"/>
                <w:highlight w:val="none"/>
                <w:lang w:bidi="ar"/>
              </w:rPr>
              <w:t>5.</w:t>
            </w:r>
            <w:r>
              <w:rPr>
                <w:rFonts w:hint="eastAsia" w:ascii="等线" w:hAnsi="等线" w:eastAsia="等线" w:cs="等线"/>
                <w:color w:val="000000"/>
                <w:kern w:val="0"/>
                <w:sz w:val="22"/>
                <w:szCs w:val="22"/>
                <w:highlight w:val="none"/>
                <w:lang w:val="en-US" w:eastAsia="zh-CN" w:bidi="ar"/>
              </w:rPr>
              <w:t>质保</w:t>
            </w:r>
            <w:r>
              <w:rPr>
                <w:rFonts w:hint="eastAsia" w:ascii="等线" w:hAnsi="等线" w:eastAsia="等线" w:cs="等线"/>
                <w:color w:val="000000"/>
                <w:kern w:val="0"/>
                <w:sz w:val="22"/>
                <w:szCs w:val="22"/>
                <w:highlight w:val="none"/>
                <w:lang w:bidi="ar"/>
              </w:rPr>
              <w:t>期过后，报价人提供免费电话咨询服务，采购方需要继续由原报价人提供售后服务的，该报价人应以优惠价格提供售后服务。</w:t>
            </w:r>
          </w:p>
          <w:p w14:paraId="605C518A">
            <w:pPr>
              <w:widowControl/>
              <w:jc w:val="left"/>
              <w:textAlignment w:val="top"/>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highlight w:val="none"/>
                <w:lang w:bidi="ar"/>
              </w:rPr>
              <w:t>6.因成交方的</w:t>
            </w:r>
            <w:r>
              <w:rPr>
                <w:rFonts w:hint="eastAsia" w:ascii="等线" w:hAnsi="等线" w:eastAsia="等线" w:cs="等线"/>
                <w:color w:val="000000"/>
                <w:kern w:val="0"/>
                <w:sz w:val="22"/>
                <w:szCs w:val="22"/>
                <w:lang w:bidi="ar"/>
              </w:rPr>
              <w:t>原因，导致采购方系统出现安全事故，由成交方承担造成的所有损失。</w:t>
            </w:r>
          </w:p>
          <w:p w14:paraId="00141D34">
            <w:pPr>
              <w:widowControl/>
              <w:jc w:val="left"/>
              <w:textAlignment w:val="top"/>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六、</w:t>
            </w:r>
            <w:r>
              <w:rPr>
                <w:rFonts w:hint="eastAsia" w:ascii="等线" w:hAnsi="等线" w:eastAsia="等线" w:cs="等线"/>
                <w:b/>
                <w:bCs/>
                <w:color w:val="000000"/>
                <w:kern w:val="0"/>
                <w:sz w:val="22"/>
                <w:szCs w:val="22"/>
                <w:lang w:bidi="ar"/>
              </w:rPr>
              <w:t>报价人在报价书中必须明确响应本项目所有商务和技术要求，性能技术参数达到或优于需求说明，否则报价无效。</w:t>
            </w:r>
          </w:p>
        </w:tc>
      </w:tr>
    </w:tbl>
    <w:p w14:paraId="2432C624">
      <w:pPr>
        <w:spacing w:line="360" w:lineRule="auto"/>
        <w:rPr>
          <w:rFonts w:hint="eastAsia" w:ascii="仿宋_GB2312" w:hAnsi="宋体" w:eastAsia="仿宋_GB2312"/>
          <w:szCs w:val="21"/>
        </w:rPr>
      </w:pPr>
    </w:p>
    <w:p w14:paraId="06855FD6">
      <w:pPr>
        <w:spacing w:line="360" w:lineRule="auto"/>
        <w:rPr>
          <w:rFonts w:hint="eastAsia" w:ascii="仿宋_GB2312" w:hAnsi="宋体" w:eastAsia="仿宋_GB2312"/>
          <w:szCs w:val="21"/>
          <w:u w:val="single"/>
        </w:rPr>
      </w:pPr>
      <w:r>
        <w:rPr>
          <w:rFonts w:hint="eastAsia" w:ascii="仿宋_GB2312" w:hAnsi="宋体" w:eastAsia="仿宋_GB2312"/>
          <w:szCs w:val="21"/>
        </w:rPr>
        <w:t>法定代表人或委托代理人（签字）：</w:t>
      </w:r>
    </w:p>
    <w:p w14:paraId="45BA46F2">
      <w:pPr>
        <w:spacing w:line="360" w:lineRule="auto"/>
        <w:rPr>
          <w:rFonts w:hint="eastAsia" w:ascii="仿宋_GB2312" w:hAnsi="宋体" w:eastAsia="仿宋_GB2312"/>
          <w:szCs w:val="21"/>
        </w:rPr>
      </w:pPr>
      <w:r>
        <w:rPr>
          <w:rFonts w:hint="eastAsia" w:ascii="仿宋_GB2312" w:hAnsi="宋体" w:eastAsia="仿宋_GB2312"/>
          <w:szCs w:val="21"/>
        </w:rPr>
        <w:t>报价方（盖章）：</w:t>
      </w:r>
    </w:p>
    <w:p w14:paraId="16408038">
      <w:pPr>
        <w:spacing w:line="360" w:lineRule="auto"/>
        <w:rPr>
          <w:rFonts w:hint="eastAsia" w:ascii="仿宋_GB2312" w:hAnsi="宋体" w:eastAsia="仿宋_GB2312"/>
          <w:szCs w:val="21"/>
        </w:rPr>
      </w:pPr>
      <w:r>
        <w:rPr>
          <w:rFonts w:hint="eastAsia" w:ascii="仿宋_GB2312" w:hAnsi="宋体" w:eastAsia="仿宋_GB2312"/>
          <w:szCs w:val="21"/>
        </w:rPr>
        <w:t>报价时间：     年    月   日</w:t>
      </w:r>
    </w:p>
    <w:p w14:paraId="505A24D6">
      <w:pPr>
        <w:spacing w:line="240" w:lineRule="atLeast"/>
        <w:ind w:right="-317" w:rightChars="-151"/>
        <w:jc w:val="center"/>
        <w:rPr>
          <w:rFonts w:hint="eastAsia" w:ascii="仿宋_GB2312" w:hAnsi="楷体" w:eastAsia="仿宋_GB2312"/>
          <w:b/>
          <w:sz w:val="32"/>
          <w:szCs w:val="32"/>
        </w:rPr>
      </w:pPr>
    </w:p>
    <w:p w14:paraId="11E804FD">
      <w:pPr>
        <w:spacing w:line="240" w:lineRule="atLeast"/>
        <w:ind w:right="-317" w:rightChars="-151"/>
        <w:jc w:val="center"/>
        <w:rPr>
          <w:rFonts w:hint="eastAsia" w:ascii="仿宋_GB2312" w:hAnsi="楷体" w:eastAsia="仿宋_GB2312"/>
          <w:b/>
          <w:sz w:val="32"/>
          <w:szCs w:val="32"/>
        </w:rPr>
      </w:pPr>
    </w:p>
    <w:p w14:paraId="76E7EAE4">
      <w:pPr>
        <w:spacing w:line="240" w:lineRule="atLeast"/>
        <w:ind w:right="-317" w:rightChars="-151"/>
        <w:jc w:val="center"/>
        <w:rPr>
          <w:rFonts w:hint="eastAsia" w:ascii="仿宋_GB2312" w:hAnsi="楷体" w:eastAsia="仿宋_GB2312"/>
          <w:b/>
          <w:sz w:val="32"/>
          <w:szCs w:val="32"/>
        </w:rPr>
      </w:pPr>
    </w:p>
    <w:p w14:paraId="3AFA820F">
      <w:pPr>
        <w:spacing w:line="240" w:lineRule="atLeast"/>
        <w:ind w:right="-317" w:rightChars="-151"/>
        <w:jc w:val="center"/>
        <w:rPr>
          <w:rFonts w:hint="eastAsia" w:ascii="仿宋_GB2312" w:hAnsi="楷体" w:eastAsia="仿宋_GB2312"/>
          <w:b/>
          <w:sz w:val="32"/>
          <w:szCs w:val="32"/>
        </w:rPr>
      </w:pPr>
    </w:p>
    <w:p w14:paraId="38ECB048">
      <w:pPr>
        <w:spacing w:line="240" w:lineRule="atLeast"/>
        <w:ind w:right="-317" w:rightChars="-151"/>
        <w:jc w:val="center"/>
        <w:rPr>
          <w:rFonts w:hint="eastAsia" w:ascii="仿宋_GB2312" w:hAnsi="楷体" w:eastAsia="仿宋_GB2312"/>
          <w:b/>
          <w:sz w:val="32"/>
          <w:szCs w:val="32"/>
        </w:rPr>
      </w:pPr>
    </w:p>
    <w:p w14:paraId="201877EF">
      <w:pPr>
        <w:spacing w:line="240" w:lineRule="atLeast"/>
        <w:ind w:right="-317" w:rightChars="-151"/>
        <w:jc w:val="both"/>
        <w:rPr>
          <w:rFonts w:hint="eastAsia" w:ascii="仿宋_GB2312" w:hAnsi="楷体" w:eastAsia="仿宋_GB2312"/>
          <w:b/>
          <w:sz w:val="32"/>
          <w:szCs w:val="32"/>
        </w:rPr>
      </w:pPr>
    </w:p>
    <w:p w14:paraId="4042C293">
      <w:pPr>
        <w:spacing w:line="240" w:lineRule="atLeast"/>
        <w:ind w:right="-317" w:rightChars="-151"/>
        <w:jc w:val="center"/>
        <w:rPr>
          <w:rFonts w:hint="eastAsia" w:ascii="仿宋_GB2312" w:hAnsi="楷体" w:eastAsia="仿宋_GB2312"/>
          <w:b/>
          <w:sz w:val="32"/>
          <w:szCs w:val="32"/>
        </w:rPr>
      </w:pPr>
    </w:p>
    <w:p w14:paraId="0CF426A9">
      <w:pPr>
        <w:spacing w:line="240" w:lineRule="atLeast"/>
        <w:ind w:right="-317" w:rightChars="-151"/>
        <w:jc w:val="center"/>
        <w:rPr>
          <w:rFonts w:hint="eastAsia" w:ascii="仿宋_GB2312" w:hAnsi="楷体" w:eastAsia="仿宋_GB2312"/>
          <w:b/>
          <w:sz w:val="32"/>
          <w:szCs w:val="32"/>
        </w:rPr>
        <w:sectPr>
          <w:pgSz w:w="16838" w:h="11906" w:orient="landscape"/>
          <w:pgMar w:top="1587" w:right="2098" w:bottom="1474" w:left="1984" w:header="851" w:footer="992" w:gutter="0"/>
          <w:pgNumType w:fmt="decimal"/>
          <w:cols w:space="425" w:num="1"/>
          <w:docGrid w:type="lines" w:linePitch="312" w:charSpace="0"/>
        </w:sectPr>
      </w:pPr>
    </w:p>
    <w:p w14:paraId="22BB458D">
      <w:pPr>
        <w:spacing w:line="240" w:lineRule="atLeast"/>
        <w:ind w:right="-317" w:rightChars="-151"/>
        <w:jc w:val="center"/>
        <w:rPr>
          <w:rFonts w:hint="eastAsia" w:ascii="仿宋_GB2312" w:hAnsi="楷体" w:eastAsia="仿宋_GB2312"/>
          <w:b/>
          <w:sz w:val="32"/>
          <w:szCs w:val="32"/>
        </w:rPr>
      </w:pPr>
    </w:p>
    <w:p w14:paraId="72C97F24">
      <w:pPr>
        <w:spacing w:line="240" w:lineRule="atLeast"/>
        <w:ind w:right="-317" w:rightChars="-151"/>
        <w:jc w:val="center"/>
        <w:rPr>
          <w:rFonts w:hint="eastAsia" w:ascii="仿宋_GB2312" w:hAnsi="楷体" w:eastAsia="仿宋_GB2312"/>
          <w:b/>
          <w:sz w:val="32"/>
          <w:szCs w:val="32"/>
        </w:rPr>
      </w:pPr>
      <w:r>
        <w:rPr>
          <w:rFonts w:hint="eastAsia" w:ascii="仿宋_GB2312" w:hAnsi="楷体" w:eastAsia="仿宋_GB2312"/>
          <w:b/>
          <w:sz w:val="32"/>
          <w:szCs w:val="32"/>
        </w:rPr>
        <w:t>营业执照复印件</w:t>
      </w:r>
    </w:p>
    <w:p w14:paraId="203DEDB9">
      <w:pPr>
        <w:spacing w:line="240" w:lineRule="atLeast"/>
        <w:ind w:right="-317" w:rightChars="-151"/>
        <w:jc w:val="center"/>
        <w:rPr>
          <w:rFonts w:hint="eastAsia" w:ascii="仿宋_GB2312" w:hAnsi="楷体" w:eastAsia="仿宋_GB2312"/>
          <w:b/>
          <w:sz w:val="32"/>
          <w:szCs w:val="32"/>
        </w:rPr>
      </w:pPr>
    </w:p>
    <w:p w14:paraId="101D074C">
      <w:pPr>
        <w:spacing w:line="240" w:lineRule="atLeast"/>
        <w:ind w:right="-317" w:rightChars="-151"/>
        <w:jc w:val="center"/>
        <w:rPr>
          <w:rFonts w:hint="eastAsia" w:ascii="仿宋_GB2312" w:hAnsi="楷体" w:eastAsia="仿宋_GB2312"/>
          <w:b/>
          <w:sz w:val="32"/>
          <w:szCs w:val="32"/>
        </w:rPr>
      </w:pPr>
    </w:p>
    <w:p w14:paraId="1E6ECB86">
      <w:pPr>
        <w:spacing w:line="240" w:lineRule="atLeast"/>
        <w:ind w:right="-317" w:rightChars="-151"/>
        <w:jc w:val="center"/>
        <w:rPr>
          <w:rFonts w:hint="eastAsia" w:ascii="仿宋_GB2312" w:hAnsi="楷体" w:eastAsia="仿宋_GB2312"/>
          <w:b/>
          <w:sz w:val="32"/>
          <w:szCs w:val="32"/>
        </w:rPr>
      </w:pPr>
    </w:p>
    <w:p w14:paraId="7040D147">
      <w:pPr>
        <w:spacing w:line="240" w:lineRule="atLeast"/>
        <w:ind w:right="-317" w:rightChars="-151"/>
        <w:jc w:val="center"/>
        <w:rPr>
          <w:rFonts w:hint="eastAsia" w:ascii="仿宋_GB2312" w:hAnsi="楷体" w:eastAsia="仿宋_GB2312"/>
          <w:b/>
          <w:sz w:val="32"/>
          <w:szCs w:val="32"/>
        </w:rPr>
      </w:pPr>
    </w:p>
    <w:p w14:paraId="04A53DEB">
      <w:pPr>
        <w:spacing w:line="240" w:lineRule="atLeast"/>
        <w:ind w:right="-317" w:rightChars="-151"/>
        <w:jc w:val="center"/>
        <w:rPr>
          <w:rFonts w:hint="eastAsia" w:ascii="仿宋_GB2312" w:hAnsi="楷体" w:eastAsia="仿宋_GB2312"/>
          <w:b/>
          <w:sz w:val="32"/>
          <w:szCs w:val="32"/>
        </w:rPr>
      </w:pPr>
    </w:p>
    <w:p w14:paraId="4A04B59B">
      <w:pPr>
        <w:spacing w:line="240" w:lineRule="atLeast"/>
        <w:ind w:right="-317" w:rightChars="-151"/>
        <w:jc w:val="center"/>
        <w:rPr>
          <w:rFonts w:hint="eastAsia" w:ascii="仿宋_GB2312" w:hAnsi="宋体" w:eastAsia="仿宋_GB2312"/>
          <w:b/>
          <w:sz w:val="28"/>
          <w:szCs w:val="21"/>
        </w:rPr>
      </w:pPr>
    </w:p>
    <w:p w14:paraId="1E7CF664">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268BE1C7">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0DFB85C4">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47D7BB4B">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3955A64B">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5AC17A74">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4419F3F4">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1A9A2B81">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7F15D628">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118B4866">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2F3823CA">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792EC8C8">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555B6C94">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51150F39">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58119797">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28B496F9">
      <w:pPr>
        <w:spacing w:line="240" w:lineRule="atLeast"/>
        <w:ind w:right="-317" w:rightChars="-151"/>
        <w:jc w:val="center"/>
        <w:rPr>
          <w:rFonts w:hint="eastAsia" w:ascii="仿宋_GB2312" w:hAnsi="楷体" w:eastAsia="仿宋_GB2312"/>
          <w:b/>
          <w:sz w:val="32"/>
          <w:szCs w:val="32"/>
        </w:rPr>
      </w:pPr>
      <w:r>
        <w:rPr>
          <w:rFonts w:hint="eastAsia" w:ascii="仿宋_GB2312" w:hAnsi="楷体" w:eastAsia="仿宋_GB2312"/>
          <w:b/>
          <w:sz w:val="32"/>
          <w:szCs w:val="32"/>
        </w:rPr>
        <w:t>法定代表人授权书</w:t>
      </w:r>
    </w:p>
    <w:p w14:paraId="33109424">
      <w:pPr>
        <w:pStyle w:val="23"/>
        <w:spacing w:line="360" w:lineRule="auto"/>
        <w:ind w:firstLine="0" w:firstLineChars="0"/>
        <w:rPr>
          <w:rFonts w:hint="eastAsia" w:ascii="仿宋_GB2312" w:hAnsi="宋体" w:eastAsia="仿宋_GB2312"/>
          <w:sz w:val="24"/>
          <w:szCs w:val="24"/>
        </w:rPr>
      </w:pPr>
    </w:p>
    <w:p w14:paraId="1E100013">
      <w:pPr>
        <w:pStyle w:val="23"/>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广西壮族自治区交通运输综合行政执法局：</w:t>
      </w:r>
    </w:p>
    <w:p w14:paraId="66DF87F5">
      <w:pPr>
        <w:spacing w:line="360" w:lineRule="auto"/>
        <w:ind w:firstLine="480" w:firstLineChars="200"/>
        <w:rPr>
          <w:rFonts w:hint="eastAsia" w:ascii="仿宋_GB2312" w:hAnsi="宋体" w:eastAsia="仿宋_GB2312" w:cs="宋体"/>
          <w:kern w:val="0"/>
          <w:sz w:val="24"/>
        </w:rPr>
      </w:pPr>
      <w:r>
        <w:rPr>
          <w:rFonts w:hint="eastAsia" w:ascii="仿宋_GB2312" w:hAnsi="宋体" w:eastAsia="仿宋_GB2312"/>
          <w:sz w:val="24"/>
        </w:rPr>
        <w:t>兹授权</w:t>
      </w:r>
      <w:r>
        <w:rPr>
          <w:rFonts w:hint="eastAsia" w:ascii="仿宋_GB2312" w:hAnsi="宋体" w:eastAsia="仿宋_GB2312"/>
          <w:sz w:val="24"/>
          <w:u w:val="single"/>
        </w:rPr>
        <w:t xml:space="preserve">    </w:t>
      </w:r>
      <w:r>
        <w:rPr>
          <w:rFonts w:hint="eastAsia" w:ascii="仿宋_GB2312" w:hAnsi="宋体" w:eastAsia="仿宋_GB2312"/>
          <w:sz w:val="24"/>
        </w:rPr>
        <w:t>同志为我公司参加贵单位组织的</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项目</w:t>
      </w:r>
      <w:r>
        <w:rPr>
          <w:rFonts w:hint="eastAsia" w:ascii="仿宋_GB2312" w:hAnsi="宋体" w:eastAsia="仿宋_GB2312" w:cs="仿宋_GB2312"/>
          <w:sz w:val="24"/>
        </w:rPr>
        <w:t>采购</w:t>
      </w:r>
      <w:r>
        <w:rPr>
          <w:rFonts w:hint="eastAsia" w:ascii="仿宋_GB2312" w:hAnsi="宋体" w:eastAsia="仿宋_GB2312"/>
          <w:sz w:val="24"/>
        </w:rPr>
        <w:t>活动的委托代理人，全权代表我公司处理在该项目活动中的一切事宜。代理期限从   年  月  日起至   年  月  日止。</w:t>
      </w:r>
    </w:p>
    <w:p w14:paraId="286F9E8B">
      <w:pPr>
        <w:pStyle w:val="23"/>
        <w:spacing w:line="360" w:lineRule="auto"/>
        <w:ind w:firstLine="480"/>
        <w:rPr>
          <w:rFonts w:hint="eastAsia" w:ascii="仿宋_GB2312" w:hAnsi="宋体" w:eastAsia="仿宋_GB2312"/>
          <w:sz w:val="24"/>
          <w:szCs w:val="24"/>
          <w:u w:val="single"/>
        </w:rPr>
      </w:pPr>
      <w:r>
        <w:rPr>
          <w:rFonts w:hint="eastAsia" w:ascii="仿宋_GB2312" w:hAnsi="宋体" w:eastAsia="仿宋_GB2312"/>
          <w:sz w:val="24"/>
          <w:szCs w:val="24"/>
        </w:rPr>
        <w:t>授权单位（盖章）：</w:t>
      </w:r>
    </w:p>
    <w:p w14:paraId="5D21FA7C">
      <w:pPr>
        <w:pStyle w:val="23"/>
        <w:spacing w:line="360" w:lineRule="auto"/>
        <w:ind w:firstLine="480"/>
        <w:rPr>
          <w:rFonts w:hint="eastAsia" w:ascii="仿宋_GB2312" w:hAnsi="宋体" w:eastAsia="仿宋_GB2312"/>
          <w:sz w:val="24"/>
          <w:szCs w:val="24"/>
          <w:u w:val="single"/>
        </w:rPr>
      </w:pPr>
      <w:r>
        <w:rPr>
          <w:rFonts w:hint="eastAsia" w:ascii="仿宋_GB2312" w:hAnsi="宋体" w:eastAsia="仿宋_GB2312"/>
          <w:sz w:val="24"/>
          <w:szCs w:val="24"/>
        </w:rPr>
        <w:t>法定代表人(签字或盖章)：</w:t>
      </w:r>
    </w:p>
    <w:p w14:paraId="7B934587">
      <w:pPr>
        <w:pStyle w:val="2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签发日期：   年  月  日</w:t>
      </w:r>
    </w:p>
    <w:p w14:paraId="5BDF4E1E">
      <w:pPr>
        <w:pStyle w:val="23"/>
        <w:spacing w:line="360" w:lineRule="auto"/>
        <w:ind w:firstLine="480"/>
        <w:rPr>
          <w:rFonts w:hint="eastAsia" w:ascii="仿宋_GB2312" w:hAnsi="宋体" w:eastAsia="仿宋_GB2312" w:cs="仿宋_GB2312"/>
          <w:sz w:val="24"/>
          <w:szCs w:val="24"/>
          <w:u w:val="single"/>
        </w:rPr>
      </w:pPr>
      <w:r>
        <w:rPr>
          <w:rFonts w:hint="eastAsia" w:ascii="仿宋_GB2312" w:hAnsi="宋体" w:eastAsia="仿宋_GB2312"/>
          <w:sz w:val="24"/>
          <w:szCs w:val="24"/>
        </w:rPr>
        <w:t>委托代理人工作单位：</w:t>
      </w:r>
    </w:p>
    <w:p w14:paraId="20C4BB54">
      <w:pPr>
        <w:pStyle w:val="23"/>
        <w:spacing w:line="360" w:lineRule="auto"/>
        <w:ind w:firstLine="480"/>
        <w:rPr>
          <w:rFonts w:hint="eastAsia" w:ascii="仿宋_GB2312" w:hAnsi="宋体" w:eastAsia="仿宋_GB2312"/>
          <w:sz w:val="24"/>
          <w:szCs w:val="24"/>
          <w:u w:val="single"/>
        </w:rPr>
      </w:pPr>
      <w:r>
        <w:rPr>
          <w:rFonts w:hint="eastAsia" w:ascii="仿宋_GB2312" w:hAnsi="宋体" w:eastAsia="仿宋_GB2312"/>
          <w:sz w:val="24"/>
          <w:szCs w:val="24"/>
        </w:rPr>
        <w:t>职务：        性别：</w:t>
      </w:r>
    </w:p>
    <w:p w14:paraId="3653449B">
      <w:pPr>
        <w:pStyle w:val="23"/>
        <w:spacing w:line="360" w:lineRule="auto"/>
        <w:ind w:firstLine="480"/>
        <w:rPr>
          <w:rFonts w:hint="eastAsia" w:ascii="仿宋_GB2312" w:hAnsi="宋体" w:eastAsia="仿宋_GB2312"/>
          <w:sz w:val="24"/>
          <w:szCs w:val="24"/>
          <w:u w:val="single"/>
        </w:rPr>
      </w:pPr>
      <w:r>
        <w:rPr>
          <w:rFonts w:hint="eastAsia" w:ascii="仿宋_GB2312" w:hAnsi="宋体" w:eastAsia="仿宋_GB2312"/>
          <w:sz w:val="24"/>
          <w:szCs w:val="24"/>
        </w:rPr>
        <w:t>身份证号码：</w:t>
      </w:r>
    </w:p>
    <w:p w14:paraId="337BC5E7">
      <w:pPr>
        <w:pStyle w:val="24"/>
        <w:ind w:firstLine="0" w:firstLineChars="0"/>
        <w:rPr>
          <w:rFonts w:hint="eastAsia" w:ascii="仿宋_GB2312" w:hAnsi="宋体" w:eastAsia="仿宋_GB2312"/>
          <w:sz w:val="24"/>
          <w:szCs w:val="24"/>
        </w:rPr>
      </w:pPr>
    </w:p>
    <w:p w14:paraId="2E63EF5C">
      <w:pPr>
        <w:rPr>
          <w:rFonts w:hint="eastAsia" w:ascii="仿宋_GB2312" w:hAnsi="宋体" w:eastAsia="仿宋_GB2312"/>
          <w:sz w:val="24"/>
        </w:rPr>
      </w:pPr>
      <w:r>
        <w:rPr>
          <w:rFonts w:hint="eastAsia" w:ascii="仿宋_GB2312" w:hAnsi="宋体" w:eastAsia="仿宋_GB2312"/>
          <w:sz w:val="24"/>
        </w:rPr>
        <w:t>附：法定代表人身份证复印件、委托代理人身份证复印件</w:t>
      </w:r>
    </w:p>
    <w:p w14:paraId="4AE257FD">
      <w:pPr>
        <w:pStyle w:val="24"/>
        <w:ind w:firstLine="0" w:firstLineChars="0"/>
        <w:rPr>
          <w:rFonts w:hint="eastAsia" w:ascii="仿宋_GB2312" w:hAnsi="宋体" w:eastAsia="仿宋_GB2312"/>
          <w:sz w:val="28"/>
          <w:szCs w:val="36"/>
        </w:rPr>
      </w:pPr>
    </w:p>
    <w:p w14:paraId="68566E42">
      <w:pPr>
        <w:rPr>
          <w:rFonts w:ascii="仿宋_GB2312" w:eastAsia="仿宋_GB2312"/>
          <w:sz w:val="28"/>
          <w:szCs w:val="28"/>
        </w:rPr>
      </w:pPr>
    </w:p>
    <w:p w14:paraId="56D0C2A6">
      <w:pPr>
        <w:rPr>
          <w:rFonts w:ascii="仿宋_GB2312" w:eastAsia="仿宋_GB2312"/>
          <w:sz w:val="28"/>
          <w:szCs w:val="28"/>
        </w:rPr>
      </w:pPr>
    </w:p>
    <w:p w14:paraId="21C850FE">
      <w:pPr>
        <w:rPr>
          <w:rFonts w:ascii="仿宋_GB2312" w:eastAsia="仿宋_GB2312"/>
          <w:sz w:val="28"/>
          <w:szCs w:val="28"/>
        </w:rPr>
      </w:pPr>
    </w:p>
    <w:p w14:paraId="1CD7EF53">
      <w:pPr>
        <w:rPr>
          <w:rFonts w:ascii="仿宋_GB2312" w:eastAsia="仿宋_GB2312"/>
          <w:sz w:val="28"/>
          <w:szCs w:val="28"/>
        </w:rPr>
      </w:pPr>
    </w:p>
    <w:p w14:paraId="23050ED5">
      <w:pPr>
        <w:rPr>
          <w:rFonts w:ascii="仿宋_GB2312" w:eastAsia="仿宋_GB2312"/>
          <w:sz w:val="28"/>
          <w:szCs w:val="28"/>
        </w:rPr>
      </w:pPr>
    </w:p>
    <w:p w14:paraId="1416C664">
      <w:pPr>
        <w:rPr>
          <w:rFonts w:ascii="仿宋_GB2312" w:eastAsia="仿宋_GB2312"/>
          <w:sz w:val="28"/>
          <w:szCs w:val="28"/>
        </w:rPr>
      </w:pPr>
    </w:p>
    <w:p w14:paraId="48C5A8F8">
      <w:pPr>
        <w:rPr>
          <w:rFonts w:ascii="仿宋_GB2312" w:eastAsia="仿宋_GB2312"/>
          <w:sz w:val="28"/>
          <w:szCs w:val="28"/>
        </w:rPr>
      </w:pPr>
    </w:p>
    <w:p w14:paraId="58855FDB">
      <w:pPr>
        <w:rPr>
          <w:rFonts w:ascii="仿宋_GB2312" w:eastAsia="仿宋_GB2312"/>
          <w:sz w:val="28"/>
          <w:szCs w:val="28"/>
        </w:rPr>
      </w:pPr>
    </w:p>
    <w:p w14:paraId="0FBB45C7">
      <w:pPr>
        <w:spacing w:line="240" w:lineRule="atLeast"/>
        <w:ind w:right="-317" w:rightChars="-151"/>
        <w:jc w:val="center"/>
        <w:rPr>
          <w:rFonts w:hint="eastAsia" w:ascii="仿宋_GB2312" w:hAnsi="楷体" w:eastAsia="仿宋_GB2312"/>
          <w:b/>
          <w:sz w:val="32"/>
          <w:szCs w:val="32"/>
        </w:rPr>
      </w:pPr>
      <w:r>
        <w:rPr>
          <w:rFonts w:hint="eastAsia" w:ascii="仿宋_GB2312" w:hAnsi="楷体" w:eastAsia="仿宋_GB2312"/>
          <w:b/>
          <w:sz w:val="32"/>
          <w:szCs w:val="32"/>
        </w:rPr>
        <w:t>相关业绩证明材料（成交通知书、项目合同等）</w:t>
      </w:r>
    </w:p>
    <w:p w14:paraId="1E70A861">
      <w:pPr>
        <w:jc w:val="center"/>
        <w:rPr>
          <w:rFonts w:hint="eastAsia" w:ascii="仿宋_GB2312" w:hAnsi="宋体" w:eastAsia="仿宋_GB2312"/>
          <w:b/>
          <w:sz w:val="28"/>
          <w:szCs w:val="21"/>
        </w:rPr>
      </w:pPr>
    </w:p>
    <w:p w14:paraId="62F856D8">
      <w:pPr>
        <w:jc w:val="center"/>
        <w:rPr>
          <w:rFonts w:hint="eastAsia" w:ascii="仿宋_GB2312" w:hAnsi="宋体" w:eastAsia="仿宋_GB2312"/>
          <w:b/>
          <w:sz w:val="28"/>
          <w:szCs w:val="21"/>
        </w:rPr>
      </w:pPr>
    </w:p>
    <w:p w14:paraId="6C2892DA">
      <w:pPr>
        <w:jc w:val="center"/>
        <w:rPr>
          <w:rFonts w:hint="eastAsia" w:ascii="仿宋_GB2312" w:hAnsi="宋体" w:eastAsia="仿宋_GB2312"/>
          <w:b/>
          <w:sz w:val="28"/>
          <w:szCs w:val="21"/>
        </w:rPr>
      </w:pPr>
    </w:p>
    <w:p w14:paraId="6B96B518">
      <w:pPr>
        <w:jc w:val="center"/>
        <w:rPr>
          <w:rFonts w:hint="eastAsia" w:ascii="仿宋_GB2312" w:hAnsi="宋体" w:eastAsia="仿宋_GB2312"/>
          <w:b/>
          <w:sz w:val="28"/>
          <w:szCs w:val="21"/>
        </w:rPr>
      </w:pPr>
    </w:p>
    <w:p w14:paraId="0FAE5C52">
      <w:pPr>
        <w:jc w:val="center"/>
        <w:rPr>
          <w:rFonts w:hint="eastAsia" w:ascii="仿宋_GB2312" w:hAnsi="宋体" w:eastAsia="仿宋_GB2312"/>
          <w:b/>
          <w:sz w:val="28"/>
          <w:szCs w:val="21"/>
        </w:rPr>
      </w:pPr>
    </w:p>
    <w:p w14:paraId="2F188058">
      <w:pPr>
        <w:jc w:val="center"/>
        <w:rPr>
          <w:rFonts w:hint="eastAsia" w:ascii="仿宋_GB2312" w:hAnsi="宋体" w:eastAsia="仿宋_GB2312"/>
          <w:b/>
          <w:sz w:val="28"/>
          <w:szCs w:val="21"/>
        </w:rPr>
      </w:pPr>
    </w:p>
    <w:p w14:paraId="5A007F8B">
      <w:pPr>
        <w:jc w:val="center"/>
        <w:rPr>
          <w:rFonts w:hint="eastAsia" w:ascii="仿宋_GB2312" w:hAnsi="宋体" w:eastAsia="仿宋_GB2312"/>
          <w:b/>
          <w:sz w:val="28"/>
          <w:szCs w:val="21"/>
        </w:rPr>
      </w:pPr>
    </w:p>
    <w:p w14:paraId="6029CD96">
      <w:pPr>
        <w:jc w:val="center"/>
        <w:rPr>
          <w:rFonts w:hint="eastAsia" w:ascii="仿宋_GB2312" w:hAnsi="宋体" w:eastAsia="仿宋_GB2312"/>
          <w:b/>
          <w:sz w:val="28"/>
          <w:szCs w:val="21"/>
        </w:rPr>
      </w:pPr>
    </w:p>
    <w:p w14:paraId="3EC0E861">
      <w:pPr>
        <w:jc w:val="center"/>
        <w:rPr>
          <w:rFonts w:hint="eastAsia" w:ascii="仿宋_GB2312" w:hAnsi="宋体" w:eastAsia="仿宋_GB2312"/>
          <w:b/>
          <w:sz w:val="28"/>
          <w:szCs w:val="21"/>
        </w:rPr>
      </w:pPr>
    </w:p>
    <w:p w14:paraId="099FB8DE">
      <w:pPr>
        <w:jc w:val="center"/>
        <w:rPr>
          <w:rFonts w:hint="eastAsia" w:ascii="仿宋_GB2312" w:hAnsi="宋体" w:eastAsia="仿宋_GB2312"/>
          <w:b/>
          <w:sz w:val="28"/>
          <w:szCs w:val="21"/>
        </w:rPr>
      </w:pPr>
    </w:p>
    <w:p w14:paraId="4F83D824">
      <w:pPr>
        <w:jc w:val="center"/>
        <w:rPr>
          <w:rFonts w:hint="eastAsia" w:ascii="仿宋_GB2312" w:hAnsi="宋体" w:eastAsia="仿宋_GB2312"/>
          <w:b/>
          <w:sz w:val="28"/>
          <w:szCs w:val="21"/>
        </w:rPr>
      </w:pPr>
    </w:p>
    <w:p w14:paraId="1007BF76">
      <w:pPr>
        <w:jc w:val="center"/>
        <w:rPr>
          <w:rFonts w:hint="eastAsia" w:ascii="仿宋_GB2312" w:hAnsi="宋体" w:eastAsia="仿宋_GB2312"/>
          <w:b/>
          <w:sz w:val="28"/>
          <w:szCs w:val="21"/>
        </w:rPr>
      </w:pPr>
    </w:p>
    <w:p w14:paraId="1448D84E">
      <w:pPr>
        <w:jc w:val="center"/>
        <w:rPr>
          <w:rFonts w:hint="eastAsia" w:ascii="仿宋_GB2312" w:hAnsi="宋体" w:eastAsia="仿宋_GB2312"/>
          <w:b/>
          <w:sz w:val="28"/>
          <w:szCs w:val="21"/>
        </w:rPr>
      </w:pPr>
    </w:p>
    <w:p w14:paraId="499ED1EC">
      <w:pPr>
        <w:jc w:val="center"/>
        <w:rPr>
          <w:rFonts w:hint="eastAsia" w:ascii="仿宋_GB2312" w:hAnsi="宋体" w:eastAsia="仿宋_GB2312"/>
          <w:b/>
          <w:sz w:val="28"/>
          <w:szCs w:val="21"/>
        </w:rPr>
      </w:pPr>
    </w:p>
    <w:p w14:paraId="6CE81D4E">
      <w:pPr>
        <w:jc w:val="center"/>
        <w:rPr>
          <w:rFonts w:hint="eastAsia" w:ascii="仿宋_GB2312" w:hAnsi="宋体" w:eastAsia="仿宋_GB2312"/>
          <w:b/>
          <w:sz w:val="28"/>
          <w:szCs w:val="21"/>
        </w:rPr>
      </w:pPr>
    </w:p>
    <w:p w14:paraId="1FB9199F">
      <w:pPr>
        <w:jc w:val="center"/>
        <w:rPr>
          <w:rFonts w:hint="eastAsia" w:ascii="仿宋_GB2312" w:hAnsi="宋体" w:eastAsia="仿宋_GB2312"/>
          <w:b/>
          <w:sz w:val="28"/>
          <w:szCs w:val="21"/>
        </w:rPr>
      </w:pPr>
    </w:p>
    <w:p w14:paraId="1B18ABFA">
      <w:pPr>
        <w:jc w:val="center"/>
        <w:rPr>
          <w:rFonts w:hint="eastAsia" w:ascii="仿宋_GB2312" w:hAnsi="宋体" w:eastAsia="仿宋_GB2312"/>
          <w:b/>
          <w:sz w:val="28"/>
          <w:szCs w:val="21"/>
        </w:rPr>
      </w:pPr>
    </w:p>
    <w:p w14:paraId="1C8A46AD">
      <w:pPr>
        <w:jc w:val="center"/>
        <w:rPr>
          <w:rFonts w:hint="eastAsia" w:ascii="仿宋_GB2312" w:hAnsi="宋体" w:eastAsia="仿宋_GB2312"/>
          <w:b/>
          <w:sz w:val="28"/>
          <w:szCs w:val="21"/>
        </w:rPr>
      </w:pPr>
    </w:p>
    <w:p w14:paraId="304FC77C">
      <w:pPr>
        <w:spacing w:line="240" w:lineRule="atLeast"/>
        <w:ind w:right="-317" w:rightChars="-151"/>
        <w:jc w:val="center"/>
        <w:rPr>
          <w:rFonts w:hint="eastAsia" w:ascii="仿宋_GB2312" w:hAnsi="楷体" w:eastAsia="仿宋_GB2312"/>
          <w:b/>
          <w:sz w:val="32"/>
          <w:szCs w:val="32"/>
        </w:rPr>
      </w:pPr>
      <w:r>
        <w:rPr>
          <w:rFonts w:hint="eastAsia" w:ascii="仿宋_GB2312" w:hAnsi="楷体" w:eastAsia="仿宋_GB2312"/>
          <w:b/>
          <w:sz w:val="32"/>
          <w:szCs w:val="32"/>
        </w:rPr>
        <w:t>针对本次采购的原厂授权文件</w:t>
      </w:r>
    </w:p>
    <w:p w14:paraId="118437DC">
      <w:pPr>
        <w:jc w:val="both"/>
        <w:rPr>
          <w:rFonts w:hint="eastAsia" w:ascii="仿宋_GB2312" w:hAnsi="宋体" w:eastAsia="仿宋_GB2312"/>
          <w:b/>
          <w:sz w:val="28"/>
          <w:szCs w:val="21"/>
        </w:rPr>
      </w:pPr>
    </w:p>
    <w:p w14:paraId="4F88C82F">
      <w:pPr>
        <w:jc w:val="both"/>
        <w:rPr>
          <w:rFonts w:hint="eastAsia" w:ascii="仿宋_GB2312" w:hAnsi="宋体" w:eastAsia="仿宋_GB2312"/>
          <w:b/>
          <w:sz w:val="28"/>
          <w:szCs w:val="21"/>
        </w:rPr>
      </w:pPr>
    </w:p>
    <w:p w14:paraId="02B2E098">
      <w:pPr>
        <w:jc w:val="both"/>
        <w:rPr>
          <w:rFonts w:hint="eastAsia" w:ascii="仿宋_GB2312" w:hAnsi="宋体" w:eastAsia="仿宋_GB2312"/>
          <w:b/>
          <w:sz w:val="28"/>
          <w:szCs w:val="21"/>
        </w:rPr>
      </w:pPr>
    </w:p>
    <w:p w14:paraId="3DAF6F31">
      <w:pPr>
        <w:jc w:val="both"/>
        <w:rPr>
          <w:rFonts w:hint="eastAsia" w:ascii="仿宋_GB2312" w:hAnsi="宋体" w:eastAsia="仿宋_GB2312"/>
          <w:b/>
          <w:sz w:val="28"/>
          <w:szCs w:val="21"/>
        </w:rPr>
      </w:pPr>
    </w:p>
    <w:p w14:paraId="4FF79E17">
      <w:pPr>
        <w:jc w:val="both"/>
        <w:rPr>
          <w:rFonts w:hint="eastAsia" w:ascii="仿宋_GB2312" w:hAnsi="宋体" w:eastAsia="仿宋_GB2312"/>
          <w:b/>
          <w:sz w:val="28"/>
          <w:szCs w:val="21"/>
        </w:rPr>
      </w:pPr>
    </w:p>
    <w:p w14:paraId="2ED9FD7A">
      <w:pPr>
        <w:jc w:val="both"/>
        <w:rPr>
          <w:rFonts w:hint="eastAsia" w:ascii="仿宋_GB2312" w:hAnsi="宋体" w:eastAsia="仿宋_GB2312"/>
          <w:b/>
          <w:sz w:val="28"/>
          <w:szCs w:val="21"/>
        </w:rPr>
      </w:pPr>
    </w:p>
    <w:p w14:paraId="76DDBAB7">
      <w:pPr>
        <w:jc w:val="both"/>
        <w:rPr>
          <w:rFonts w:hint="eastAsia" w:ascii="仿宋_GB2312" w:hAnsi="宋体" w:eastAsia="仿宋_GB2312"/>
          <w:b/>
          <w:sz w:val="28"/>
          <w:szCs w:val="21"/>
        </w:rPr>
      </w:pPr>
    </w:p>
    <w:p w14:paraId="1E41875E">
      <w:pPr>
        <w:jc w:val="both"/>
        <w:rPr>
          <w:rFonts w:hint="eastAsia" w:ascii="仿宋_GB2312" w:hAnsi="宋体" w:eastAsia="仿宋_GB2312"/>
          <w:b/>
          <w:sz w:val="28"/>
          <w:szCs w:val="21"/>
        </w:rPr>
      </w:pPr>
    </w:p>
    <w:p w14:paraId="1F86BA26">
      <w:pPr>
        <w:jc w:val="both"/>
        <w:rPr>
          <w:rFonts w:hint="eastAsia" w:ascii="仿宋_GB2312" w:hAnsi="宋体" w:eastAsia="仿宋_GB2312"/>
          <w:b/>
          <w:sz w:val="28"/>
          <w:szCs w:val="21"/>
        </w:rPr>
      </w:pPr>
    </w:p>
    <w:p w14:paraId="16AC2901">
      <w:pPr>
        <w:jc w:val="both"/>
        <w:rPr>
          <w:rFonts w:hint="eastAsia" w:ascii="仿宋_GB2312" w:hAnsi="宋体" w:eastAsia="仿宋_GB2312"/>
          <w:b/>
          <w:sz w:val="28"/>
          <w:szCs w:val="21"/>
        </w:rPr>
      </w:pPr>
    </w:p>
    <w:p w14:paraId="79D8BCBD">
      <w:pPr>
        <w:jc w:val="both"/>
        <w:rPr>
          <w:rFonts w:hint="eastAsia" w:ascii="仿宋_GB2312" w:hAnsi="宋体" w:eastAsia="仿宋_GB2312"/>
          <w:b/>
          <w:sz w:val="28"/>
          <w:szCs w:val="21"/>
        </w:rPr>
      </w:pPr>
    </w:p>
    <w:p w14:paraId="3CB2BDB9">
      <w:pPr>
        <w:jc w:val="both"/>
        <w:rPr>
          <w:rFonts w:hint="eastAsia" w:ascii="仿宋_GB2312" w:hAnsi="宋体" w:eastAsia="仿宋_GB2312"/>
          <w:b/>
          <w:sz w:val="28"/>
          <w:szCs w:val="21"/>
        </w:rPr>
      </w:pPr>
    </w:p>
    <w:p w14:paraId="10C0A868">
      <w:pPr>
        <w:jc w:val="both"/>
        <w:rPr>
          <w:rFonts w:hint="eastAsia" w:ascii="仿宋_GB2312" w:hAnsi="宋体" w:eastAsia="仿宋_GB2312"/>
          <w:b/>
          <w:sz w:val="28"/>
          <w:szCs w:val="21"/>
        </w:rPr>
      </w:pPr>
    </w:p>
    <w:p w14:paraId="604DA34D">
      <w:pPr>
        <w:jc w:val="both"/>
        <w:rPr>
          <w:rFonts w:hint="eastAsia" w:ascii="仿宋_GB2312" w:hAnsi="宋体" w:eastAsia="仿宋_GB2312"/>
          <w:b/>
          <w:sz w:val="28"/>
          <w:szCs w:val="21"/>
        </w:rPr>
      </w:pPr>
    </w:p>
    <w:p w14:paraId="15C284FE">
      <w:pPr>
        <w:jc w:val="both"/>
        <w:rPr>
          <w:rFonts w:hint="eastAsia" w:ascii="仿宋_GB2312" w:hAnsi="宋体" w:eastAsia="仿宋_GB2312"/>
          <w:b/>
          <w:sz w:val="28"/>
          <w:szCs w:val="21"/>
        </w:rPr>
      </w:pPr>
    </w:p>
    <w:p w14:paraId="67016704">
      <w:pPr>
        <w:jc w:val="both"/>
        <w:rPr>
          <w:rFonts w:hint="eastAsia" w:ascii="仿宋_GB2312" w:hAnsi="宋体" w:eastAsia="仿宋_GB2312"/>
          <w:b/>
          <w:sz w:val="28"/>
          <w:szCs w:val="21"/>
        </w:rPr>
      </w:pPr>
    </w:p>
    <w:p w14:paraId="749F6897">
      <w:pPr>
        <w:jc w:val="both"/>
        <w:rPr>
          <w:rFonts w:hint="eastAsia" w:ascii="仿宋_GB2312" w:hAnsi="宋体" w:eastAsia="仿宋_GB2312"/>
          <w:b/>
          <w:sz w:val="28"/>
          <w:szCs w:val="21"/>
        </w:rPr>
      </w:pPr>
    </w:p>
    <w:p w14:paraId="53818715">
      <w:pPr>
        <w:jc w:val="both"/>
        <w:rPr>
          <w:rFonts w:hint="eastAsia" w:ascii="仿宋_GB2312" w:hAnsi="宋体" w:eastAsia="仿宋_GB2312"/>
          <w:b/>
          <w:sz w:val="28"/>
          <w:szCs w:val="21"/>
        </w:rPr>
      </w:pPr>
    </w:p>
    <w:p w14:paraId="6BCAC458">
      <w:pPr>
        <w:jc w:val="both"/>
        <w:rPr>
          <w:rFonts w:hint="eastAsia" w:ascii="仿宋_GB2312" w:hAnsi="宋体" w:eastAsia="仿宋_GB2312"/>
          <w:b/>
          <w:sz w:val="28"/>
          <w:szCs w:val="21"/>
        </w:rPr>
      </w:pPr>
    </w:p>
    <w:p w14:paraId="68A459A3">
      <w:pPr>
        <w:spacing w:line="240" w:lineRule="atLeast"/>
        <w:ind w:right="-317" w:rightChars="-151"/>
        <w:jc w:val="center"/>
        <w:rPr>
          <w:rFonts w:hint="eastAsia" w:ascii="仿宋_GB2312" w:hAnsi="楷体" w:eastAsia="仿宋_GB2312"/>
          <w:b/>
          <w:sz w:val="32"/>
          <w:szCs w:val="32"/>
          <w:lang w:val="en-US" w:eastAsia="zh-CN"/>
        </w:rPr>
      </w:pPr>
      <w:r>
        <w:rPr>
          <w:rFonts w:hint="eastAsia" w:ascii="仿宋_GB2312" w:hAnsi="楷体" w:eastAsia="仿宋_GB2312"/>
          <w:b/>
          <w:sz w:val="32"/>
          <w:szCs w:val="32"/>
          <w:lang w:val="en-US" w:eastAsia="zh-CN"/>
        </w:rPr>
        <w:t>投标单位入围政采云平台的截图证明</w:t>
      </w:r>
    </w:p>
    <w:p w14:paraId="5BD85418">
      <w:pPr>
        <w:spacing w:line="240" w:lineRule="atLeast"/>
        <w:ind w:right="-317" w:rightChars="-151"/>
        <w:jc w:val="center"/>
        <w:rPr>
          <w:rFonts w:hint="eastAsia" w:ascii="仿宋_GB2312" w:hAnsi="楷体" w:eastAsia="仿宋_GB2312"/>
          <w:b/>
          <w:sz w:val="32"/>
          <w:szCs w:val="32"/>
        </w:rPr>
      </w:pPr>
    </w:p>
    <w:p w14:paraId="67CB41A8">
      <w:pPr>
        <w:jc w:val="center"/>
        <w:rPr>
          <w:rFonts w:hint="eastAsia" w:ascii="仿宋_GB2312" w:hAnsi="宋体" w:eastAsia="仿宋_GB2312"/>
          <w:b/>
          <w:sz w:val="28"/>
          <w:szCs w:val="21"/>
        </w:rPr>
      </w:pPr>
    </w:p>
    <w:p w14:paraId="05E44EC4">
      <w:pPr>
        <w:jc w:val="center"/>
        <w:rPr>
          <w:rFonts w:hint="eastAsia" w:ascii="仿宋_GB2312" w:hAnsi="宋体" w:eastAsia="仿宋_GB2312"/>
          <w:b/>
          <w:sz w:val="28"/>
          <w:szCs w:val="21"/>
        </w:rPr>
      </w:pPr>
    </w:p>
    <w:p w14:paraId="6712A518">
      <w:pPr>
        <w:jc w:val="center"/>
        <w:rPr>
          <w:rFonts w:hint="eastAsia" w:ascii="仿宋_GB2312" w:hAnsi="宋体" w:eastAsia="仿宋_GB2312"/>
          <w:b/>
          <w:sz w:val="28"/>
          <w:szCs w:val="21"/>
        </w:rPr>
      </w:pPr>
    </w:p>
    <w:p w14:paraId="071373D6">
      <w:pPr>
        <w:jc w:val="center"/>
        <w:rPr>
          <w:rFonts w:hint="eastAsia" w:ascii="仿宋_GB2312" w:hAnsi="宋体" w:eastAsia="仿宋_GB2312"/>
          <w:b/>
          <w:sz w:val="28"/>
          <w:szCs w:val="21"/>
        </w:rPr>
      </w:pPr>
    </w:p>
    <w:p w14:paraId="34C6C997">
      <w:pPr>
        <w:jc w:val="center"/>
        <w:rPr>
          <w:rFonts w:hint="eastAsia" w:ascii="仿宋_GB2312" w:hAnsi="宋体" w:eastAsia="仿宋_GB2312"/>
          <w:b/>
          <w:sz w:val="28"/>
          <w:szCs w:val="21"/>
        </w:rPr>
      </w:pPr>
    </w:p>
    <w:p w14:paraId="57C48134">
      <w:pPr>
        <w:jc w:val="center"/>
        <w:rPr>
          <w:rFonts w:hint="eastAsia" w:ascii="仿宋_GB2312" w:hAnsi="宋体" w:eastAsia="仿宋_GB2312"/>
          <w:b/>
          <w:sz w:val="28"/>
          <w:szCs w:val="21"/>
        </w:rPr>
      </w:pPr>
    </w:p>
    <w:p w14:paraId="2B858DB9">
      <w:pPr>
        <w:jc w:val="center"/>
        <w:rPr>
          <w:rFonts w:hint="eastAsia" w:ascii="仿宋_GB2312" w:hAnsi="宋体" w:eastAsia="仿宋_GB2312"/>
          <w:b/>
          <w:sz w:val="28"/>
          <w:szCs w:val="21"/>
        </w:rPr>
      </w:pPr>
    </w:p>
    <w:p w14:paraId="64D208E5">
      <w:pPr>
        <w:jc w:val="center"/>
        <w:rPr>
          <w:rFonts w:hint="eastAsia" w:ascii="仿宋_GB2312" w:hAnsi="宋体" w:eastAsia="仿宋_GB2312"/>
          <w:b/>
          <w:sz w:val="28"/>
          <w:szCs w:val="21"/>
        </w:rPr>
      </w:pPr>
    </w:p>
    <w:p w14:paraId="3963887B">
      <w:pPr>
        <w:jc w:val="center"/>
        <w:rPr>
          <w:rFonts w:hint="eastAsia" w:ascii="仿宋_GB2312" w:hAnsi="宋体" w:eastAsia="仿宋_GB2312"/>
          <w:b/>
          <w:sz w:val="28"/>
          <w:szCs w:val="21"/>
        </w:rPr>
      </w:pPr>
    </w:p>
    <w:p w14:paraId="5A33608B">
      <w:pPr>
        <w:jc w:val="center"/>
        <w:rPr>
          <w:rFonts w:hint="eastAsia" w:ascii="仿宋_GB2312" w:hAnsi="宋体" w:eastAsia="仿宋_GB2312"/>
          <w:b/>
          <w:sz w:val="28"/>
          <w:szCs w:val="21"/>
        </w:rPr>
      </w:pPr>
    </w:p>
    <w:p w14:paraId="693E2CE3">
      <w:pPr>
        <w:jc w:val="center"/>
        <w:rPr>
          <w:rFonts w:hint="eastAsia" w:ascii="仿宋_GB2312" w:hAnsi="宋体" w:eastAsia="仿宋_GB2312"/>
          <w:b/>
          <w:sz w:val="28"/>
          <w:szCs w:val="21"/>
        </w:rPr>
      </w:pPr>
    </w:p>
    <w:p w14:paraId="4C0C8F00">
      <w:pPr>
        <w:jc w:val="center"/>
        <w:rPr>
          <w:rFonts w:hint="eastAsia" w:ascii="仿宋_GB2312" w:hAnsi="宋体" w:eastAsia="仿宋_GB2312"/>
          <w:b/>
          <w:sz w:val="28"/>
          <w:szCs w:val="21"/>
        </w:rPr>
      </w:pPr>
    </w:p>
    <w:p w14:paraId="6C13B81D">
      <w:pPr>
        <w:jc w:val="center"/>
        <w:rPr>
          <w:rFonts w:hint="eastAsia" w:ascii="仿宋_GB2312" w:hAnsi="宋体" w:eastAsia="仿宋_GB2312"/>
          <w:b/>
          <w:sz w:val="28"/>
          <w:szCs w:val="21"/>
        </w:rPr>
      </w:pPr>
    </w:p>
    <w:p w14:paraId="3B665960">
      <w:pPr>
        <w:jc w:val="center"/>
        <w:rPr>
          <w:rFonts w:hint="eastAsia" w:ascii="仿宋_GB2312" w:hAnsi="宋体" w:eastAsia="仿宋_GB2312"/>
          <w:b/>
          <w:sz w:val="28"/>
          <w:szCs w:val="21"/>
        </w:rPr>
      </w:pPr>
    </w:p>
    <w:p w14:paraId="44372AE1">
      <w:pPr>
        <w:jc w:val="center"/>
        <w:rPr>
          <w:rFonts w:hint="eastAsia" w:ascii="仿宋_GB2312" w:hAnsi="宋体" w:eastAsia="仿宋_GB2312"/>
          <w:b/>
          <w:sz w:val="28"/>
          <w:szCs w:val="21"/>
        </w:rPr>
      </w:pPr>
    </w:p>
    <w:p w14:paraId="55635388">
      <w:pPr>
        <w:jc w:val="center"/>
        <w:rPr>
          <w:rFonts w:hint="eastAsia" w:ascii="仿宋_GB2312" w:hAnsi="宋体" w:eastAsia="仿宋_GB2312"/>
          <w:b/>
          <w:sz w:val="28"/>
          <w:szCs w:val="21"/>
        </w:rPr>
      </w:pPr>
    </w:p>
    <w:p w14:paraId="3F71C9F5">
      <w:pPr>
        <w:jc w:val="center"/>
        <w:rPr>
          <w:rFonts w:hint="eastAsia" w:ascii="仿宋_GB2312" w:hAnsi="宋体" w:eastAsia="仿宋_GB2312"/>
          <w:b/>
          <w:sz w:val="28"/>
          <w:szCs w:val="21"/>
        </w:rPr>
      </w:pPr>
    </w:p>
    <w:p w14:paraId="44E349A7">
      <w:pPr>
        <w:jc w:val="center"/>
        <w:rPr>
          <w:rFonts w:hint="eastAsia" w:ascii="仿宋_GB2312" w:hAnsi="宋体" w:eastAsia="仿宋_GB2312"/>
          <w:b/>
          <w:sz w:val="28"/>
          <w:szCs w:val="21"/>
        </w:rPr>
      </w:pPr>
    </w:p>
    <w:p w14:paraId="5A872CD9">
      <w:pPr>
        <w:jc w:val="center"/>
        <w:rPr>
          <w:rFonts w:hint="eastAsia" w:ascii="仿宋_GB2312" w:hAnsi="宋体" w:eastAsia="仿宋_GB2312"/>
          <w:b/>
          <w:sz w:val="28"/>
          <w:szCs w:val="21"/>
        </w:rPr>
      </w:pPr>
    </w:p>
    <w:p w14:paraId="184007A6">
      <w:pPr>
        <w:spacing w:line="240" w:lineRule="atLeast"/>
        <w:ind w:right="-317" w:rightChars="-151"/>
        <w:jc w:val="center"/>
        <w:rPr>
          <w:rFonts w:hint="eastAsia" w:ascii="仿宋_GB2312" w:hAnsi="楷体" w:eastAsia="仿宋_GB2312"/>
          <w:b/>
          <w:sz w:val="32"/>
          <w:szCs w:val="32"/>
          <w:lang w:val="en-US" w:eastAsia="zh-CN"/>
        </w:rPr>
      </w:pPr>
      <w:r>
        <w:rPr>
          <w:rFonts w:hint="eastAsia" w:ascii="仿宋_GB2312" w:hAnsi="楷体" w:eastAsia="仿宋_GB2312"/>
          <w:b/>
          <w:sz w:val="32"/>
          <w:szCs w:val="32"/>
          <w:lang w:val="en-US" w:eastAsia="zh-CN"/>
        </w:rPr>
        <w:t>其他需要提供的材料</w:t>
      </w:r>
    </w:p>
    <w:p w14:paraId="6B722E5D">
      <w:pPr>
        <w:rPr>
          <w:rFonts w:hint="eastAsia" w:ascii="仿宋_GB2312" w:hAnsi="宋体" w:eastAsia="仿宋_GB2312"/>
          <w:b/>
          <w:sz w:val="28"/>
          <w:szCs w:val="21"/>
        </w:rPr>
      </w:pPr>
    </w:p>
    <w:p w14:paraId="0AF2D58A">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2C0D3E7D">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16F1F5A0">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4A655985">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322AFE38">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623456E0">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4B6A3A1F">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19305C57">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0E230FD1">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4709BA5B">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17DAA5E8">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5C81BC94">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46B35207">
      <w:pPr>
        <w:keepNext w:val="0"/>
        <w:keepLines w:val="0"/>
        <w:pageBreakBefore w:val="0"/>
        <w:widowControl/>
        <w:kinsoku/>
        <w:wordWrap/>
        <w:overflowPunct/>
        <w:topLinePunct w:val="0"/>
        <w:autoSpaceDE/>
        <w:autoSpaceDN/>
        <w:bidi w:val="0"/>
        <w:adjustRightInd/>
        <w:snapToGrid/>
        <w:spacing w:line="560" w:lineRule="exact"/>
        <w:jc w:val="left"/>
        <w:textAlignment w:val="auto"/>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BA8B4">
    <w:pPr>
      <w:pStyle w:val="5"/>
      <w:jc w:val="center"/>
    </w:pPr>
  </w:p>
  <w:p w14:paraId="54B3F48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2E0D">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562E3">
                          <w:pPr>
                            <w:pStyle w:val="5"/>
                          </w:pPr>
                          <w: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1562E3">
                    <w:pPr>
                      <w:pStyle w:val="5"/>
                    </w:pPr>
                    <w: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r>
                      <w:t>—</w:t>
                    </w:r>
                  </w:p>
                </w:txbxContent>
              </v:textbox>
            </v:shape>
          </w:pict>
        </mc:Fallback>
      </mc:AlternateContent>
    </w:r>
  </w:p>
  <w:p w14:paraId="4E43CBA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97D6B"/>
    <w:multiLevelType w:val="singleLevel"/>
    <w:tmpl w:val="D9297D6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JmYWJmYmRiNmNjMzQ4NmQzN2IwNWQ5ZmVmM2IifQ=="/>
  </w:docVars>
  <w:rsids>
    <w:rsidRoot w:val="00B871A0"/>
    <w:rsid w:val="00043F5A"/>
    <w:rsid w:val="00071CBC"/>
    <w:rsid w:val="00084123"/>
    <w:rsid w:val="000B6F1C"/>
    <w:rsid w:val="000F1A7D"/>
    <w:rsid w:val="000F2547"/>
    <w:rsid w:val="00184006"/>
    <w:rsid w:val="001A4D54"/>
    <w:rsid w:val="001B7637"/>
    <w:rsid w:val="001E162A"/>
    <w:rsid w:val="001F6A9A"/>
    <w:rsid w:val="00201EFF"/>
    <w:rsid w:val="0020516F"/>
    <w:rsid w:val="00225714"/>
    <w:rsid w:val="00262AFD"/>
    <w:rsid w:val="002676CA"/>
    <w:rsid w:val="00275434"/>
    <w:rsid w:val="002976D4"/>
    <w:rsid w:val="002A2FA4"/>
    <w:rsid w:val="002A3E1B"/>
    <w:rsid w:val="002B2277"/>
    <w:rsid w:val="00303983"/>
    <w:rsid w:val="003402A8"/>
    <w:rsid w:val="003450A3"/>
    <w:rsid w:val="00345AE7"/>
    <w:rsid w:val="0035583F"/>
    <w:rsid w:val="003B3166"/>
    <w:rsid w:val="003B67F3"/>
    <w:rsid w:val="00452B05"/>
    <w:rsid w:val="004768C0"/>
    <w:rsid w:val="00481B5D"/>
    <w:rsid w:val="0048309A"/>
    <w:rsid w:val="004D23F7"/>
    <w:rsid w:val="004F343B"/>
    <w:rsid w:val="00537AA9"/>
    <w:rsid w:val="00553624"/>
    <w:rsid w:val="00564927"/>
    <w:rsid w:val="00592419"/>
    <w:rsid w:val="006264F5"/>
    <w:rsid w:val="00626693"/>
    <w:rsid w:val="00644E9D"/>
    <w:rsid w:val="006513A7"/>
    <w:rsid w:val="00653095"/>
    <w:rsid w:val="00666027"/>
    <w:rsid w:val="00685A47"/>
    <w:rsid w:val="006F3477"/>
    <w:rsid w:val="00797A75"/>
    <w:rsid w:val="007C3090"/>
    <w:rsid w:val="007F4056"/>
    <w:rsid w:val="00807DB1"/>
    <w:rsid w:val="00814103"/>
    <w:rsid w:val="00814441"/>
    <w:rsid w:val="00845E11"/>
    <w:rsid w:val="008577F4"/>
    <w:rsid w:val="00865A86"/>
    <w:rsid w:val="00867D3F"/>
    <w:rsid w:val="008A33C9"/>
    <w:rsid w:val="008B7292"/>
    <w:rsid w:val="008C0B48"/>
    <w:rsid w:val="009508F1"/>
    <w:rsid w:val="00997D30"/>
    <w:rsid w:val="009E15BC"/>
    <w:rsid w:val="00A10521"/>
    <w:rsid w:val="00A834A9"/>
    <w:rsid w:val="00AC1885"/>
    <w:rsid w:val="00AC32F0"/>
    <w:rsid w:val="00AC428C"/>
    <w:rsid w:val="00AC7F3A"/>
    <w:rsid w:val="00AC7F87"/>
    <w:rsid w:val="00AE728D"/>
    <w:rsid w:val="00B33D92"/>
    <w:rsid w:val="00B4072B"/>
    <w:rsid w:val="00B62B6C"/>
    <w:rsid w:val="00B86205"/>
    <w:rsid w:val="00B871A0"/>
    <w:rsid w:val="00BC3470"/>
    <w:rsid w:val="00BC469C"/>
    <w:rsid w:val="00BD6F39"/>
    <w:rsid w:val="00C14EC3"/>
    <w:rsid w:val="00C17564"/>
    <w:rsid w:val="00C308BA"/>
    <w:rsid w:val="00C35EDF"/>
    <w:rsid w:val="00CF6A8F"/>
    <w:rsid w:val="00D0206A"/>
    <w:rsid w:val="00D130DA"/>
    <w:rsid w:val="00D221D4"/>
    <w:rsid w:val="00D5197B"/>
    <w:rsid w:val="00D550A9"/>
    <w:rsid w:val="00D708B7"/>
    <w:rsid w:val="00D83556"/>
    <w:rsid w:val="00DA4FD3"/>
    <w:rsid w:val="00DB21B7"/>
    <w:rsid w:val="00DE4630"/>
    <w:rsid w:val="00E24D0C"/>
    <w:rsid w:val="00E25094"/>
    <w:rsid w:val="00E366C6"/>
    <w:rsid w:val="00E631EA"/>
    <w:rsid w:val="00EB1AC9"/>
    <w:rsid w:val="00ED6314"/>
    <w:rsid w:val="00EE6864"/>
    <w:rsid w:val="00EE7890"/>
    <w:rsid w:val="00EF0DC4"/>
    <w:rsid w:val="00F37DA9"/>
    <w:rsid w:val="00F51FBD"/>
    <w:rsid w:val="00F5618F"/>
    <w:rsid w:val="00F5669C"/>
    <w:rsid w:val="00F77EF9"/>
    <w:rsid w:val="00FE6975"/>
    <w:rsid w:val="010333FC"/>
    <w:rsid w:val="01A4698D"/>
    <w:rsid w:val="023F66B6"/>
    <w:rsid w:val="026659F0"/>
    <w:rsid w:val="02C10E79"/>
    <w:rsid w:val="04137DFA"/>
    <w:rsid w:val="05263C65"/>
    <w:rsid w:val="05D26CB8"/>
    <w:rsid w:val="070457D8"/>
    <w:rsid w:val="08F875BE"/>
    <w:rsid w:val="09195451"/>
    <w:rsid w:val="0954139C"/>
    <w:rsid w:val="0A190B04"/>
    <w:rsid w:val="0A550018"/>
    <w:rsid w:val="0AC2092E"/>
    <w:rsid w:val="0B423B9F"/>
    <w:rsid w:val="0B472137"/>
    <w:rsid w:val="0BA457DB"/>
    <w:rsid w:val="0C215FF4"/>
    <w:rsid w:val="0CAA5073"/>
    <w:rsid w:val="0F187426"/>
    <w:rsid w:val="0F6D64A3"/>
    <w:rsid w:val="0FE03949"/>
    <w:rsid w:val="100006CE"/>
    <w:rsid w:val="118E13DA"/>
    <w:rsid w:val="121C7F7B"/>
    <w:rsid w:val="12445622"/>
    <w:rsid w:val="12D44BF8"/>
    <w:rsid w:val="13BA5B9C"/>
    <w:rsid w:val="13E40E6B"/>
    <w:rsid w:val="13EF397E"/>
    <w:rsid w:val="15040250"/>
    <w:rsid w:val="155618F4"/>
    <w:rsid w:val="16337E88"/>
    <w:rsid w:val="18253800"/>
    <w:rsid w:val="18697B91"/>
    <w:rsid w:val="19732CE0"/>
    <w:rsid w:val="1A366198"/>
    <w:rsid w:val="1A937147"/>
    <w:rsid w:val="1B6633C9"/>
    <w:rsid w:val="1C2F10F1"/>
    <w:rsid w:val="1C7A236C"/>
    <w:rsid w:val="1D4C67DD"/>
    <w:rsid w:val="1D651A4C"/>
    <w:rsid w:val="1E82375A"/>
    <w:rsid w:val="1EBB4EBE"/>
    <w:rsid w:val="1F381FC4"/>
    <w:rsid w:val="20667F01"/>
    <w:rsid w:val="20AF2801"/>
    <w:rsid w:val="222149AA"/>
    <w:rsid w:val="22631AF5"/>
    <w:rsid w:val="226715E5"/>
    <w:rsid w:val="22EB66BE"/>
    <w:rsid w:val="2382607B"/>
    <w:rsid w:val="242239E6"/>
    <w:rsid w:val="244F0582"/>
    <w:rsid w:val="247031F2"/>
    <w:rsid w:val="25E36A58"/>
    <w:rsid w:val="25FA451E"/>
    <w:rsid w:val="26DD00C8"/>
    <w:rsid w:val="27147861"/>
    <w:rsid w:val="27734657"/>
    <w:rsid w:val="2903377D"/>
    <w:rsid w:val="29C42A2C"/>
    <w:rsid w:val="29C9048F"/>
    <w:rsid w:val="2A3A313B"/>
    <w:rsid w:val="2A8449D0"/>
    <w:rsid w:val="2BD5582B"/>
    <w:rsid w:val="2BD80E5D"/>
    <w:rsid w:val="2E733FAC"/>
    <w:rsid w:val="2F4E5D82"/>
    <w:rsid w:val="2FE00EE3"/>
    <w:rsid w:val="2FEE50F3"/>
    <w:rsid w:val="30006F97"/>
    <w:rsid w:val="302E54F0"/>
    <w:rsid w:val="303224D9"/>
    <w:rsid w:val="303B7C49"/>
    <w:rsid w:val="308E22F4"/>
    <w:rsid w:val="310C576F"/>
    <w:rsid w:val="3268280F"/>
    <w:rsid w:val="32B67A1F"/>
    <w:rsid w:val="32E379EB"/>
    <w:rsid w:val="33227F45"/>
    <w:rsid w:val="3491429F"/>
    <w:rsid w:val="357E0CC8"/>
    <w:rsid w:val="35FB4FB0"/>
    <w:rsid w:val="370F6989"/>
    <w:rsid w:val="37522A6D"/>
    <w:rsid w:val="37C8447C"/>
    <w:rsid w:val="3A500759"/>
    <w:rsid w:val="3C3D5C99"/>
    <w:rsid w:val="3CDE0399"/>
    <w:rsid w:val="3D1B32A0"/>
    <w:rsid w:val="3D2C725B"/>
    <w:rsid w:val="3D8539F6"/>
    <w:rsid w:val="3DCC1EB9"/>
    <w:rsid w:val="3E3B7D9F"/>
    <w:rsid w:val="408B24EB"/>
    <w:rsid w:val="410E46E1"/>
    <w:rsid w:val="41717932"/>
    <w:rsid w:val="425F778B"/>
    <w:rsid w:val="44F3684F"/>
    <w:rsid w:val="44FF5255"/>
    <w:rsid w:val="46C40504"/>
    <w:rsid w:val="478832E0"/>
    <w:rsid w:val="47B42327"/>
    <w:rsid w:val="4970690C"/>
    <w:rsid w:val="4B672D35"/>
    <w:rsid w:val="4C651E42"/>
    <w:rsid w:val="4D984546"/>
    <w:rsid w:val="4EB33338"/>
    <w:rsid w:val="4F5D14F6"/>
    <w:rsid w:val="4FF24EEF"/>
    <w:rsid w:val="517B3EB5"/>
    <w:rsid w:val="5193023F"/>
    <w:rsid w:val="52FE6B4C"/>
    <w:rsid w:val="534D53DE"/>
    <w:rsid w:val="53A818A2"/>
    <w:rsid w:val="54180DA0"/>
    <w:rsid w:val="551D5F8B"/>
    <w:rsid w:val="558C043F"/>
    <w:rsid w:val="558D1E46"/>
    <w:rsid w:val="55BA1450"/>
    <w:rsid w:val="56FB3ACE"/>
    <w:rsid w:val="57390153"/>
    <w:rsid w:val="57A2007B"/>
    <w:rsid w:val="57FD73D2"/>
    <w:rsid w:val="585B059D"/>
    <w:rsid w:val="59654A62"/>
    <w:rsid w:val="59934492"/>
    <w:rsid w:val="5ABC1175"/>
    <w:rsid w:val="5B152C85"/>
    <w:rsid w:val="5C237623"/>
    <w:rsid w:val="5C6E6AF1"/>
    <w:rsid w:val="5CBE6EE8"/>
    <w:rsid w:val="5E2D2E8B"/>
    <w:rsid w:val="5E7D126D"/>
    <w:rsid w:val="5EA7453C"/>
    <w:rsid w:val="619965C0"/>
    <w:rsid w:val="62C93456"/>
    <w:rsid w:val="647E26D2"/>
    <w:rsid w:val="65B12BD8"/>
    <w:rsid w:val="65B37749"/>
    <w:rsid w:val="65CD0D2C"/>
    <w:rsid w:val="66053971"/>
    <w:rsid w:val="66244E2E"/>
    <w:rsid w:val="666D7E19"/>
    <w:rsid w:val="66BC66AA"/>
    <w:rsid w:val="676C5437"/>
    <w:rsid w:val="67976B83"/>
    <w:rsid w:val="67C12792"/>
    <w:rsid w:val="68BF2482"/>
    <w:rsid w:val="691722BE"/>
    <w:rsid w:val="69635503"/>
    <w:rsid w:val="69731BEA"/>
    <w:rsid w:val="69BB0E9B"/>
    <w:rsid w:val="69C601B1"/>
    <w:rsid w:val="6AA95198"/>
    <w:rsid w:val="6CF176B2"/>
    <w:rsid w:val="6D5B6C1D"/>
    <w:rsid w:val="6E602011"/>
    <w:rsid w:val="6E8E3753"/>
    <w:rsid w:val="6FE63CCB"/>
    <w:rsid w:val="702F613F"/>
    <w:rsid w:val="70EE322F"/>
    <w:rsid w:val="70FE340A"/>
    <w:rsid w:val="71AA0173"/>
    <w:rsid w:val="73EF7FB3"/>
    <w:rsid w:val="741E6BF6"/>
    <w:rsid w:val="747A06FC"/>
    <w:rsid w:val="757D4185"/>
    <w:rsid w:val="76BF646F"/>
    <w:rsid w:val="7719513F"/>
    <w:rsid w:val="77212D84"/>
    <w:rsid w:val="7A6510DB"/>
    <w:rsid w:val="7A962DEC"/>
    <w:rsid w:val="7B843A31"/>
    <w:rsid w:val="7C136915"/>
    <w:rsid w:val="7C3658C0"/>
    <w:rsid w:val="7CAB52BF"/>
    <w:rsid w:val="7CF95B0B"/>
    <w:rsid w:val="7DD93B7D"/>
    <w:rsid w:val="7F144E7E"/>
    <w:rsid w:val="7FFA4E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7"/>
    <w:autoRedefine/>
    <w:qFormat/>
    <w:uiPriority w:val="1"/>
    <w:pPr>
      <w:spacing w:before="161"/>
      <w:ind w:left="120"/>
    </w:pPr>
    <w:rPr>
      <w:rFonts w:ascii="宋体" w:hAnsi="宋体" w:eastAsia="宋体" w:cs="宋体"/>
      <w:sz w:val="24"/>
      <w:szCs w:val="24"/>
      <w:lang w:val="zh-CN" w:bidi="zh-CN"/>
    </w:rPr>
  </w:style>
  <w:style w:type="paragraph" w:styleId="4">
    <w:name w:val="Plain Text"/>
    <w:basedOn w:val="1"/>
    <w:link w:val="15"/>
    <w:autoRedefine/>
    <w:qFormat/>
    <w:uiPriority w:val="0"/>
    <w:rPr>
      <w:rFonts w:ascii="宋体" w:hAnsi="Courier New"/>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9"/>
    <w:basedOn w:val="1"/>
    <w:next w:val="1"/>
    <w:autoRedefine/>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customStyle="1" w:styleId="10">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1">
    <w:name w:val="首行缩进"/>
    <w:basedOn w:val="1"/>
    <w:autoRedefine/>
    <w:qFormat/>
    <w:uiPriority w:val="0"/>
    <w:pPr>
      <w:ind w:firstLine="480" w:firstLineChars="200"/>
    </w:pPr>
  </w:style>
  <w:style w:type="character" w:customStyle="1" w:styleId="12">
    <w:name w:val="页眉 Char"/>
    <w:basedOn w:val="9"/>
    <w:link w:val="6"/>
    <w:autoRedefine/>
    <w:qFormat/>
    <w:uiPriority w:val="0"/>
    <w:rPr>
      <w:sz w:val="18"/>
      <w:szCs w:val="18"/>
    </w:rPr>
  </w:style>
  <w:style w:type="character" w:customStyle="1" w:styleId="13">
    <w:name w:val="页脚 Char"/>
    <w:basedOn w:val="9"/>
    <w:link w:val="5"/>
    <w:autoRedefine/>
    <w:qFormat/>
    <w:uiPriority w:val="99"/>
    <w:rPr>
      <w:sz w:val="18"/>
      <w:szCs w:val="18"/>
    </w:rPr>
  </w:style>
  <w:style w:type="character" w:customStyle="1" w:styleId="14">
    <w:name w:val="纯文本 Char"/>
    <w:link w:val="4"/>
    <w:autoRedefine/>
    <w:qFormat/>
    <w:uiPriority w:val="0"/>
    <w:rPr>
      <w:rFonts w:ascii="宋体" w:hAnsi="Courier New"/>
    </w:rPr>
  </w:style>
  <w:style w:type="character" w:customStyle="1" w:styleId="15">
    <w:name w:val="纯文本 Char1"/>
    <w:basedOn w:val="9"/>
    <w:link w:val="4"/>
    <w:autoRedefine/>
    <w:semiHidden/>
    <w:qFormat/>
    <w:uiPriority w:val="99"/>
    <w:rPr>
      <w:rFonts w:ascii="宋体" w:hAnsi="Courier New" w:eastAsia="宋体" w:cs="Courier New"/>
      <w:szCs w:val="21"/>
    </w:rPr>
  </w:style>
  <w:style w:type="paragraph" w:customStyle="1" w:styleId="16">
    <w:name w:val="正文缩进2格"/>
    <w:basedOn w:val="1"/>
    <w:next w:val="1"/>
    <w:autoRedefine/>
    <w:qFormat/>
    <w:uiPriority w:val="0"/>
    <w:pPr>
      <w:spacing w:line="600" w:lineRule="exact"/>
      <w:ind w:firstLine="639" w:firstLineChars="206"/>
    </w:pPr>
    <w:rPr>
      <w:rFonts w:ascii="仿宋_GB2312" w:hAnsi="宋体" w:eastAsia="仿宋_GB2312" w:cs="Times New Roman"/>
      <w:sz w:val="28"/>
      <w:szCs w:val="20"/>
    </w:rPr>
  </w:style>
  <w:style w:type="character" w:customStyle="1" w:styleId="17">
    <w:name w:val="正文文本 Char"/>
    <w:basedOn w:val="9"/>
    <w:link w:val="3"/>
    <w:autoRedefine/>
    <w:qFormat/>
    <w:uiPriority w:val="1"/>
    <w:rPr>
      <w:rFonts w:ascii="宋体" w:hAnsi="宋体" w:eastAsia="宋体" w:cs="宋体"/>
      <w:kern w:val="2"/>
      <w:sz w:val="24"/>
      <w:szCs w:val="24"/>
      <w:lang w:val="zh-CN" w:bidi="zh-CN"/>
    </w:rPr>
  </w:style>
  <w:style w:type="character" w:customStyle="1" w:styleId="18">
    <w:name w:val="font61"/>
    <w:basedOn w:val="9"/>
    <w:autoRedefine/>
    <w:qFormat/>
    <w:uiPriority w:val="0"/>
    <w:rPr>
      <w:rFonts w:hint="eastAsia" w:ascii="宋体" w:hAnsi="宋体" w:eastAsia="宋体" w:cs="宋体"/>
      <w:color w:val="000000"/>
      <w:sz w:val="18"/>
      <w:szCs w:val="18"/>
      <w:u w:val="none"/>
    </w:rPr>
  </w:style>
  <w:style w:type="character" w:customStyle="1" w:styleId="19">
    <w:name w:val="font91"/>
    <w:basedOn w:val="9"/>
    <w:autoRedefine/>
    <w:qFormat/>
    <w:uiPriority w:val="0"/>
    <w:rPr>
      <w:rFonts w:ascii="Arial" w:hAnsi="Arial" w:cs="Arial"/>
      <w:color w:val="000000"/>
      <w:sz w:val="18"/>
      <w:szCs w:val="18"/>
      <w:u w:val="none"/>
    </w:rPr>
  </w:style>
  <w:style w:type="character" w:customStyle="1" w:styleId="20">
    <w:name w:val="font101"/>
    <w:basedOn w:val="9"/>
    <w:autoRedefine/>
    <w:qFormat/>
    <w:uiPriority w:val="0"/>
    <w:rPr>
      <w:rFonts w:hint="eastAsia" w:ascii="宋体" w:hAnsi="宋体" w:eastAsia="宋体" w:cs="宋体"/>
      <w:b/>
      <w:bCs/>
      <w:color w:val="000000"/>
      <w:sz w:val="18"/>
      <w:szCs w:val="18"/>
      <w:u w:val="none"/>
    </w:rPr>
  </w:style>
  <w:style w:type="character" w:customStyle="1" w:styleId="21">
    <w:name w:val="font112"/>
    <w:basedOn w:val="9"/>
    <w:autoRedefine/>
    <w:qFormat/>
    <w:uiPriority w:val="0"/>
    <w:rPr>
      <w:rFonts w:hint="eastAsia" w:ascii="宋体" w:hAnsi="宋体" w:eastAsia="宋体" w:cs="宋体"/>
      <w:color w:val="000000"/>
      <w:sz w:val="18"/>
      <w:szCs w:val="18"/>
      <w:u w:val="none"/>
      <w:vertAlign w:val="superscript"/>
    </w:rPr>
  </w:style>
  <w:style w:type="character" w:customStyle="1" w:styleId="22">
    <w:name w:val="font21"/>
    <w:basedOn w:val="9"/>
    <w:autoRedefine/>
    <w:qFormat/>
    <w:uiPriority w:val="0"/>
    <w:rPr>
      <w:rFonts w:hint="eastAsia" w:ascii="宋体" w:hAnsi="宋体" w:eastAsia="宋体" w:cs="宋体"/>
      <w:color w:val="000000"/>
      <w:sz w:val="18"/>
      <w:szCs w:val="18"/>
      <w:u w:val="none"/>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_Style 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2391</Words>
  <Characters>2437</Characters>
  <Lines>46</Lines>
  <Paragraphs>13</Paragraphs>
  <TotalTime>5</TotalTime>
  <ScaleCrop>false</ScaleCrop>
  <LinksUpToDate>false</LinksUpToDate>
  <CharactersWithSpaces>2439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2022-06-08T00:53:00Z</dcterms:created>
  <dc:creator>郑立熔</dc:creator>
  <cp:lastModifiedBy>0 。0。。圈圈</cp:lastModifiedBy>
  <cp:lastPrinted>2026-03-12T02:47:00Z</cp:lastPrinted>
  <dcterms:modified xsi:type="dcterms:W3CDTF">2026-03-16T00:36:18Z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3C1BF2506FB947F095CF9D5AC47268D7_13</vt:lpwstr>
  </property>
  <property fmtid="{D5CDD505-2E9C-101B-9397-08002B2CF9AE}" pid="4" name="KSOTemplateDocerSaveRecord">
    <vt:lpwstr>eyJoZGlkIjoiMDRkOTJkMjI3NWI2OThlNGIwYzgwMDUzN2UwODJjMjAiLCJ1c2VySWQiOiIxMjU2NzYwNjIzIn0=</vt:lpwstr>
  </property>
</Properties>
</file>