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BB12B"/>
    <w:p w14:paraId="36311BD4">
      <w:pPr>
        <w:spacing w:line="560" w:lineRule="exact"/>
        <w:jc w:val="center"/>
        <w:rPr>
          <w:rFonts w:ascii="华文中宋" w:hAnsi="华文中宋" w:eastAsia="华文中宋"/>
          <w:b/>
          <w:sz w:val="52"/>
          <w:szCs w:val="52"/>
        </w:rPr>
      </w:pPr>
    </w:p>
    <w:p w14:paraId="14B0BD21">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rPr>
        <w:t>自治区交通运输综合行政执法局</w:t>
      </w:r>
    </w:p>
    <w:p w14:paraId="4F91E750">
      <w:pPr>
        <w:spacing w:line="560" w:lineRule="exact"/>
        <w:jc w:val="center"/>
        <w:rPr>
          <w:rFonts w:hint="eastAsia" w:ascii="华文中宋" w:hAnsi="华文中宋" w:eastAsia="华文中宋"/>
          <w:b/>
          <w:sz w:val="44"/>
          <w:szCs w:val="44"/>
        </w:rPr>
      </w:pPr>
      <w:r>
        <w:rPr>
          <w:rFonts w:hint="eastAsia" w:ascii="华文中宋" w:hAnsi="华文中宋" w:eastAsia="华文中宋"/>
          <w:b/>
          <w:sz w:val="44"/>
          <w:szCs w:val="44"/>
          <w:lang w:val="en-US" w:eastAsia="zh-CN"/>
        </w:rPr>
        <w:t>2026年食堂电器</w:t>
      </w:r>
      <w:r>
        <w:rPr>
          <w:rFonts w:hint="eastAsia" w:ascii="华文中宋" w:hAnsi="华文中宋" w:eastAsia="华文中宋"/>
          <w:b/>
          <w:sz w:val="44"/>
          <w:szCs w:val="44"/>
        </w:rPr>
        <w:t>采购项目</w:t>
      </w:r>
    </w:p>
    <w:p w14:paraId="571D182B">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rPr>
        <w:t>询价文件</w:t>
      </w:r>
    </w:p>
    <w:p w14:paraId="40C976E8">
      <w:pPr>
        <w:rPr>
          <w:sz w:val="44"/>
          <w:szCs w:val="44"/>
        </w:rPr>
      </w:pPr>
    </w:p>
    <w:p w14:paraId="0E35E151"/>
    <w:p w14:paraId="2864F0A6"/>
    <w:p w14:paraId="3B3C70D9"/>
    <w:p w14:paraId="1133C8FF"/>
    <w:p w14:paraId="46184A6C">
      <w:pPr>
        <w:jc w:val="center"/>
        <w:rPr>
          <w:b/>
          <w:sz w:val="84"/>
          <w:szCs w:val="84"/>
        </w:rPr>
      </w:pPr>
    </w:p>
    <w:p w14:paraId="5457AEF8"/>
    <w:p w14:paraId="1608613B"/>
    <w:p w14:paraId="2013629E"/>
    <w:p w14:paraId="25E430C2"/>
    <w:p w14:paraId="311C486C"/>
    <w:p w14:paraId="42083E6F">
      <w:pPr>
        <w:rPr>
          <w:b/>
          <w:sz w:val="36"/>
          <w:szCs w:val="36"/>
        </w:rPr>
      </w:pPr>
    </w:p>
    <w:p w14:paraId="5680E132">
      <w:pPr>
        <w:rPr>
          <w:b/>
          <w:sz w:val="36"/>
          <w:szCs w:val="36"/>
        </w:rPr>
      </w:pPr>
    </w:p>
    <w:p w14:paraId="1A244A76">
      <w:pPr>
        <w:rPr>
          <w:b/>
          <w:sz w:val="36"/>
          <w:szCs w:val="36"/>
        </w:rPr>
      </w:pPr>
    </w:p>
    <w:p w14:paraId="6AC899AC">
      <w:pPr>
        <w:rPr>
          <w:b/>
          <w:sz w:val="36"/>
          <w:szCs w:val="36"/>
        </w:rPr>
      </w:pPr>
    </w:p>
    <w:p w14:paraId="2DAD6EDF">
      <w:pPr>
        <w:jc w:val="center"/>
        <w:rPr>
          <w:rFonts w:hint="eastAsia" w:ascii="黑体" w:hAnsi="黑体" w:eastAsia="黑体" w:cs="黑体"/>
          <w:b/>
          <w:sz w:val="36"/>
          <w:szCs w:val="36"/>
        </w:rPr>
      </w:pPr>
    </w:p>
    <w:p w14:paraId="058AE9AC">
      <w:pPr>
        <w:jc w:val="center"/>
        <w:rPr>
          <w:rFonts w:hint="eastAsia" w:ascii="黑体" w:hAnsi="黑体" w:eastAsia="黑体" w:cs="黑体"/>
          <w:b/>
          <w:sz w:val="36"/>
          <w:szCs w:val="36"/>
        </w:rPr>
      </w:pPr>
    </w:p>
    <w:p w14:paraId="32E2E1C8">
      <w:pPr>
        <w:jc w:val="center"/>
        <w:rPr>
          <w:rFonts w:hint="eastAsia" w:ascii="黑体" w:hAnsi="黑体" w:eastAsia="黑体" w:cs="黑体"/>
          <w:b/>
          <w:sz w:val="36"/>
          <w:szCs w:val="36"/>
        </w:rPr>
      </w:pPr>
    </w:p>
    <w:p w14:paraId="1318D23E">
      <w:pPr>
        <w:jc w:val="both"/>
        <w:rPr>
          <w:rFonts w:hint="eastAsia" w:ascii="黑体" w:hAnsi="黑体" w:eastAsia="黑体" w:cs="黑体"/>
          <w:b/>
          <w:sz w:val="36"/>
          <w:szCs w:val="36"/>
        </w:rPr>
      </w:pPr>
    </w:p>
    <w:p w14:paraId="3D97ACF9">
      <w:pPr>
        <w:jc w:val="center"/>
        <w:rPr>
          <w:rFonts w:ascii="黑体" w:hAnsi="黑体" w:eastAsia="黑体" w:cs="黑体"/>
          <w:b/>
          <w:sz w:val="36"/>
          <w:szCs w:val="36"/>
        </w:rPr>
      </w:pPr>
      <w:r>
        <w:rPr>
          <w:rFonts w:hint="eastAsia" w:ascii="黑体" w:hAnsi="黑体" w:eastAsia="黑体" w:cs="黑体"/>
          <w:b/>
          <w:sz w:val="36"/>
          <w:szCs w:val="36"/>
        </w:rPr>
        <w:t>采购单位：自治区交通运输综合行政执法局</w:t>
      </w:r>
    </w:p>
    <w:p w14:paraId="504AEC36">
      <w:pPr>
        <w:jc w:val="center"/>
        <w:rPr>
          <w:rFonts w:hint="eastAsia" w:ascii="黑体" w:hAnsi="黑体" w:eastAsia="黑体" w:cs="黑体"/>
          <w:b/>
          <w:sz w:val="36"/>
          <w:szCs w:val="36"/>
        </w:rPr>
      </w:pPr>
      <w:r>
        <w:rPr>
          <w:rFonts w:hint="eastAsia" w:ascii="黑体" w:hAnsi="黑体" w:eastAsia="黑体" w:cs="黑体"/>
          <w:b/>
          <w:sz w:val="36"/>
          <w:szCs w:val="36"/>
        </w:rPr>
        <w:t>日期：202</w:t>
      </w:r>
      <w:r>
        <w:rPr>
          <w:rFonts w:hint="eastAsia" w:ascii="黑体" w:hAnsi="黑体" w:eastAsia="黑体" w:cs="黑体"/>
          <w:b/>
          <w:sz w:val="36"/>
          <w:szCs w:val="36"/>
          <w:lang w:val="en-US" w:eastAsia="zh-CN"/>
        </w:rPr>
        <w:t>6</w:t>
      </w:r>
      <w:r>
        <w:rPr>
          <w:rFonts w:hint="eastAsia" w:ascii="黑体" w:hAnsi="黑体" w:eastAsia="黑体" w:cs="黑体"/>
          <w:b/>
          <w:sz w:val="36"/>
          <w:szCs w:val="36"/>
        </w:rPr>
        <w:t>年</w:t>
      </w:r>
      <w:r>
        <w:rPr>
          <w:rFonts w:hint="eastAsia" w:ascii="黑体" w:hAnsi="黑体" w:eastAsia="黑体" w:cs="黑体"/>
          <w:b/>
          <w:sz w:val="36"/>
          <w:szCs w:val="36"/>
          <w:lang w:val="en-US" w:eastAsia="zh-CN"/>
        </w:rPr>
        <w:t xml:space="preserve"> 3</w:t>
      </w:r>
      <w:r>
        <w:rPr>
          <w:rFonts w:hint="eastAsia" w:ascii="黑体" w:hAnsi="黑体" w:eastAsia="黑体" w:cs="黑体"/>
          <w:b/>
          <w:sz w:val="36"/>
          <w:szCs w:val="36"/>
        </w:rPr>
        <w:t>月</w:t>
      </w:r>
      <w:r>
        <w:rPr>
          <w:rFonts w:hint="eastAsia" w:ascii="黑体" w:hAnsi="黑体" w:eastAsia="黑体" w:cs="黑体"/>
          <w:b/>
          <w:sz w:val="36"/>
          <w:szCs w:val="36"/>
          <w:lang w:val="en-US" w:eastAsia="zh-CN"/>
        </w:rPr>
        <w:t xml:space="preserve"> 17</w:t>
      </w:r>
      <w:r>
        <w:rPr>
          <w:rFonts w:hint="eastAsia" w:ascii="黑体" w:hAnsi="黑体" w:eastAsia="黑体" w:cs="黑体"/>
          <w:b/>
          <w:sz w:val="36"/>
          <w:szCs w:val="36"/>
        </w:rPr>
        <w:t>日</w:t>
      </w:r>
    </w:p>
    <w:p w14:paraId="65D5D3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中宋" w:hAnsi="华文中宋" w:eastAsia="华文中宋"/>
          <w:b/>
          <w:sz w:val="44"/>
          <w:szCs w:val="44"/>
        </w:rPr>
        <w:sectPr>
          <w:footerReference r:id="rId3" w:type="default"/>
          <w:pgSz w:w="11906" w:h="16838"/>
          <w:pgMar w:top="1440" w:right="1800" w:bottom="1440" w:left="1800" w:header="851" w:footer="992" w:gutter="0"/>
          <w:pgNumType w:fmt="decimal"/>
          <w:cols w:space="425" w:num="1"/>
          <w:docGrid w:type="lines" w:linePitch="312" w:charSpace="0"/>
        </w:sectPr>
      </w:pPr>
    </w:p>
    <w:p w14:paraId="741C6E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华文中宋" w:hAnsi="华文中宋" w:eastAsia="华文中宋"/>
          <w:b/>
          <w:sz w:val="44"/>
          <w:szCs w:val="44"/>
        </w:rPr>
      </w:pPr>
      <w:r>
        <w:rPr>
          <w:rFonts w:hint="eastAsia" w:ascii="华文中宋" w:hAnsi="华文中宋" w:eastAsia="华文中宋"/>
          <w:b/>
          <w:sz w:val="44"/>
          <w:szCs w:val="44"/>
        </w:rPr>
        <w:t>自治区交通运输综合行政执法局</w:t>
      </w:r>
    </w:p>
    <w:p w14:paraId="50BC50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华文中宋" w:hAnsi="华文中宋" w:eastAsia="华文中宋"/>
          <w:b/>
          <w:sz w:val="44"/>
          <w:szCs w:val="44"/>
        </w:rPr>
      </w:pPr>
      <w:r>
        <w:rPr>
          <w:rFonts w:hint="eastAsia" w:ascii="华文中宋" w:hAnsi="华文中宋" w:eastAsia="华文中宋"/>
          <w:b/>
          <w:sz w:val="44"/>
          <w:szCs w:val="44"/>
        </w:rPr>
        <w:t>采购报价供应商需知</w:t>
      </w:r>
    </w:p>
    <w:p w14:paraId="38342A0D">
      <w:pPr>
        <w:keepNext w:val="0"/>
        <w:keepLines w:val="0"/>
        <w:pageBreakBefore w:val="0"/>
        <w:widowControl w:val="0"/>
        <w:kinsoku/>
        <w:wordWrap/>
        <w:overflowPunct/>
        <w:topLinePunct w:val="0"/>
        <w:autoSpaceDE/>
        <w:autoSpaceDN/>
        <w:bidi w:val="0"/>
        <w:adjustRightInd/>
        <w:snapToGrid/>
        <w:spacing w:line="500" w:lineRule="exact"/>
        <w:textAlignment w:val="auto"/>
      </w:pPr>
    </w:p>
    <w:p w14:paraId="69179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我局根据工作开展需要，拟采购食堂电器一批，现邀请贵公司参与报价。我局将根据各公司所报的价格、型号等在符合采购需求、质量和服务的前提下，以报价最低的原则确定成交供应商。</w:t>
      </w:r>
    </w:p>
    <w:p w14:paraId="559CCE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一、项目概况</w:t>
      </w:r>
    </w:p>
    <w:p w14:paraId="2A16A9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（一）项目名称：自治区交通运输综合行政执法局2026年食堂电器采购项目</w:t>
      </w:r>
    </w:p>
    <w:p w14:paraId="68E2B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（二）采购方式：询价采购</w:t>
      </w:r>
    </w:p>
    <w:p w14:paraId="48825B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（三）最高限价为（总价）：16.85万元</w:t>
      </w:r>
    </w:p>
    <w:p w14:paraId="462BCA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sz w:val="32"/>
          <w:szCs w:val="32"/>
          <w:lang w:val="en-US" w:eastAsia="zh-CN"/>
        </w:rPr>
        <w:t>（四）供应商须就清单中的内容作完整报价。总报价包含</w:t>
      </w:r>
      <w:r>
        <w:rPr>
          <w:rFonts w:hint="eastAsia" w:ascii="仿宋_GB2312" w:hAnsi="Calibri" w:eastAsia="仿宋_GB2312" w:cs="Times New Roman"/>
          <w:color w:val="auto"/>
          <w:sz w:val="32"/>
          <w:szCs w:val="32"/>
          <w:lang w:val="en-US" w:eastAsia="zh-CN"/>
        </w:rPr>
        <w:t>货物、运费、装卸费、安装人工费、调试费、培训费、税金、售后服务费及其他所有可能发生的一切费用。</w:t>
      </w:r>
    </w:p>
    <w:p w14:paraId="77A3E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（五）供应商的投标总报价不得超过本项目总价最高限价，每一项货物的单价、合价均不得超过对应单项最高限价。</w:t>
      </w:r>
    </w:p>
    <w:p w14:paraId="68566E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任一单项报价超出对应限价，或投标总报价超出总价最高限价的，均视为实质性不响应招标文件要求，评标委员会应当否决其投标。</w:t>
      </w:r>
    </w:p>
    <w:p w14:paraId="67E6DC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二、资质要求</w:t>
      </w:r>
    </w:p>
    <w:p w14:paraId="26F0F8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（一）满足《中华人民共和国政府采购法》第二十二条规定：</w:t>
      </w:r>
    </w:p>
    <w:p w14:paraId="4A36CAD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1.具有独立承担民事责任的能力；</w:t>
      </w:r>
    </w:p>
    <w:p w14:paraId="31A9590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2.具有良好的商业信誉和健全的财务会计制度；</w:t>
      </w:r>
    </w:p>
    <w:p w14:paraId="53596C6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3.具有履行合同所必需的设备和专业技术能力；</w:t>
      </w:r>
    </w:p>
    <w:p w14:paraId="2D4F1AC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4.有依法缴纳税收和社会保障资金的良好记录；</w:t>
      </w:r>
    </w:p>
    <w:p w14:paraId="599D05B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5.参加政府采购活动前三年内，在经营活动中没有重大违法记录；</w:t>
      </w:r>
    </w:p>
    <w:p w14:paraId="2C4A689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仿宋_GB2312" w:hAnsi="Calibri" w:eastAsia="仿宋_GB2312" w:cs="Times New Roman"/>
          <w:kern w:val="2"/>
          <w:sz w:val="32"/>
          <w:szCs w:val="32"/>
          <w:lang w:val="en-US" w:eastAsia="zh-CN" w:bidi="ar-SA"/>
        </w:rPr>
        <w:t>6.法律、行政法规规定的其他条件。</w:t>
      </w:r>
    </w:p>
    <w:p w14:paraId="01009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在“信用中国”网站(www.creditchina.gov.cn)和中国政府采购网(www.ccgp.gov.cn)等渠道列入失信被执行人、重大税收违法案件当事人名单、政府采购严重违法失信行为记录名单及其他不符合《中华人民共和国政府采购法》第二十二条规定条件的供应商，不允许参与本次采购活动；</w:t>
      </w:r>
    </w:p>
    <w:p w14:paraId="55B4E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（三）供应商负责人为同一人或者存在控股、管理关系的不同单位不得同时投标；</w:t>
      </w:r>
    </w:p>
    <w:p w14:paraId="698C53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（四）本项目不接受联合体竞标。</w:t>
      </w:r>
    </w:p>
    <w:p w14:paraId="19C32B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三、商务条款</w:t>
      </w:r>
    </w:p>
    <w:p w14:paraId="1A8213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（一）自签订合同之日起5日内全部交货安装完成并验收合格，所提供的货物产品必须是未使用过的全新产品，按照采购人指定地点免费送货上门。若质量存在缺陷，10日内免费更换新产品。</w:t>
      </w:r>
    </w:p>
    <w:p w14:paraId="432122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按产品国家有关“三包”规定，执行“三包”；质保期自货物验收合格之日起计算，不少于1年。（若产品生产厂家免费质保期超过此年限的，合同履行过程中按厂家规定执行；若成交人质保期承诺优于产品生产厂家质保年限的，以成交人承诺执行。）</w:t>
      </w:r>
    </w:p>
    <w:p w14:paraId="3AE32D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（三）售后服务要求：</w:t>
      </w:r>
    </w:p>
    <w:p w14:paraId="250EDA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1.免费安装调试：到货后，成交人需在接到用户通知后3日内进行安装调试。</w:t>
      </w:r>
    </w:p>
    <w:p w14:paraId="05C8D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2.接设备故障通知在1小时内需要作出响应，48小时内解决设备故障问题。</w:t>
      </w:r>
    </w:p>
    <w:p w14:paraId="50DBE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在质量保证期内设备非因人为及不可抗拒因素的原因而引起损坏或质量问题，成交人应免费予以技术服务、维修或更换，并承担相应费用和零部件的费用。因人为因素出现的故障不在免费保修范围内，成交供应商需积极帮助采购人修理，并提供优惠价格的配件和服务。</w:t>
      </w:r>
    </w:p>
    <w:p w14:paraId="031AE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sz w:val="32"/>
          <w:szCs w:val="32"/>
          <w:lang w:val="en-US" w:eastAsia="zh-CN"/>
        </w:rPr>
        <w:t>4.因电器涉及保修，报价人所供产品应为正规渠道所获产品，不接受已拆封、或导致所供产品得不到厂家保修的其他</w:t>
      </w:r>
      <w:r>
        <w:rPr>
          <w:rFonts w:hint="eastAsia" w:ascii="仿宋_GB2312" w:hAnsi="Calibri" w:eastAsia="仿宋_GB2312" w:cs="Times New Roman"/>
          <w:color w:val="auto"/>
          <w:sz w:val="32"/>
          <w:szCs w:val="32"/>
          <w:lang w:val="en-US" w:eastAsia="zh-CN"/>
        </w:rPr>
        <w:t>行为。</w:t>
      </w:r>
    </w:p>
    <w:p w14:paraId="6D787C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lang w:val="en-US" w:eastAsia="zh-CN"/>
        </w:rPr>
        <w:t>5.如中标供应商因不可抗力因素影响，无法提供采购方</w:t>
      </w:r>
      <w:r>
        <w:rPr>
          <w:rFonts w:hint="eastAsia" w:ascii="仿宋_GB2312" w:hAnsi="Calibri" w:eastAsia="仿宋_GB2312" w:cs="Times New Roman"/>
          <w:color w:val="auto"/>
          <w:sz w:val="32"/>
          <w:szCs w:val="32"/>
          <w:highlight w:val="none"/>
          <w:lang w:val="en-US" w:eastAsia="zh-CN"/>
        </w:rPr>
        <w:t>需求</w:t>
      </w:r>
      <w:r>
        <w:rPr>
          <w:rFonts w:hint="eastAsia" w:ascii="仿宋" w:hAnsi="仿宋" w:eastAsia="仿宋" w:cs="仿宋"/>
          <w:color w:val="auto"/>
          <w:kern w:val="2"/>
          <w:sz w:val="32"/>
          <w:szCs w:val="32"/>
          <w:highlight w:val="none"/>
          <w:lang w:val="en-US" w:eastAsia="zh-CN" w:bidi="ar-SA"/>
        </w:rPr>
        <w:t>货物时，经与采购方协商并同意后，在不改变货物中标价格的前提下，可使用同品牌，且质量及技术标准不低于原采购货物的产品替代，并签订补充协议说明。</w:t>
      </w:r>
    </w:p>
    <w:p w14:paraId="7468FB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四、付款方式</w:t>
      </w:r>
    </w:p>
    <w:p w14:paraId="72A92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无预付款，货物全部安装好并验收合格后，采购人在收到发票后十五日内一次性付清供应商的全部货款。</w:t>
      </w:r>
    </w:p>
    <w:p w14:paraId="5A93D2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 xml:space="preserve">五、报价文件组成内容 </w:t>
      </w:r>
    </w:p>
    <w:p w14:paraId="2AB123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（一）《营业执照》复印件、法定代表人身份证复印件、法定代表人委托授权书（如有）、被委托人身份证复印件（如有）均加盖公章。</w:t>
      </w:r>
    </w:p>
    <w:p w14:paraId="71113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（二）报价表（按照采购报价表填报并加盖公章）。</w:t>
      </w:r>
    </w:p>
    <w:p w14:paraId="0EFB5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（三）售后服务及售后承诺。</w:t>
      </w:r>
    </w:p>
    <w:p w14:paraId="202270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（四）报名时提供其在“信用中国”网站(www.creditchina.gov.cn)和中国政府采购网(www.ccgp.gov.cn)查询到的主体信用记录结果。</w:t>
      </w:r>
    </w:p>
    <w:p w14:paraId="7B7644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六、报价文件递交</w:t>
      </w:r>
    </w:p>
    <w:p w14:paraId="470C94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请于2026年3月 23日10点前将装订成册的报价文件（一式三份）用信封密封好，送至我局（南宁市滨湖路66号公路大厦808室）。如需邮寄送达，请用信封密封好并在邮寄封面注明投标资料和投标单位。联系人：张微，联系电话：0771-2115929；项目联系人：陆银，联系电话：0771-2115580。</w:t>
      </w:r>
    </w:p>
    <w:p w14:paraId="2E56A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bookmarkStart w:id="0" w:name="_GoBack"/>
      <w:bookmarkEnd w:id="0"/>
    </w:p>
    <w:p w14:paraId="584C3CAA">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 xml:space="preserve">附件：1.自治区交通运输综合行政执法局2026年食堂电器采购清单      </w:t>
      </w:r>
    </w:p>
    <w:p w14:paraId="0466E614">
      <w:pPr>
        <w:pStyle w:val="2"/>
        <w:ind w:left="1918" w:leftChars="304" w:hanging="1280" w:hangingChars="400"/>
        <w:rPr>
          <w:rFonts w:hint="default"/>
          <w:lang w:val="en-US" w:eastAsia="zh-CN"/>
        </w:rPr>
      </w:pPr>
      <w:r>
        <w:rPr>
          <w:rFonts w:hint="eastAsia" w:ascii="仿宋_GB2312" w:hAnsi="Calibri" w:eastAsia="仿宋_GB2312" w:cs="Times New Roman"/>
          <w:sz w:val="32"/>
          <w:szCs w:val="32"/>
          <w:lang w:val="en-US" w:eastAsia="zh-CN"/>
        </w:rPr>
        <w:t xml:space="preserve">      2.自治区交通运输综合行政执法局2026年食堂电器采购报价表</w:t>
      </w:r>
    </w:p>
    <w:p w14:paraId="3E19FB55">
      <w:pPr>
        <w:widowControl/>
        <w:jc w:val="left"/>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BA8B4">
    <w:pPr>
      <w:pStyle w:val="5"/>
      <w:jc w:val="center"/>
    </w:pPr>
  </w:p>
  <w:p w14:paraId="54B3F48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4267E">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75479">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475479">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p w14:paraId="2E68FD1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JmYWJmYmRiNmNjMzQ4NmQzN2IwNWQ5ZmVmM2IifQ=="/>
  </w:docVars>
  <w:rsids>
    <w:rsidRoot w:val="00B871A0"/>
    <w:rsid w:val="00043F5A"/>
    <w:rsid w:val="00071CBC"/>
    <w:rsid w:val="00084123"/>
    <w:rsid w:val="000B6F1C"/>
    <w:rsid w:val="000F1A7D"/>
    <w:rsid w:val="000F2547"/>
    <w:rsid w:val="00184006"/>
    <w:rsid w:val="001A4D54"/>
    <w:rsid w:val="001B7637"/>
    <w:rsid w:val="001E162A"/>
    <w:rsid w:val="001F6A9A"/>
    <w:rsid w:val="00201EFF"/>
    <w:rsid w:val="0020516F"/>
    <w:rsid w:val="00225714"/>
    <w:rsid w:val="00262AFD"/>
    <w:rsid w:val="002676CA"/>
    <w:rsid w:val="00275434"/>
    <w:rsid w:val="002976D4"/>
    <w:rsid w:val="002A2FA4"/>
    <w:rsid w:val="002A3E1B"/>
    <w:rsid w:val="002B2277"/>
    <w:rsid w:val="00303983"/>
    <w:rsid w:val="003402A8"/>
    <w:rsid w:val="003450A3"/>
    <w:rsid w:val="00345AE7"/>
    <w:rsid w:val="0035583F"/>
    <w:rsid w:val="003B3166"/>
    <w:rsid w:val="003B67F3"/>
    <w:rsid w:val="00452B05"/>
    <w:rsid w:val="004768C0"/>
    <w:rsid w:val="00481B5D"/>
    <w:rsid w:val="0048309A"/>
    <w:rsid w:val="004D23F7"/>
    <w:rsid w:val="004F343B"/>
    <w:rsid w:val="00537AA9"/>
    <w:rsid w:val="00553624"/>
    <w:rsid w:val="00564927"/>
    <w:rsid w:val="00592419"/>
    <w:rsid w:val="006264F5"/>
    <w:rsid w:val="00626693"/>
    <w:rsid w:val="00644E9D"/>
    <w:rsid w:val="006513A7"/>
    <w:rsid w:val="00653095"/>
    <w:rsid w:val="00666027"/>
    <w:rsid w:val="00685A47"/>
    <w:rsid w:val="006F3477"/>
    <w:rsid w:val="00797A75"/>
    <w:rsid w:val="007C3090"/>
    <w:rsid w:val="007F4056"/>
    <w:rsid w:val="00807DB1"/>
    <w:rsid w:val="00814103"/>
    <w:rsid w:val="00814441"/>
    <w:rsid w:val="00845E11"/>
    <w:rsid w:val="008577F4"/>
    <w:rsid w:val="00865A86"/>
    <w:rsid w:val="00867D3F"/>
    <w:rsid w:val="00893877"/>
    <w:rsid w:val="008A33C9"/>
    <w:rsid w:val="008B7292"/>
    <w:rsid w:val="008C0B48"/>
    <w:rsid w:val="009508F1"/>
    <w:rsid w:val="009E15BC"/>
    <w:rsid w:val="00A10521"/>
    <w:rsid w:val="00A834A9"/>
    <w:rsid w:val="00AC1885"/>
    <w:rsid w:val="00AC32F0"/>
    <w:rsid w:val="00AC428C"/>
    <w:rsid w:val="00AC7F3A"/>
    <w:rsid w:val="00AC7F87"/>
    <w:rsid w:val="00AE728D"/>
    <w:rsid w:val="00B33D92"/>
    <w:rsid w:val="00B4072B"/>
    <w:rsid w:val="00B62B6C"/>
    <w:rsid w:val="00B86205"/>
    <w:rsid w:val="00B871A0"/>
    <w:rsid w:val="00BC3470"/>
    <w:rsid w:val="00BC469C"/>
    <w:rsid w:val="00BD6F39"/>
    <w:rsid w:val="00C14EC3"/>
    <w:rsid w:val="00C17564"/>
    <w:rsid w:val="00C308BA"/>
    <w:rsid w:val="00C35EDF"/>
    <w:rsid w:val="00CF6A8F"/>
    <w:rsid w:val="00D0206A"/>
    <w:rsid w:val="00D130DA"/>
    <w:rsid w:val="00D221D4"/>
    <w:rsid w:val="00D5197B"/>
    <w:rsid w:val="00D550A9"/>
    <w:rsid w:val="00D708B7"/>
    <w:rsid w:val="00D83556"/>
    <w:rsid w:val="00DA4FD3"/>
    <w:rsid w:val="00DB21B7"/>
    <w:rsid w:val="00E24D0C"/>
    <w:rsid w:val="00E25094"/>
    <w:rsid w:val="00E366C6"/>
    <w:rsid w:val="00E631EA"/>
    <w:rsid w:val="00EB1AC9"/>
    <w:rsid w:val="00ED6314"/>
    <w:rsid w:val="00EE6864"/>
    <w:rsid w:val="00EE7890"/>
    <w:rsid w:val="00EF0DC4"/>
    <w:rsid w:val="00F37DA9"/>
    <w:rsid w:val="00F51FBD"/>
    <w:rsid w:val="00F5618F"/>
    <w:rsid w:val="00F5669C"/>
    <w:rsid w:val="00F77EF9"/>
    <w:rsid w:val="00FE6975"/>
    <w:rsid w:val="015F4ADC"/>
    <w:rsid w:val="01D54D98"/>
    <w:rsid w:val="01F20A56"/>
    <w:rsid w:val="02D84414"/>
    <w:rsid w:val="040014A0"/>
    <w:rsid w:val="05263C65"/>
    <w:rsid w:val="05C55124"/>
    <w:rsid w:val="066D6B4A"/>
    <w:rsid w:val="08202AE5"/>
    <w:rsid w:val="0A190B04"/>
    <w:rsid w:val="0A550018"/>
    <w:rsid w:val="0AC2092E"/>
    <w:rsid w:val="0BD77A17"/>
    <w:rsid w:val="0C057EC4"/>
    <w:rsid w:val="0C215FF4"/>
    <w:rsid w:val="15040250"/>
    <w:rsid w:val="16A11295"/>
    <w:rsid w:val="177278BE"/>
    <w:rsid w:val="17DD6835"/>
    <w:rsid w:val="18356139"/>
    <w:rsid w:val="194303E2"/>
    <w:rsid w:val="195D743D"/>
    <w:rsid w:val="19855AE2"/>
    <w:rsid w:val="19A075E2"/>
    <w:rsid w:val="1A0438FB"/>
    <w:rsid w:val="1A3A47BA"/>
    <w:rsid w:val="1B100797"/>
    <w:rsid w:val="1C3312F9"/>
    <w:rsid w:val="1C5648D0"/>
    <w:rsid w:val="1CFD4327"/>
    <w:rsid w:val="1D2A7A01"/>
    <w:rsid w:val="1F7304BB"/>
    <w:rsid w:val="21515666"/>
    <w:rsid w:val="23405992"/>
    <w:rsid w:val="23B720F8"/>
    <w:rsid w:val="25DC64E6"/>
    <w:rsid w:val="288051AE"/>
    <w:rsid w:val="29081CC3"/>
    <w:rsid w:val="29BA46F0"/>
    <w:rsid w:val="2A8449D0"/>
    <w:rsid w:val="2E733FAC"/>
    <w:rsid w:val="2FD162F0"/>
    <w:rsid w:val="32CF6E37"/>
    <w:rsid w:val="33BF2903"/>
    <w:rsid w:val="34341731"/>
    <w:rsid w:val="348E47AF"/>
    <w:rsid w:val="35026F4B"/>
    <w:rsid w:val="360867E3"/>
    <w:rsid w:val="36285063"/>
    <w:rsid w:val="3684230E"/>
    <w:rsid w:val="37145D42"/>
    <w:rsid w:val="3B762441"/>
    <w:rsid w:val="3DCC1EB9"/>
    <w:rsid w:val="403F2E01"/>
    <w:rsid w:val="40FE0F0E"/>
    <w:rsid w:val="41974542"/>
    <w:rsid w:val="41A82C28"/>
    <w:rsid w:val="441445A5"/>
    <w:rsid w:val="44304C5A"/>
    <w:rsid w:val="450336F0"/>
    <w:rsid w:val="4506438D"/>
    <w:rsid w:val="46806724"/>
    <w:rsid w:val="4B6D2F19"/>
    <w:rsid w:val="4C782EEB"/>
    <w:rsid w:val="4FF24EEF"/>
    <w:rsid w:val="5193023F"/>
    <w:rsid w:val="51AB479B"/>
    <w:rsid w:val="54180DA0"/>
    <w:rsid w:val="554C112E"/>
    <w:rsid w:val="558D1E46"/>
    <w:rsid w:val="561E2B59"/>
    <w:rsid w:val="563D4E4E"/>
    <w:rsid w:val="56A7100C"/>
    <w:rsid w:val="57FB18AC"/>
    <w:rsid w:val="59654A62"/>
    <w:rsid w:val="5A2C21F1"/>
    <w:rsid w:val="5C545A2F"/>
    <w:rsid w:val="5F2466BD"/>
    <w:rsid w:val="618C1EE8"/>
    <w:rsid w:val="62514EEA"/>
    <w:rsid w:val="62C93456"/>
    <w:rsid w:val="641B57B0"/>
    <w:rsid w:val="65B12BD8"/>
    <w:rsid w:val="66244E2E"/>
    <w:rsid w:val="67976B83"/>
    <w:rsid w:val="6853494E"/>
    <w:rsid w:val="687F3E33"/>
    <w:rsid w:val="6A9A3873"/>
    <w:rsid w:val="6B264A1E"/>
    <w:rsid w:val="6BD17BFF"/>
    <w:rsid w:val="6D301BA0"/>
    <w:rsid w:val="6D602485"/>
    <w:rsid w:val="6F6F69B0"/>
    <w:rsid w:val="70FE340A"/>
    <w:rsid w:val="73E76964"/>
    <w:rsid w:val="73EF7FB3"/>
    <w:rsid w:val="757D4185"/>
    <w:rsid w:val="7719513F"/>
    <w:rsid w:val="772F61CE"/>
    <w:rsid w:val="78177C21"/>
    <w:rsid w:val="7820259C"/>
    <w:rsid w:val="79075EAB"/>
    <w:rsid w:val="7A3C3932"/>
    <w:rsid w:val="7CAB52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Body Text"/>
    <w:basedOn w:val="1"/>
    <w:next w:val="1"/>
    <w:link w:val="15"/>
    <w:autoRedefine/>
    <w:qFormat/>
    <w:uiPriority w:val="1"/>
    <w:pPr>
      <w:spacing w:before="161"/>
      <w:ind w:left="120"/>
    </w:pPr>
    <w:rPr>
      <w:rFonts w:ascii="宋体" w:hAnsi="宋体" w:eastAsia="宋体" w:cs="宋体"/>
      <w:sz w:val="24"/>
      <w:szCs w:val="24"/>
      <w:lang w:val="zh-CN" w:bidi="zh-CN"/>
    </w:rPr>
  </w:style>
  <w:style w:type="paragraph" w:styleId="4">
    <w:name w:val="Plain Text"/>
    <w:basedOn w:val="1"/>
    <w:link w:val="13"/>
    <w:autoRedefine/>
    <w:qFormat/>
    <w:uiPriority w:val="0"/>
    <w:rPr>
      <w:rFonts w:ascii="宋体" w:hAnsi="Courier New"/>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9"/>
    <w:basedOn w:val="1"/>
    <w:next w:val="1"/>
    <w:autoRedefine/>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character" w:customStyle="1" w:styleId="10">
    <w:name w:val="页眉 Char"/>
    <w:basedOn w:val="9"/>
    <w:link w:val="6"/>
    <w:autoRedefine/>
    <w:qFormat/>
    <w:uiPriority w:val="0"/>
    <w:rPr>
      <w:sz w:val="18"/>
      <w:szCs w:val="18"/>
    </w:rPr>
  </w:style>
  <w:style w:type="character" w:customStyle="1" w:styleId="11">
    <w:name w:val="页脚 Char"/>
    <w:basedOn w:val="9"/>
    <w:link w:val="5"/>
    <w:autoRedefine/>
    <w:qFormat/>
    <w:uiPriority w:val="99"/>
    <w:rPr>
      <w:sz w:val="18"/>
      <w:szCs w:val="18"/>
    </w:rPr>
  </w:style>
  <w:style w:type="character" w:customStyle="1" w:styleId="12">
    <w:name w:val="纯文本 Char"/>
    <w:link w:val="4"/>
    <w:autoRedefine/>
    <w:qFormat/>
    <w:uiPriority w:val="0"/>
    <w:rPr>
      <w:rFonts w:ascii="宋体" w:hAnsi="Courier New"/>
    </w:rPr>
  </w:style>
  <w:style w:type="character" w:customStyle="1" w:styleId="13">
    <w:name w:val="纯文本 Char1"/>
    <w:basedOn w:val="9"/>
    <w:link w:val="4"/>
    <w:autoRedefine/>
    <w:semiHidden/>
    <w:qFormat/>
    <w:uiPriority w:val="99"/>
    <w:rPr>
      <w:rFonts w:ascii="宋体" w:hAnsi="Courier New" w:eastAsia="宋体" w:cs="Courier New"/>
      <w:szCs w:val="21"/>
    </w:rPr>
  </w:style>
  <w:style w:type="paragraph" w:customStyle="1" w:styleId="14">
    <w:name w:val="正文缩进2格"/>
    <w:basedOn w:val="1"/>
    <w:next w:val="1"/>
    <w:autoRedefine/>
    <w:qFormat/>
    <w:uiPriority w:val="0"/>
    <w:pPr>
      <w:spacing w:line="600" w:lineRule="exact"/>
      <w:ind w:firstLine="639" w:firstLineChars="206"/>
    </w:pPr>
    <w:rPr>
      <w:rFonts w:ascii="仿宋_GB2312" w:hAnsi="宋体" w:eastAsia="仿宋_GB2312" w:cs="Times New Roman"/>
      <w:sz w:val="28"/>
      <w:szCs w:val="20"/>
    </w:rPr>
  </w:style>
  <w:style w:type="character" w:customStyle="1" w:styleId="15">
    <w:name w:val="正文文本 Char"/>
    <w:basedOn w:val="9"/>
    <w:link w:val="3"/>
    <w:autoRedefine/>
    <w:qFormat/>
    <w:uiPriority w:val="1"/>
    <w:rPr>
      <w:rFonts w:ascii="宋体" w:hAnsi="宋体" w:eastAsia="宋体" w:cs="宋体"/>
      <w:kern w:val="2"/>
      <w:sz w:val="24"/>
      <w:szCs w:val="24"/>
      <w:lang w:val="zh-CN" w:bidi="zh-CN"/>
    </w:rPr>
  </w:style>
  <w:style w:type="character" w:customStyle="1" w:styleId="16">
    <w:name w:val="font61"/>
    <w:basedOn w:val="9"/>
    <w:autoRedefine/>
    <w:qFormat/>
    <w:uiPriority w:val="0"/>
    <w:rPr>
      <w:rFonts w:hint="eastAsia" w:ascii="宋体" w:hAnsi="宋体" w:eastAsia="宋体" w:cs="宋体"/>
      <w:color w:val="000000"/>
      <w:sz w:val="18"/>
      <w:szCs w:val="18"/>
      <w:u w:val="none"/>
    </w:rPr>
  </w:style>
  <w:style w:type="character" w:customStyle="1" w:styleId="17">
    <w:name w:val="font91"/>
    <w:basedOn w:val="9"/>
    <w:autoRedefine/>
    <w:qFormat/>
    <w:uiPriority w:val="0"/>
    <w:rPr>
      <w:rFonts w:ascii="Arial" w:hAnsi="Arial" w:cs="Arial"/>
      <w:color w:val="000000"/>
      <w:sz w:val="18"/>
      <w:szCs w:val="18"/>
      <w:u w:val="none"/>
    </w:rPr>
  </w:style>
  <w:style w:type="character" w:customStyle="1" w:styleId="18">
    <w:name w:val="font101"/>
    <w:basedOn w:val="9"/>
    <w:autoRedefine/>
    <w:qFormat/>
    <w:uiPriority w:val="0"/>
    <w:rPr>
      <w:rFonts w:hint="eastAsia" w:ascii="宋体" w:hAnsi="宋体" w:eastAsia="宋体" w:cs="宋体"/>
      <w:b/>
      <w:bCs/>
      <w:color w:val="000000"/>
      <w:sz w:val="18"/>
      <w:szCs w:val="18"/>
      <w:u w:val="none"/>
    </w:rPr>
  </w:style>
  <w:style w:type="character" w:customStyle="1" w:styleId="19">
    <w:name w:val="font112"/>
    <w:basedOn w:val="9"/>
    <w:autoRedefine/>
    <w:qFormat/>
    <w:uiPriority w:val="0"/>
    <w:rPr>
      <w:rFonts w:hint="eastAsia" w:ascii="宋体" w:hAnsi="宋体" w:eastAsia="宋体" w:cs="宋体"/>
      <w:color w:val="000000"/>
      <w:sz w:val="18"/>
      <w:szCs w:val="18"/>
      <w:u w:val="none"/>
      <w:vertAlign w:val="superscript"/>
    </w:rPr>
  </w:style>
  <w:style w:type="character" w:customStyle="1" w:styleId="20">
    <w:name w:val="font21"/>
    <w:basedOn w:val="9"/>
    <w:autoRedefine/>
    <w:qFormat/>
    <w:uiPriority w:val="0"/>
    <w:rPr>
      <w:rFonts w:hint="eastAsia" w:ascii="宋体" w:hAnsi="宋体" w:eastAsia="宋体" w:cs="宋体"/>
      <w:color w:val="000000"/>
      <w:sz w:val="18"/>
      <w:szCs w:val="18"/>
      <w:u w:val="none"/>
    </w:rPr>
  </w:style>
  <w:style w:type="paragraph" w:customStyle="1" w:styleId="21">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1654</Words>
  <Characters>1797</Characters>
  <Lines>46</Lines>
  <Paragraphs>13</Paragraphs>
  <TotalTime>0</TotalTime>
  <ScaleCrop>false</ScaleCrop>
  <LinksUpToDate>false</LinksUpToDate>
  <CharactersWithSpaces>1814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2022-06-08T00:53:00Z</dcterms:created>
  <dc:creator>郑立熔</dc:creator>
  <cp:lastModifiedBy>0 。0。。圈圈</cp:lastModifiedBy>
  <cp:lastPrinted>2026-03-12T03:28:00Z</cp:lastPrinted>
  <dcterms:modified xsi:type="dcterms:W3CDTF">2026-03-17T03:48:41Z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344B98E9B7AD4A6D975702D89568A420_13</vt:lpwstr>
  </property>
  <property fmtid="{D5CDD505-2E9C-101B-9397-08002B2CF9AE}" pid="4" name="KSOTemplateDocerSaveRecord">
    <vt:lpwstr>eyJoZGlkIjoiMDRkOTJkMjI3NWI2OThlNGIwYzgwMDUzN2UwODJjMjAiLCJ1c2VySWQiOiIxMjU2NzYwNjIzIn0=</vt:lpwstr>
  </property>
</Properties>
</file>