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1126B">
      <w:pPr>
        <w:rPr>
          <w:color w:val="auto"/>
          <w:highlight w:val="none"/>
        </w:rPr>
      </w:pPr>
    </w:p>
    <w:p w14:paraId="6809CA5B">
      <w:pPr>
        <w:spacing w:line="560" w:lineRule="exact"/>
        <w:jc w:val="center"/>
        <w:rPr>
          <w:rFonts w:ascii="华文中宋" w:hAnsi="华文中宋" w:eastAsia="华文中宋"/>
          <w:b/>
          <w:color w:val="auto"/>
          <w:sz w:val="52"/>
          <w:szCs w:val="52"/>
          <w:highlight w:val="none"/>
        </w:rPr>
      </w:pPr>
    </w:p>
    <w:p w14:paraId="5067FF82">
      <w:pPr>
        <w:spacing w:line="560" w:lineRule="exact"/>
        <w:jc w:val="center"/>
        <w:rPr>
          <w:rFonts w:ascii="方正小标宋_GBK" w:hAnsi="黑体" w:eastAsia="方正小标宋_GBK"/>
          <w:color w:val="auto"/>
          <w:sz w:val="48"/>
          <w:szCs w:val="44"/>
          <w:highlight w:val="none"/>
        </w:rPr>
      </w:pPr>
      <w:r>
        <w:rPr>
          <w:rFonts w:hint="eastAsia" w:ascii="方正小标宋_GBK" w:hAnsi="黑体" w:eastAsia="方正小标宋_GBK"/>
          <w:color w:val="auto"/>
          <w:spacing w:val="-10"/>
          <w:sz w:val="48"/>
          <w:szCs w:val="44"/>
          <w:highlight w:val="none"/>
        </w:rPr>
        <w:t>广西壮族自治区交通运输综合行政执法局</w:t>
      </w:r>
      <w:r>
        <w:rPr>
          <w:rFonts w:hint="eastAsia" w:ascii="方正小标宋_GBK" w:hAnsi="黑体" w:eastAsia="方正小标宋_GBK"/>
          <w:color w:val="auto"/>
          <w:sz w:val="48"/>
          <w:szCs w:val="44"/>
          <w:highlight w:val="none"/>
        </w:rPr>
        <w:t>微信公众号运维服务项目</w:t>
      </w:r>
    </w:p>
    <w:p w14:paraId="11BABBD7">
      <w:pPr>
        <w:spacing w:line="560" w:lineRule="exact"/>
        <w:jc w:val="center"/>
        <w:rPr>
          <w:rFonts w:ascii="方正小标宋_GBK" w:hAnsi="黑体" w:eastAsia="方正小标宋_GBK"/>
          <w:color w:val="auto"/>
          <w:sz w:val="48"/>
          <w:szCs w:val="44"/>
          <w:highlight w:val="none"/>
        </w:rPr>
      </w:pPr>
      <w:r>
        <w:rPr>
          <w:rFonts w:hint="eastAsia" w:ascii="方正小标宋_GBK" w:hAnsi="黑体" w:eastAsia="方正小标宋_GBK"/>
          <w:color w:val="auto"/>
          <w:sz w:val="48"/>
          <w:szCs w:val="44"/>
          <w:highlight w:val="none"/>
        </w:rPr>
        <w:t>询价采购文件</w:t>
      </w:r>
    </w:p>
    <w:p w14:paraId="1B36FB99">
      <w:pPr>
        <w:rPr>
          <w:color w:val="auto"/>
          <w:highlight w:val="none"/>
        </w:rPr>
      </w:pPr>
    </w:p>
    <w:p w14:paraId="78838E85">
      <w:pPr>
        <w:rPr>
          <w:color w:val="auto"/>
          <w:highlight w:val="none"/>
        </w:rPr>
      </w:pPr>
    </w:p>
    <w:p w14:paraId="441A8161">
      <w:pPr>
        <w:rPr>
          <w:color w:val="auto"/>
          <w:highlight w:val="none"/>
        </w:rPr>
      </w:pPr>
    </w:p>
    <w:p w14:paraId="5637E9F1">
      <w:pPr>
        <w:rPr>
          <w:color w:val="auto"/>
          <w:highlight w:val="none"/>
        </w:rPr>
      </w:pPr>
    </w:p>
    <w:p w14:paraId="3E7560FB">
      <w:pPr>
        <w:rPr>
          <w:color w:val="auto"/>
          <w:highlight w:val="none"/>
        </w:rPr>
      </w:pPr>
    </w:p>
    <w:p w14:paraId="4C32322A">
      <w:pPr>
        <w:rPr>
          <w:color w:val="auto"/>
          <w:highlight w:val="none"/>
        </w:rPr>
      </w:pPr>
    </w:p>
    <w:p w14:paraId="7EDF799C">
      <w:pPr>
        <w:rPr>
          <w:color w:val="auto"/>
          <w:highlight w:val="none"/>
        </w:rPr>
      </w:pPr>
    </w:p>
    <w:p w14:paraId="37A3B935">
      <w:pPr>
        <w:rPr>
          <w:color w:val="auto"/>
          <w:highlight w:val="none"/>
        </w:rPr>
      </w:pPr>
    </w:p>
    <w:p w14:paraId="4480C1A1">
      <w:pPr>
        <w:rPr>
          <w:color w:val="auto"/>
          <w:highlight w:val="none"/>
        </w:rPr>
      </w:pPr>
    </w:p>
    <w:p w14:paraId="57FD27E4">
      <w:pPr>
        <w:rPr>
          <w:color w:val="auto"/>
          <w:highlight w:val="none"/>
        </w:rPr>
      </w:pPr>
    </w:p>
    <w:p w14:paraId="7B11CE39">
      <w:pPr>
        <w:rPr>
          <w:b/>
          <w:color w:val="auto"/>
          <w:sz w:val="36"/>
          <w:szCs w:val="36"/>
          <w:highlight w:val="none"/>
        </w:rPr>
      </w:pPr>
    </w:p>
    <w:p w14:paraId="5FB51CA6">
      <w:pPr>
        <w:rPr>
          <w:b/>
          <w:color w:val="auto"/>
          <w:sz w:val="36"/>
          <w:szCs w:val="36"/>
          <w:highlight w:val="none"/>
        </w:rPr>
      </w:pPr>
    </w:p>
    <w:p w14:paraId="293E639C">
      <w:pPr>
        <w:rPr>
          <w:b/>
          <w:color w:val="auto"/>
          <w:sz w:val="36"/>
          <w:szCs w:val="36"/>
          <w:highlight w:val="none"/>
        </w:rPr>
      </w:pPr>
    </w:p>
    <w:p w14:paraId="73FD99D3">
      <w:pPr>
        <w:rPr>
          <w:b/>
          <w:color w:val="auto"/>
          <w:sz w:val="36"/>
          <w:szCs w:val="36"/>
          <w:highlight w:val="none"/>
        </w:rPr>
      </w:pPr>
    </w:p>
    <w:p w14:paraId="2FBE0BAB">
      <w:pPr>
        <w:rPr>
          <w:b/>
          <w:color w:val="auto"/>
          <w:sz w:val="44"/>
          <w:szCs w:val="44"/>
          <w:highlight w:val="none"/>
        </w:rPr>
      </w:pPr>
    </w:p>
    <w:p w14:paraId="1B42E906">
      <w:pPr>
        <w:rPr>
          <w:b/>
          <w:color w:val="auto"/>
          <w:sz w:val="44"/>
          <w:szCs w:val="44"/>
          <w:highlight w:val="none"/>
        </w:rPr>
      </w:pPr>
    </w:p>
    <w:p w14:paraId="6C8CD33B">
      <w:pPr>
        <w:rPr>
          <w:b/>
          <w:color w:val="auto"/>
          <w:sz w:val="44"/>
          <w:szCs w:val="44"/>
          <w:highlight w:val="none"/>
        </w:rPr>
      </w:pPr>
    </w:p>
    <w:p w14:paraId="389835C3">
      <w:pPr>
        <w:rPr>
          <w:b/>
          <w:color w:val="auto"/>
          <w:sz w:val="44"/>
          <w:szCs w:val="44"/>
          <w:highlight w:val="none"/>
        </w:rPr>
      </w:pPr>
    </w:p>
    <w:p w14:paraId="60E0DF6E">
      <w:pPr>
        <w:rPr>
          <w:b/>
          <w:color w:val="auto"/>
          <w:sz w:val="44"/>
          <w:szCs w:val="44"/>
          <w:highlight w:val="none"/>
        </w:rPr>
      </w:pPr>
    </w:p>
    <w:p w14:paraId="049EBFDE">
      <w:pPr>
        <w:rPr>
          <w:rFonts w:ascii="仿宋_GB2312" w:eastAsia="仿宋_GB2312"/>
          <w:b/>
          <w:color w:val="auto"/>
          <w:sz w:val="36"/>
          <w:szCs w:val="36"/>
          <w:highlight w:val="none"/>
        </w:rPr>
      </w:pPr>
      <w:r>
        <w:rPr>
          <w:rFonts w:hint="eastAsia" w:ascii="仿宋_GB2312" w:eastAsia="仿宋_GB2312"/>
          <w:b/>
          <w:color w:val="auto"/>
          <w:sz w:val="36"/>
          <w:szCs w:val="36"/>
          <w:highlight w:val="none"/>
        </w:rPr>
        <w:t>采购单位：广西壮族自治区交通运输综合行政执法局</w:t>
      </w:r>
    </w:p>
    <w:p w14:paraId="3F853338">
      <w:pPr>
        <w:rPr>
          <w:rFonts w:ascii="仿宋_GB2312" w:eastAsia="仿宋_GB2312"/>
          <w:b/>
          <w:color w:val="auto"/>
          <w:sz w:val="36"/>
          <w:szCs w:val="36"/>
          <w:highlight w:val="none"/>
        </w:rPr>
      </w:pPr>
      <w:r>
        <w:rPr>
          <w:rFonts w:hint="eastAsia" w:ascii="仿宋_GB2312" w:eastAsia="仿宋_GB2312"/>
          <w:b/>
          <w:color w:val="auto"/>
          <w:sz w:val="36"/>
          <w:szCs w:val="36"/>
          <w:highlight w:val="none"/>
        </w:rPr>
        <w:t xml:space="preserve">日    期：       2026年 </w:t>
      </w:r>
      <w:r>
        <w:rPr>
          <w:rFonts w:hint="eastAsia" w:ascii="仿宋_GB2312" w:eastAsia="仿宋_GB2312"/>
          <w:b/>
          <w:color w:val="auto"/>
          <w:sz w:val="36"/>
          <w:szCs w:val="36"/>
          <w:highlight w:val="none"/>
          <w:lang w:val="en-US" w:eastAsia="zh-CN"/>
        </w:rPr>
        <w:t>3</w:t>
      </w:r>
      <w:r>
        <w:rPr>
          <w:rFonts w:hint="eastAsia" w:ascii="仿宋_GB2312" w:eastAsia="仿宋_GB2312"/>
          <w:b/>
          <w:color w:val="auto"/>
          <w:sz w:val="36"/>
          <w:szCs w:val="36"/>
          <w:highlight w:val="none"/>
        </w:rPr>
        <w:t>月</w:t>
      </w:r>
      <w:r>
        <w:rPr>
          <w:rFonts w:hint="eastAsia" w:ascii="仿宋_GB2312" w:eastAsia="仿宋_GB2312"/>
          <w:b/>
          <w:color w:val="auto"/>
          <w:sz w:val="36"/>
          <w:szCs w:val="36"/>
          <w:highlight w:val="none"/>
          <w:lang w:val="en-US" w:eastAsia="zh-CN"/>
        </w:rPr>
        <w:t>17</w:t>
      </w:r>
      <w:r>
        <w:rPr>
          <w:rFonts w:hint="eastAsia" w:ascii="仿宋_GB2312" w:eastAsia="仿宋_GB2312"/>
          <w:b/>
          <w:color w:val="auto"/>
          <w:sz w:val="36"/>
          <w:szCs w:val="36"/>
          <w:highlight w:val="none"/>
        </w:rPr>
        <w:t>日</w:t>
      </w:r>
    </w:p>
    <w:p w14:paraId="3DA7B2FE">
      <w:pPr>
        <w:rPr>
          <w:b/>
          <w:color w:val="auto"/>
          <w:sz w:val="36"/>
          <w:szCs w:val="36"/>
          <w:highlight w:val="none"/>
        </w:rPr>
      </w:pPr>
    </w:p>
    <w:p w14:paraId="2AFB1D49">
      <w:pPr>
        <w:rPr>
          <w:b/>
          <w:color w:val="auto"/>
          <w:sz w:val="36"/>
          <w:szCs w:val="36"/>
          <w:highlight w:val="none"/>
        </w:rPr>
      </w:pPr>
    </w:p>
    <w:p w14:paraId="0EA343E5">
      <w:pPr>
        <w:spacing w:line="560" w:lineRule="exact"/>
        <w:jc w:val="center"/>
        <w:rPr>
          <w:rFonts w:ascii="方正小标宋_GBK" w:hAnsi="华文中宋" w:eastAsia="方正小标宋_GBK"/>
          <w:color w:val="auto"/>
          <w:sz w:val="44"/>
          <w:szCs w:val="44"/>
          <w:highlight w:val="none"/>
        </w:rPr>
      </w:pPr>
      <w:r>
        <w:rPr>
          <w:rFonts w:hint="eastAsia" w:ascii="方正小标宋_GBK" w:hAnsi="华文中宋" w:eastAsia="方正小标宋_GBK"/>
          <w:color w:val="auto"/>
          <w:sz w:val="44"/>
          <w:szCs w:val="44"/>
          <w:highlight w:val="none"/>
        </w:rPr>
        <w:t>广西壮族自治区交通运输综合行政执法局微信公众号运维服务项目采购报价</w:t>
      </w:r>
    </w:p>
    <w:p w14:paraId="2D649ED9">
      <w:pPr>
        <w:spacing w:line="560" w:lineRule="exact"/>
        <w:jc w:val="center"/>
        <w:rPr>
          <w:rFonts w:ascii="方正小标宋_GBK" w:hAnsi="华文中宋" w:eastAsia="方正小标宋_GBK"/>
          <w:color w:val="auto"/>
          <w:sz w:val="44"/>
          <w:szCs w:val="44"/>
          <w:highlight w:val="none"/>
        </w:rPr>
      </w:pPr>
      <w:r>
        <w:rPr>
          <w:rFonts w:hint="eastAsia" w:ascii="方正小标宋_GBK" w:hAnsi="华文中宋" w:eastAsia="方正小标宋_GBK"/>
          <w:color w:val="auto"/>
          <w:sz w:val="44"/>
          <w:szCs w:val="44"/>
          <w:highlight w:val="none"/>
        </w:rPr>
        <w:t>供应商需知</w:t>
      </w:r>
    </w:p>
    <w:p w14:paraId="7CA9013B">
      <w:pPr>
        <w:pStyle w:val="2"/>
        <w:spacing w:before="0" w:after="0"/>
        <w:ind w:firstLine="560" w:firstLineChars="200"/>
        <w:rPr>
          <w:rFonts w:ascii="仿宋_GB2312" w:eastAsia="仿宋_GB2312"/>
          <w:color w:val="auto"/>
          <w:sz w:val="28"/>
          <w:szCs w:val="28"/>
          <w:highlight w:val="none"/>
        </w:rPr>
      </w:pPr>
    </w:p>
    <w:p w14:paraId="1BA679C1">
      <w:pPr>
        <w:pStyle w:val="2"/>
        <w:spacing w:before="0" w:after="0" w:line="576" w:lineRule="auto"/>
        <w:ind w:firstLine="562" w:firstLineChars="200"/>
        <w:rPr>
          <w:rFonts w:ascii="仿宋_GB2312" w:hAnsi="Times New Roman" w:eastAsia="仿宋_GB2312"/>
          <w:b/>
          <w:bCs/>
          <w:color w:val="auto"/>
          <w:kern w:val="44"/>
          <w:sz w:val="28"/>
          <w:szCs w:val="28"/>
          <w:highlight w:val="none"/>
        </w:rPr>
      </w:pPr>
      <w:r>
        <w:rPr>
          <w:rFonts w:hint="eastAsia" w:ascii="仿宋_GB2312" w:hAnsi="Times New Roman" w:eastAsia="仿宋_GB2312"/>
          <w:b/>
          <w:bCs/>
          <w:color w:val="auto"/>
          <w:kern w:val="44"/>
          <w:sz w:val="28"/>
          <w:szCs w:val="28"/>
          <w:highlight w:val="none"/>
        </w:rPr>
        <w:t>一、报价的准备和报价</w:t>
      </w:r>
    </w:p>
    <w:p w14:paraId="130B1C25">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（一）报价方应认真审阅本询价采购文件，并按本文件的规定，提交完整的报价文件。</w:t>
      </w:r>
    </w:p>
    <w:p w14:paraId="56B6DE30">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（二）报价方应用人民币作报价。</w:t>
      </w:r>
    </w:p>
    <w:p w14:paraId="1EF2F712">
      <w:pPr>
        <w:ind w:firstLine="600"/>
        <w:rPr>
          <w:rFonts w:ascii="仿宋_GB2312" w:eastAsia="仿宋_GB2312"/>
          <w:color w:val="auto"/>
          <w:sz w:val="28"/>
          <w:szCs w:val="28"/>
          <w:highlight w:val="none"/>
        </w:rPr>
      </w:pPr>
      <w:r>
        <w:rPr>
          <w:rFonts w:hint="eastAsia" w:ascii="仿宋_GB2312" w:eastAsia="仿宋_GB2312"/>
          <w:color w:val="auto"/>
          <w:sz w:val="28"/>
          <w:szCs w:val="28"/>
          <w:highlight w:val="none"/>
        </w:rPr>
        <w:t>（三）报价文件</w:t>
      </w:r>
    </w:p>
    <w:p w14:paraId="4B11801E">
      <w:pPr>
        <w:ind w:firstLine="600"/>
        <w:rPr>
          <w:rFonts w:ascii="仿宋_GB2312" w:eastAsia="仿宋_GB2312"/>
          <w:color w:val="auto"/>
          <w:sz w:val="28"/>
          <w:szCs w:val="28"/>
          <w:highlight w:val="none"/>
        </w:rPr>
      </w:pPr>
      <w:r>
        <w:rPr>
          <w:rFonts w:hint="eastAsia" w:ascii="仿宋_GB2312" w:eastAsia="仿宋_GB2312"/>
          <w:color w:val="auto"/>
          <w:sz w:val="28"/>
          <w:szCs w:val="28"/>
          <w:highlight w:val="none"/>
        </w:rPr>
        <w:t>1.报价文件应由报价方法定代表签署，如由代理人签字应有法定代表人的授权书，授权书必须有法定代表人的签字并盖章方可生效。报价文件不得涂改，否则报价文件作废。</w:t>
      </w:r>
    </w:p>
    <w:p w14:paraId="7DD76C36">
      <w:pPr>
        <w:ind w:firstLine="600"/>
        <w:rPr>
          <w:rFonts w:ascii="仿宋_GB2312" w:eastAsia="仿宋_GB2312"/>
          <w:color w:val="auto"/>
          <w:sz w:val="28"/>
          <w:szCs w:val="28"/>
          <w:highlight w:val="none"/>
        </w:rPr>
      </w:pPr>
      <w:r>
        <w:rPr>
          <w:rFonts w:hint="eastAsia" w:ascii="仿宋_GB2312" w:eastAsia="仿宋_GB2312"/>
          <w:color w:val="auto"/>
          <w:sz w:val="28"/>
          <w:szCs w:val="28"/>
          <w:highlight w:val="none"/>
        </w:rPr>
        <w:t>2.报价方资格证明文件视为报价文件不可分割的一部分。</w:t>
      </w:r>
    </w:p>
    <w:p w14:paraId="53128B8E">
      <w:pPr>
        <w:ind w:firstLine="600"/>
        <w:rPr>
          <w:rFonts w:ascii="仿宋_GB2312" w:eastAsia="仿宋_GB2312"/>
          <w:color w:val="auto"/>
          <w:sz w:val="28"/>
          <w:szCs w:val="28"/>
          <w:highlight w:val="none"/>
        </w:rPr>
      </w:pPr>
      <w:r>
        <w:rPr>
          <w:rFonts w:hint="eastAsia" w:ascii="仿宋_GB2312" w:eastAsia="仿宋_GB2312"/>
          <w:color w:val="auto"/>
          <w:sz w:val="28"/>
          <w:szCs w:val="28"/>
          <w:highlight w:val="none"/>
        </w:rPr>
        <w:t>3.报价方应将报价文件用信封密封，信封封口处应加贴密封条，密封条应加盖公章或密封章。</w:t>
      </w:r>
    </w:p>
    <w:p w14:paraId="688CEF9C">
      <w:pPr>
        <w:ind w:firstLine="600"/>
        <w:rPr>
          <w:rFonts w:ascii="仿宋_GB2312" w:eastAsia="仿宋_GB2312"/>
          <w:color w:val="auto"/>
          <w:sz w:val="28"/>
          <w:szCs w:val="28"/>
          <w:highlight w:val="none"/>
        </w:rPr>
      </w:pPr>
      <w:r>
        <w:rPr>
          <w:rFonts w:hint="eastAsia" w:ascii="仿宋_GB2312" w:eastAsia="仿宋_GB2312"/>
          <w:color w:val="auto"/>
          <w:sz w:val="28"/>
          <w:szCs w:val="28"/>
          <w:highlight w:val="none"/>
        </w:rPr>
        <w:t>4.报价方应对报价文件仔细核对和检查，报价后采购方不接收修改报价文件的意见，除非采购方对采购文件某部分内容进行澄清，所有报价方应在规定的时间内书面答复。</w:t>
      </w:r>
    </w:p>
    <w:p w14:paraId="62511A1E">
      <w:pPr>
        <w:ind w:firstLine="600"/>
        <w:rPr>
          <w:rFonts w:ascii="仿宋_GB2312" w:eastAsia="仿宋_GB2312"/>
          <w:color w:val="auto"/>
          <w:sz w:val="28"/>
          <w:szCs w:val="28"/>
          <w:highlight w:val="none"/>
        </w:rPr>
      </w:pPr>
      <w:r>
        <w:rPr>
          <w:rFonts w:hint="eastAsia" w:ascii="仿宋_GB2312" w:eastAsia="仿宋_GB2312"/>
          <w:color w:val="auto"/>
          <w:sz w:val="28"/>
          <w:szCs w:val="28"/>
          <w:highlight w:val="none"/>
        </w:rPr>
        <w:t>5.报价时间及地点：报价方请于2026年</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23</w:t>
      </w:r>
      <w:r>
        <w:rPr>
          <w:rFonts w:hint="eastAsia" w:ascii="仿宋_GB2312" w:eastAsia="仿宋_GB2312"/>
          <w:color w:val="auto"/>
          <w:sz w:val="28"/>
          <w:szCs w:val="28"/>
          <w:highlight w:val="none"/>
        </w:rPr>
        <w:t>日中午12点前将装订成册的报价文件（一式三份）以信封密封好，送至我局财务科（南宁市滨湖路66号公路大厦808室）。如需邮寄送达，请用信封密封好并在邮寄封面注明投标资料和投标单位，联系人：张微，联系电话：0771-2115929。逾期将拒绝接收报价文件。</w:t>
      </w:r>
    </w:p>
    <w:p w14:paraId="29362408">
      <w:pPr>
        <w:ind w:firstLine="600"/>
        <w:rPr>
          <w:rFonts w:ascii="仿宋_GB2312" w:eastAsia="仿宋_GB2312"/>
          <w:color w:val="auto"/>
          <w:sz w:val="28"/>
          <w:szCs w:val="28"/>
          <w:highlight w:val="none"/>
        </w:rPr>
      </w:pPr>
      <w:r>
        <w:rPr>
          <w:rFonts w:hint="eastAsia" w:ascii="仿宋_GB2312" w:eastAsia="仿宋_GB2312"/>
          <w:color w:val="auto"/>
          <w:sz w:val="28"/>
          <w:szCs w:val="28"/>
          <w:highlight w:val="none"/>
        </w:rPr>
        <w:t>（四）签订合同</w:t>
      </w:r>
    </w:p>
    <w:p w14:paraId="6C34A8C8">
      <w:pPr>
        <w:ind w:firstLine="600"/>
        <w:rPr>
          <w:rFonts w:ascii="仿宋_GB2312" w:eastAsia="仿宋_GB2312"/>
          <w:color w:val="auto"/>
          <w:sz w:val="28"/>
          <w:szCs w:val="28"/>
          <w:highlight w:val="none"/>
        </w:rPr>
      </w:pPr>
      <w:r>
        <w:rPr>
          <w:rFonts w:hint="eastAsia" w:ascii="仿宋_GB2312" w:eastAsia="仿宋_GB2312"/>
          <w:color w:val="auto"/>
          <w:sz w:val="28"/>
          <w:szCs w:val="28"/>
          <w:highlight w:val="none"/>
        </w:rPr>
        <w:t>1.成交方应在成交通知书规定的时间内，由法定代表人或委托代理人到采购单位签订合同。</w:t>
      </w:r>
    </w:p>
    <w:p w14:paraId="22F3CB4A">
      <w:pPr>
        <w:ind w:firstLine="600"/>
        <w:rPr>
          <w:rFonts w:ascii="仿宋_GB2312" w:eastAsia="仿宋_GB2312"/>
          <w:color w:val="auto"/>
          <w:sz w:val="28"/>
          <w:szCs w:val="28"/>
          <w:highlight w:val="none"/>
        </w:rPr>
      </w:pPr>
      <w:r>
        <w:rPr>
          <w:rFonts w:hint="eastAsia" w:ascii="仿宋_GB2312" w:eastAsia="仿宋_GB2312"/>
          <w:color w:val="auto"/>
          <w:sz w:val="28"/>
          <w:szCs w:val="28"/>
          <w:highlight w:val="none"/>
        </w:rPr>
        <w:t>2.成交通知书、本询价采购文件和成交方的报价文件是双方签订合同的依据，合同文本应符合国家相关政策要求。成交方在签订合同时对上述文件有异议，不愿遵照执行，将视情节取消成交方的成交资格，以及赔偿采购方的经济损失。</w:t>
      </w:r>
    </w:p>
    <w:p w14:paraId="3EA64FE5">
      <w:pPr>
        <w:pStyle w:val="2"/>
        <w:spacing w:before="0" w:after="0" w:line="576" w:lineRule="auto"/>
        <w:ind w:firstLine="562" w:firstLineChars="200"/>
        <w:rPr>
          <w:rFonts w:ascii="仿宋_GB2312" w:hAnsi="Times New Roman" w:eastAsia="仿宋_GB2312"/>
          <w:b/>
          <w:bCs/>
          <w:color w:val="auto"/>
          <w:kern w:val="44"/>
          <w:sz w:val="28"/>
          <w:szCs w:val="28"/>
          <w:highlight w:val="none"/>
        </w:rPr>
      </w:pPr>
      <w:bookmarkStart w:id="0" w:name="_Toc453359044"/>
      <w:r>
        <w:rPr>
          <w:rFonts w:hint="eastAsia" w:ascii="仿宋_GB2312" w:hAnsi="Times New Roman" w:eastAsia="仿宋_GB2312"/>
          <w:b/>
          <w:bCs/>
          <w:color w:val="auto"/>
          <w:kern w:val="44"/>
          <w:sz w:val="28"/>
          <w:szCs w:val="28"/>
          <w:highlight w:val="none"/>
        </w:rPr>
        <w:t>二、</w:t>
      </w:r>
      <w:bookmarkEnd w:id="0"/>
      <w:r>
        <w:rPr>
          <w:rFonts w:hint="eastAsia" w:ascii="仿宋_GB2312" w:hAnsi="Times New Roman" w:eastAsia="仿宋_GB2312"/>
          <w:b/>
          <w:bCs/>
          <w:color w:val="auto"/>
          <w:kern w:val="44"/>
          <w:sz w:val="28"/>
          <w:szCs w:val="28"/>
          <w:highlight w:val="none"/>
        </w:rPr>
        <w:t>采购需求内容</w:t>
      </w:r>
    </w:p>
    <w:p w14:paraId="7C3CD898">
      <w:pPr>
        <w:ind w:firstLine="562" w:firstLineChars="200"/>
        <w:rPr>
          <w:rFonts w:hint="eastAsia" w:ascii="仿宋" w:hAnsi="仿宋" w:eastAsia="仿宋"/>
          <w:color w:val="auto"/>
          <w:sz w:val="28"/>
          <w:szCs w:val="32"/>
          <w:highlight w:val="none"/>
          <w:lang w:val="en-US" w:eastAsia="zh-CN"/>
        </w:rPr>
      </w:pPr>
      <w:r>
        <w:rPr>
          <w:rFonts w:hint="eastAsia" w:ascii="仿宋_GB2312" w:eastAsia="仿宋_GB2312"/>
          <w:b/>
          <w:color w:val="auto"/>
          <w:sz w:val="28"/>
          <w:szCs w:val="32"/>
          <w:highlight w:val="none"/>
        </w:rPr>
        <w:t>（一）</w:t>
      </w:r>
      <w:r>
        <w:rPr>
          <w:rFonts w:hint="eastAsia" w:ascii="仿宋" w:hAnsi="仿宋" w:eastAsia="仿宋"/>
          <w:color w:val="auto"/>
          <w:sz w:val="28"/>
          <w:szCs w:val="32"/>
          <w:highlight w:val="none"/>
        </w:rPr>
        <w:t>采购项目名称：微信公众号运维</w:t>
      </w:r>
      <w:r>
        <w:rPr>
          <w:rFonts w:hint="eastAsia" w:ascii="仿宋" w:hAnsi="仿宋" w:eastAsia="仿宋"/>
          <w:color w:val="auto"/>
          <w:sz w:val="28"/>
          <w:szCs w:val="32"/>
          <w:highlight w:val="none"/>
          <w:lang w:val="en-US" w:eastAsia="zh-CN"/>
        </w:rPr>
        <w:t>服务</w:t>
      </w:r>
    </w:p>
    <w:p w14:paraId="2B476D1F">
      <w:pPr>
        <w:ind w:firstLine="562" w:firstLineChars="200"/>
        <w:rPr>
          <w:rFonts w:ascii="仿宋_GB2312" w:eastAsia="仿宋"/>
          <w:b/>
          <w:color w:val="auto"/>
          <w:sz w:val="28"/>
          <w:szCs w:val="32"/>
          <w:highlight w:val="none"/>
        </w:rPr>
      </w:pPr>
      <w:r>
        <w:rPr>
          <w:rFonts w:hint="eastAsia" w:ascii="仿宋_GB2312" w:eastAsia="仿宋_GB2312"/>
          <w:b/>
          <w:color w:val="auto"/>
          <w:sz w:val="28"/>
          <w:szCs w:val="32"/>
          <w:highlight w:val="none"/>
        </w:rPr>
        <w:t>（二）</w:t>
      </w:r>
      <w:r>
        <w:rPr>
          <w:rFonts w:hint="eastAsia" w:ascii="仿宋" w:hAnsi="仿宋" w:eastAsia="仿宋"/>
          <w:color w:val="auto"/>
          <w:sz w:val="28"/>
          <w:szCs w:val="32"/>
          <w:highlight w:val="none"/>
        </w:rPr>
        <w:t>采购项目最高限价金额（人民币）：9.8万元。</w:t>
      </w:r>
    </w:p>
    <w:p w14:paraId="4100A960">
      <w:pPr>
        <w:ind w:firstLine="562" w:firstLineChars="200"/>
        <w:rPr>
          <w:rFonts w:ascii="仿宋" w:hAnsi="仿宋" w:eastAsia="仿宋"/>
          <w:color w:val="auto"/>
          <w:sz w:val="28"/>
          <w:szCs w:val="28"/>
          <w:highlight w:val="none"/>
        </w:rPr>
      </w:pPr>
      <w:r>
        <w:rPr>
          <w:rFonts w:hint="eastAsia" w:ascii="仿宋_GB2312" w:eastAsia="仿宋_GB2312"/>
          <w:b/>
          <w:color w:val="auto"/>
          <w:sz w:val="28"/>
          <w:szCs w:val="32"/>
          <w:highlight w:val="none"/>
        </w:rPr>
        <w:t>（三）</w:t>
      </w:r>
      <w:bookmarkStart w:id="1" w:name="OLE_LINK1"/>
      <w:r>
        <w:rPr>
          <w:rFonts w:hint="eastAsia" w:ascii="仿宋" w:hAnsi="仿宋" w:eastAsia="仿宋"/>
          <w:color w:val="auto"/>
          <w:sz w:val="28"/>
          <w:szCs w:val="32"/>
          <w:highlight w:val="none"/>
        </w:rPr>
        <w:t>采购项目内容</w:t>
      </w:r>
      <w:bookmarkEnd w:id="1"/>
      <w:r>
        <w:rPr>
          <w:rFonts w:hint="eastAsia" w:ascii="仿宋" w:hAnsi="仿宋" w:eastAsia="仿宋"/>
          <w:color w:val="auto"/>
          <w:sz w:val="28"/>
          <w:szCs w:val="32"/>
          <w:highlight w:val="none"/>
        </w:rPr>
        <w:t>：保障执法局微信公众号正常运转，优化完善公众号内部管理功能，并提供日常运维服务，服务期限1年。</w:t>
      </w:r>
      <w:r>
        <w:rPr>
          <w:rFonts w:hint="eastAsia" w:ascii="仿宋" w:hAnsi="仿宋" w:eastAsia="仿宋"/>
          <w:color w:val="auto"/>
          <w:sz w:val="28"/>
          <w:szCs w:val="28"/>
          <w:highlight w:val="none"/>
        </w:rPr>
        <w:t>本项目具体采购内容如下：</w:t>
      </w:r>
    </w:p>
    <w:p w14:paraId="445176A0">
      <w:pPr>
        <w:rPr>
          <w:rFonts w:ascii="仿宋" w:hAnsi="仿宋" w:eastAsia="仿宋"/>
          <w:color w:val="auto"/>
          <w:sz w:val="28"/>
          <w:szCs w:val="28"/>
          <w:highlight w:val="none"/>
        </w:rPr>
      </w:pPr>
    </w:p>
    <w:p w14:paraId="2F9E0660">
      <w:pPr>
        <w:widowControl/>
        <w:jc w:val="left"/>
        <w:rPr>
          <w:rFonts w:ascii="仿宋" w:hAnsi="仿宋" w:eastAsia="仿宋"/>
          <w:color w:val="auto"/>
          <w:sz w:val="28"/>
          <w:szCs w:val="28"/>
          <w:highlight w:val="none"/>
        </w:rPr>
        <w:sectPr>
          <w:footerReference r:id="rId3" w:type="default"/>
          <w:pgSz w:w="11906" w:h="16838"/>
          <w:pgMar w:top="1440" w:right="1800" w:bottom="1440" w:left="1800" w:header="851" w:footer="992" w:gutter="0"/>
          <w:pgNumType w:fmt="decimal"/>
          <w:cols w:space="720" w:num="1"/>
          <w:docGrid w:type="lines" w:linePitch="312" w:charSpace="0"/>
        </w:sectPr>
      </w:pPr>
    </w:p>
    <w:tbl>
      <w:tblPr>
        <w:tblStyle w:val="6"/>
        <w:tblW w:w="14040" w:type="dxa"/>
        <w:tblInd w:w="-5" w:type="dxa"/>
        <w:tblLayout w:type="fixed"/>
        <w:tblCellMar>
          <w:top w:w="0" w:type="dxa"/>
          <w:left w:w="108" w:type="dxa"/>
          <w:bottom w:w="0" w:type="dxa"/>
          <w:right w:w="108" w:type="dxa"/>
        </w:tblCellMar>
      </w:tblPr>
      <w:tblGrid>
        <w:gridCol w:w="1248"/>
        <w:gridCol w:w="1074"/>
        <w:gridCol w:w="8741"/>
        <w:gridCol w:w="540"/>
        <w:gridCol w:w="525"/>
        <w:gridCol w:w="1171"/>
        <w:gridCol w:w="720"/>
        <w:gridCol w:w="21"/>
      </w:tblGrid>
      <w:tr w14:paraId="27E0136D">
        <w:tblPrEx>
          <w:tblCellMar>
            <w:top w:w="0" w:type="dxa"/>
            <w:left w:w="108" w:type="dxa"/>
            <w:bottom w:w="0" w:type="dxa"/>
            <w:right w:w="108" w:type="dxa"/>
          </w:tblCellMar>
        </w:tblPrEx>
        <w:trPr>
          <w:gridAfter w:val="1"/>
          <w:wAfter w:w="21" w:type="dxa"/>
          <w:trHeight w:val="132" w:hRule="atLeast"/>
        </w:trPr>
        <w:tc>
          <w:tcPr>
            <w:tcW w:w="1247" w:type="dxa"/>
            <w:tcBorders>
              <w:top w:val="single" w:color="000000" w:sz="4" w:space="0"/>
              <w:left w:val="single" w:color="000000" w:sz="4" w:space="0"/>
              <w:bottom w:val="single" w:color="000000" w:sz="4" w:space="0"/>
              <w:right w:val="single" w:color="000000" w:sz="4" w:space="0"/>
            </w:tcBorders>
            <w:vAlign w:val="center"/>
          </w:tcPr>
          <w:p w14:paraId="473DF2D0">
            <w:pPr>
              <w:widowControl/>
              <w:jc w:val="center"/>
              <w:textAlignment w:val="center"/>
              <w:rPr>
                <w:rFonts w:ascii="仿宋_GB2312" w:hAnsi="宋体" w:eastAsia="仿宋_GB2312" w:cs="宋体"/>
                <w:b/>
                <w:bCs/>
                <w:color w:val="auto"/>
                <w:sz w:val="24"/>
                <w:highlight w:val="none"/>
              </w:rPr>
            </w:pPr>
            <w:r>
              <w:rPr>
                <w:rFonts w:hint="eastAsia" w:ascii="仿宋_GB2312" w:hAnsi="宋体" w:eastAsia="仿宋_GB2312" w:cs="宋体"/>
                <w:b/>
                <w:bCs/>
                <w:color w:val="auto"/>
                <w:kern w:val="0"/>
                <w:sz w:val="24"/>
                <w:highlight w:val="none"/>
              </w:rPr>
              <w:t>序号</w:t>
            </w:r>
          </w:p>
        </w:tc>
        <w:tc>
          <w:tcPr>
            <w:tcW w:w="1073" w:type="dxa"/>
            <w:tcBorders>
              <w:top w:val="single" w:color="000000" w:sz="4" w:space="0"/>
              <w:left w:val="single" w:color="000000" w:sz="4" w:space="0"/>
              <w:bottom w:val="single" w:color="000000" w:sz="4" w:space="0"/>
              <w:right w:val="single" w:color="000000" w:sz="4" w:space="0"/>
            </w:tcBorders>
            <w:vAlign w:val="center"/>
          </w:tcPr>
          <w:p w14:paraId="43B7A71D">
            <w:pPr>
              <w:widowControl/>
              <w:jc w:val="center"/>
              <w:textAlignment w:val="center"/>
              <w:rPr>
                <w:rFonts w:ascii="仿宋_GB2312" w:hAnsi="宋体" w:eastAsia="仿宋_GB2312" w:cs="宋体"/>
                <w:b/>
                <w:bCs/>
                <w:color w:val="auto"/>
                <w:sz w:val="24"/>
                <w:highlight w:val="none"/>
              </w:rPr>
            </w:pPr>
            <w:r>
              <w:rPr>
                <w:rFonts w:hint="eastAsia" w:ascii="仿宋_GB2312" w:hAnsi="宋体" w:eastAsia="仿宋_GB2312" w:cs="宋体"/>
                <w:b/>
                <w:bCs/>
                <w:color w:val="auto"/>
                <w:kern w:val="0"/>
                <w:sz w:val="24"/>
                <w:highlight w:val="none"/>
              </w:rPr>
              <w:t>项目</w:t>
            </w:r>
          </w:p>
        </w:tc>
        <w:tc>
          <w:tcPr>
            <w:tcW w:w="8737" w:type="dxa"/>
            <w:tcBorders>
              <w:top w:val="single" w:color="000000" w:sz="4" w:space="0"/>
              <w:left w:val="single" w:color="000000" w:sz="4" w:space="0"/>
              <w:bottom w:val="single" w:color="000000" w:sz="4" w:space="0"/>
              <w:right w:val="single" w:color="000000" w:sz="4" w:space="0"/>
            </w:tcBorders>
            <w:vAlign w:val="center"/>
          </w:tcPr>
          <w:p w14:paraId="2C926694">
            <w:pPr>
              <w:widowControl/>
              <w:jc w:val="center"/>
              <w:textAlignment w:val="center"/>
              <w:rPr>
                <w:rFonts w:ascii="仿宋_GB2312" w:hAnsi="宋体" w:eastAsia="仿宋_GB2312" w:cs="宋体"/>
                <w:b/>
                <w:bCs/>
                <w:color w:val="auto"/>
                <w:sz w:val="24"/>
                <w:highlight w:val="none"/>
              </w:rPr>
            </w:pPr>
            <w:r>
              <w:rPr>
                <w:rFonts w:hint="eastAsia" w:ascii="仿宋_GB2312" w:hAnsi="宋体" w:eastAsia="仿宋_GB2312" w:cs="宋体"/>
                <w:b/>
                <w:bCs/>
                <w:color w:val="auto"/>
                <w:kern w:val="0"/>
                <w:sz w:val="24"/>
                <w:highlight w:val="none"/>
              </w:rPr>
              <w:t>采购需求说明</w:t>
            </w:r>
          </w:p>
        </w:tc>
        <w:tc>
          <w:tcPr>
            <w:tcW w:w="540" w:type="dxa"/>
            <w:tcBorders>
              <w:top w:val="single" w:color="000000" w:sz="4" w:space="0"/>
              <w:left w:val="single" w:color="000000" w:sz="4" w:space="0"/>
              <w:bottom w:val="single" w:color="000000" w:sz="4" w:space="0"/>
              <w:right w:val="single" w:color="000000" w:sz="4" w:space="0"/>
            </w:tcBorders>
            <w:noWrap/>
            <w:vAlign w:val="center"/>
          </w:tcPr>
          <w:p w14:paraId="4C7FFE3C">
            <w:pPr>
              <w:widowControl/>
              <w:jc w:val="center"/>
              <w:textAlignment w:val="center"/>
              <w:rPr>
                <w:rFonts w:ascii="仿宋_GB2312" w:hAnsi="等线" w:eastAsia="仿宋_GB2312" w:cs="等线"/>
                <w:color w:val="auto"/>
                <w:sz w:val="24"/>
                <w:highlight w:val="none"/>
              </w:rPr>
            </w:pPr>
            <w:r>
              <w:rPr>
                <w:rFonts w:hint="eastAsia" w:ascii="仿宋_GB2312" w:hAnsi="等线" w:eastAsia="仿宋_GB2312" w:cs="等线"/>
                <w:color w:val="auto"/>
                <w:kern w:val="0"/>
                <w:sz w:val="24"/>
                <w:highlight w:val="none"/>
              </w:rPr>
              <w:t>数量</w:t>
            </w:r>
          </w:p>
        </w:tc>
        <w:tc>
          <w:tcPr>
            <w:tcW w:w="525" w:type="dxa"/>
            <w:tcBorders>
              <w:top w:val="single" w:color="000000" w:sz="4" w:space="0"/>
              <w:left w:val="single" w:color="000000" w:sz="4" w:space="0"/>
              <w:bottom w:val="single" w:color="000000" w:sz="4" w:space="0"/>
              <w:right w:val="single" w:color="000000" w:sz="4" w:space="0"/>
            </w:tcBorders>
            <w:noWrap/>
            <w:vAlign w:val="center"/>
          </w:tcPr>
          <w:p w14:paraId="775B5248">
            <w:pPr>
              <w:widowControl/>
              <w:jc w:val="center"/>
              <w:textAlignment w:val="center"/>
              <w:rPr>
                <w:rFonts w:ascii="仿宋_GB2312" w:hAnsi="等线" w:eastAsia="仿宋_GB2312" w:cs="等线"/>
                <w:color w:val="auto"/>
                <w:sz w:val="24"/>
                <w:highlight w:val="none"/>
              </w:rPr>
            </w:pPr>
            <w:r>
              <w:rPr>
                <w:rFonts w:hint="eastAsia" w:ascii="仿宋_GB2312" w:hAnsi="等线" w:eastAsia="仿宋_GB2312" w:cs="等线"/>
                <w:color w:val="auto"/>
                <w:kern w:val="0"/>
                <w:sz w:val="24"/>
                <w:highlight w:val="none"/>
              </w:rPr>
              <w:t>单位</w:t>
            </w: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1A74C506">
            <w:pPr>
              <w:widowControl/>
              <w:jc w:val="center"/>
              <w:textAlignment w:val="center"/>
              <w:rPr>
                <w:rFonts w:ascii="仿宋_GB2312" w:hAnsi="等线" w:eastAsia="仿宋_GB2312" w:cs="等线"/>
                <w:color w:val="auto"/>
                <w:sz w:val="24"/>
                <w:highlight w:val="none"/>
              </w:rPr>
            </w:pPr>
            <w:r>
              <w:rPr>
                <w:rFonts w:hint="eastAsia" w:ascii="仿宋_GB2312" w:hAnsi="等线" w:eastAsia="仿宋_GB2312" w:cs="等线"/>
                <w:color w:val="auto"/>
                <w:sz w:val="24"/>
                <w:highlight w:val="none"/>
              </w:rPr>
              <w:t>报价</w:t>
            </w:r>
          </w:p>
          <w:p w14:paraId="3C5CF3EC">
            <w:pPr>
              <w:widowControl/>
              <w:jc w:val="center"/>
              <w:textAlignment w:val="center"/>
              <w:rPr>
                <w:rFonts w:ascii="仿宋_GB2312" w:hAnsi="等线" w:eastAsia="仿宋_GB2312" w:cs="等线"/>
                <w:color w:val="auto"/>
                <w:sz w:val="24"/>
                <w:highlight w:val="none"/>
              </w:rPr>
            </w:pPr>
            <w:r>
              <w:rPr>
                <w:rFonts w:hint="eastAsia" w:ascii="仿宋_GB2312" w:hAnsi="等线" w:eastAsia="仿宋_GB2312" w:cs="等线"/>
                <w:color w:val="auto"/>
                <w:sz w:val="24"/>
                <w:highlight w:val="none"/>
              </w:rPr>
              <w:t>（万元）</w:t>
            </w: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268189A5">
            <w:pPr>
              <w:widowControl/>
              <w:jc w:val="center"/>
              <w:textAlignment w:val="center"/>
              <w:rPr>
                <w:rFonts w:ascii="仿宋_GB2312" w:hAnsi="等线" w:eastAsia="仿宋_GB2312" w:cs="等线"/>
                <w:color w:val="auto"/>
                <w:sz w:val="24"/>
                <w:highlight w:val="none"/>
              </w:rPr>
            </w:pPr>
            <w:r>
              <w:rPr>
                <w:rFonts w:hint="eastAsia" w:ascii="仿宋_GB2312" w:hAnsi="等线" w:eastAsia="仿宋_GB2312" w:cs="等线"/>
                <w:color w:val="auto"/>
                <w:sz w:val="24"/>
                <w:highlight w:val="none"/>
              </w:rPr>
              <w:t>响应情况</w:t>
            </w:r>
          </w:p>
        </w:tc>
      </w:tr>
      <w:tr w14:paraId="0311203C">
        <w:tblPrEx>
          <w:tblCellMar>
            <w:top w:w="0" w:type="dxa"/>
            <w:left w:w="108" w:type="dxa"/>
            <w:bottom w:w="0" w:type="dxa"/>
            <w:right w:w="108" w:type="dxa"/>
          </w:tblCellMar>
        </w:tblPrEx>
        <w:trPr>
          <w:gridAfter w:val="1"/>
          <w:wAfter w:w="21" w:type="dxa"/>
          <w:trHeight w:val="90" w:hRule="atLeast"/>
        </w:trPr>
        <w:tc>
          <w:tcPr>
            <w:tcW w:w="1247" w:type="dxa"/>
            <w:tcBorders>
              <w:top w:val="single" w:color="000000" w:sz="4" w:space="0"/>
              <w:left w:val="single" w:color="000000" w:sz="4" w:space="0"/>
              <w:bottom w:val="nil"/>
              <w:right w:val="single" w:color="000000" w:sz="4" w:space="0"/>
            </w:tcBorders>
            <w:vAlign w:val="center"/>
          </w:tcPr>
          <w:p w14:paraId="46F7DFC7">
            <w:pPr>
              <w:jc w:val="center"/>
              <w:rPr>
                <w:rFonts w:ascii="仿宋_GB2312" w:hAnsi="宋体" w:eastAsia="仿宋_GB2312" w:cs="宋体"/>
                <w:color w:val="auto"/>
                <w:sz w:val="24"/>
                <w:highlight w:val="none"/>
              </w:rPr>
            </w:pPr>
            <w:bookmarkStart w:id="2" w:name="_Hlk129039039"/>
            <w:r>
              <w:rPr>
                <w:rFonts w:hint="eastAsia" w:ascii="宋体" w:hAnsi="宋体" w:cs="宋体"/>
                <w:color w:val="auto"/>
                <w:sz w:val="24"/>
                <w:szCs w:val="22"/>
                <w:highlight w:val="none"/>
              </w:rPr>
              <w:t>1</w:t>
            </w:r>
          </w:p>
        </w:tc>
        <w:tc>
          <w:tcPr>
            <w:tcW w:w="1073" w:type="dxa"/>
            <w:tcBorders>
              <w:top w:val="single" w:color="000000" w:sz="4" w:space="0"/>
              <w:left w:val="single" w:color="000000" w:sz="4" w:space="0"/>
              <w:bottom w:val="single" w:color="000000" w:sz="4" w:space="0"/>
              <w:right w:val="single" w:color="000000" w:sz="4" w:space="0"/>
            </w:tcBorders>
            <w:vAlign w:val="center"/>
          </w:tcPr>
          <w:p w14:paraId="66226B08">
            <w:pPr>
              <w:pStyle w:val="10"/>
              <w:spacing w:line="300" w:lineRule="exact"/>
              <w:ind w:left="0"/>
              <w:jc w:val="left"/>
              <w:rPr>
                <w:rFonts w:hint="eastAsia" w:ascii="仿宋_GB2312" w:hAnsi="宋体" w:eastAsia="宋体" w:cs="宋体"/>
                <w:color w:val="auto"/>
                <w:sz w:val="24"/>
                <w:highlight w:val="none"/>
                <w:lang w:val="en-US" w:eastAsia="zh-CN"/>
              </w:rPr>
            </w:pPr>
            <w:r>
              <w:rPr>
                <w:rFonts w:hint="eastAsia" w:ascii="宋体" w:hAnsi="宋体" w:cs="宋体"/>
                <w:color w:val="auto"/>
                <w:sz w:val="24"/>
                <w:szCs w:val="22"/>
                <w:highlight w:val="none"/>
              </w:rPr>
              <w:t>微信公众号运维</w:t>
            </w:r>
            <w:r>
              <w:rPr>
                <w:rFonts w:hint="eastAsia" w:ascii="宋体" w:hAnsi="宋体" w:cs="宋体"/>
                <w:color w:val="auto"/>
                <w:sz w:val="24"/>
                <w:szCs w:val="22"/>
                <w:highlight w:val="none"/>
                <w:lang w:val="en-US" w:eastAsia="zh-CN"/>
              </w:rPr>
              <w:t>服务</w:t>
            </w:r>
          </w:p>
        </w:tc>
        <w:tc>
          <w:tcPr>
            <w:tcW w:w="8737" w:type="dxa"/>
            <w:tcBorders>
              <w:top w:val="single" w:color="000000" w:sz="4" w:space="0"/>
              <w:left w:val="single" w:color="000000" w:sz="4" w:space="0"/>
              <w:bottom w:val="single" w:color="000000" w:sz="4" w:space="0"/>
              <w:right w:val="single" w:color="000000" w:sz="4" w:space="0"/>
            </w:tcBorders>
          </w:tcPr>
          <w:p w14:paraId="55AC131D">
            <w:pPr>
              <w:pStyle w:val="10"/>
              <w:spacing w:line="300" w:lineRule="exact"/>
              <w:ind w:left="0"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一、现有部分功能模块推广</w:t>
            </w:r>
          </w:p>
          <w:p w14:paraId="29074095">
            <w:pPr>
              <w:pStyle w:val="10"/>
              <w:spacing w:line="300" w:lineRule="exact"/>
              <w:ind w:left="0" w:firstLine="480" w:firstLineChars="200"/>
              <w:rPr>
                <w:rFonts w:hint="eastAsia" w:ascii="宋体" w:hAnsi="宋体" w:cs="宋体"/>
                <w:color w:val="auto"/>
                <w:sz w:val="24"/>
                <w:szCs w:val="22"/>
                <w:highlight w:val="none"/>
              </w:rPr>
            </w:pPr>
            <w:r>
              <w:rPr>
                <w:rFonts w:hint="eastAsia" w:ascii="宋体" w:hAnsi="宋体" w:cs="宋体"/>
                <w:color w:val="auto"/>
                <w:sz w:val="24"/>
                <w:szCs w:val="22"/>
                <w:highlight w:val="none"/>
              </w:rPr>
              <w:t>将目前局微信公众号内部管理</w:t>
            </w:r>
            <w:r>
              <w:rPr>
                <w:rFonts w:hint="eastAsia" w:ascii="宋体" w:hAnsi="宋体" w:cs="宋体"/>
                <w:color w:val="auto"/>
                <w:sz w:val="24"/>
                <w:szCs w:val="22"/>
                <w:highlight w:val="none"/>
                <w:lang w:eastAsia="zh-CN"/>
              </w:rPr>
              <w:t>的</w:t>
            </w:r>
            <w:r>
              <w:rPr>
                <w:rFonts w:hint="eastAsia" w:ascii="宋体" w:hAnsi="宋体" w:cs="宋体"/>
                <w:color w:val="auto"/>
                <w:sz w:val="24"/>
                <w:szCs w:val="22"/>
                <w:highlight w:val="none"/>
                <w:lang w:val="en-US" w:eastAsia="zh-CN"/>
              </w:rPr>
              <w:t>用船申请、去向报告等</w:t>
            </w:r>
            <w:r>
              <w:rPr>
                <w:rFonts w:hint="eastAsia" w:ascii="宋体" w:hAnsi="宋体" w:cs="宋体"/>
                <w:color w:val="auto"/>
                <w:sz w:val="24"/>
                <w:szCs w:val="22"/>
                <w:highlight w:val="none"/>
              </w:rPr>
              <w:t>模块推广应用至下设十四个</w:t>
            </w:r>
            <w:r>
              <w:rPr>
                <w:rFonts w:hint="eastAsia" w:ascii="宋体" w:hAnsi="宋体" w:cs="宋体"/>
                <w:color w:val="auto"/>
                <w:sz w:val="24"/>
                <w:szCs w:val="22"/>
                <w:highlight w:val="none"/>
                <w:lang w:val="en-US" w:eastAsia="zh-CN"/>
              </w:rPr>
              <w:t>机构</w:t>
            </w:r>
            <w:r>
              <w:rPr>
                <w:rFonts w:hint="eastAsia" w:ascii="宋体" w:hAnsi="宋体" w:cs="宋体"/>
                <w:color w:val="auto"/>
                <w:sz w:val="24"/>
                <w:szCs w:val="22"/>
                <w:highlight w:val="none"/>
              </w:rPr>
              <w:t>，并</w:t>
            </w:r>
            <w:r>
              <w:rPr>
                <w:rFonts w:hint="eastAsia" w:ascii="宋体" w:hAnsi="宋体" w:cs="宋体"/>
                <w:color w:val="auto"/>
                <w:sz w:val="24"/>
                <w:szCs w:val="22"/>
                <w:highlight w:val="none"/>
                <w:lang w:val="en-US" w:eastAsia="zh-CN"/>
              </w:rPr>
              <w:t>保障</w:t>
            </w:r>
            <w:r>
              <w:rPr>
                <w:rFonts w:hint="eastAsia" w:ascii="宋体" w:hAnsi="宋体" w:cs="宋体"/>
                <w:color w:val="auto"/>
                <w:sz w:val="24"/>
                <w:szCs w:val="22"/>
                <w:highlight w:val="none"/>
              </w:rPr>
              <w:t>正常运行使用。</w:t>
            </w:r>
          </w:p>
          <w:p w14:paraId="142D2E60">
            <w:pPr>
              <w:pStyle w:val="10"/>
              <w:spacing w:line="300" w:lineRule="exact"/>
              <w:ind w:left="0"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二、内部管理模块优化</w:t>
            </w:r>
          </w:p>
          <w:p w14:paraId="70BE2203">
            <w:pPr>
              <w:pStyle w:val="10"/>
              <w:spacing w:line="300" w:lineRule="exact"/>
              <w:ind w:left="0"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1.办公用品申请功能：优化物品选取和搜索方式，重新整理物品分类。</w:t>
            </w:r>
          </w:p>
          <w:p w14:paraId="2D44197D">
            <w:pPr>
              <w:spacing w:line="300" w:lineRule="exact"/>
              <w:ind w:firstLine="465"/>
              <w:rPr>
                <w:rFonts w:ascii="宋体" w:hAnsi="宋体" w:cs="宋体"/>
                <w:color w:val="auto"/>
                <w:sz w:val="24"/>
                <w:szCs w:val="22"/>
                <w:highlight w:val="none"/>
              </w:rPr>
            </w:pPr>
            <w:r>
              <w:rPr>
                <w:rFonts w:hint="eastAsia" w:ascii="宋体" w:hAnsi="宋体" w:cs="宋体"/>
                <w:color w:val="auto"/>
                <w:sz w:val="24"/>
                <w:szCs w:val="22"/>
                <w:highlight w:val="none"/>
              </w:rPr>
              <w:t>2.办公设备维修申请：新增维修选择，区分单个物品和多个物品两种申请，优化维修申请界面和物品录入方式，</w:t>
            </w:r>
            <w:r>
              <w:rPr>
                <w:rFonts w:hint="eastAsia" w:ascii="宋体" w:hAnsi="宋体" w:cs="宋体"/>
                <w:color w:val="auto"/>
                <w:sz w:val="24"/>
                <w:szCs w:val="22"/>
                <w:highlight w:val="none"/>
                <w:lang w:val="en-US" w:eastAsia="zh-CN"/>
              </w:rPr>
              <w:t>提供</w:t>
            </w:r>
            <w:r>
              <w:rPr>
                <w:rFonts w:hint="eastAsia" w:ascii="宋体" w:hAnsi="宋体" w:cs="宋体"/>
                <w:color w:val="auto"/>
                <w:sz w:val="24"/>
                <w:szCs w:val="22"/>
                <w:highlight w:val="none"/>
              </w:rPr>
              <w:t>批量导入，批量审批，自动生成的申请审批表可下载。</w:t>
            </w:r>
          </w:p>
          <w:p w14:paraId="5D6EDB0B">
            <w:pPr>
              <w:spacing w:line="300" w:lineRule="exact"/>
              <w:ind w:firstLine="465"/>
              <w:rPr>
                <w:rFonts w:ascii="宋体" w:hAnsi="宋体" w:cs="宋体"/>
                <w:color w:val="auto"/>
                <w:sz w:val="24"/>
                <w:szCs w:val="22"/>
                <w:highlight w:val="none"/>
              </w:rPr>
            </w:pPr>
            <w:r>
              <w:rPr>
                <w:rFonts w:hint="eastAsia" w:ascii="宋体" w:hAnsi="宋体" w:cs="宋体"/>
                <w:color w:val="auto"/>
                <w:sz w:val="24"/>
                <w:szCs w:val="22"/>
                <w:highlight w:val="none"/>
              </w:rPr>
              <w:t>3.考勤管理：考勤表同步对应人员请假信息，人员不同请假类型及对应的请假天数，</w:t>
            </w:r>
            <w:r>
              <w:rPr>
                <w:rFonts w:hint="eastAsia" w:ascii="宋体" w:hAnsi="宋体" w:cs="宋体"/>
                <w:color w:val="auto"/>
                <w:sz w:val="24"/>
                <w:szCs w:val="22"/>
                <w:highlight w:val="none"/>
                <w:lang w:val="en-US" w:eastAsia="zh-CN"/>
              </w:rPr>
              <w:t>实现</w:t>
            </w:r>
            <w:r>
              <w:rPr>
                <w:rFonts w:hint="eastAsia" w:ascii="宋体" w:hAnsi="宋体" w:cs="宋体"/>
                <w:color w:val="auto"/>
                <w:sz w:val="24"/>
                <w:szCs w:val="22"/>
                <w:highlight w:val="none"/>
              </w:rPr>
              <w:t>自动识别当月应工作天数和实际出勤天数。</w:t>
            </w:r>
          </w:p>
          <w:p w14:paraId="57411043">
            <w:pPr>
              <w:spacing w:line="300" w:lineRule="exact"/>
              <w:ind w:firstLine="465"/>
              <w:rPr>
                <w:rFonts w:ascii="宋体" w:hAnsi="宋体" w:cs="宋体"/>
                <w:color w:val="auto"/>
                <w:sz w:val="24"/>
                <w:szCs w:val="22"/>
                <w:highlight w:val="none"/>
              </w:rPr>
            </w:pPr>
            <w:r>
              <w:rPr>
                <w:rFonts w:hint="eastAsia" w:ascii="宋体" w:hAnsi="宋体" w:cs="宋体"/>
                <w:color w:val="auto"/>
                <w:sz w:val="24"/>
                <w:szCs w:val="22"/>
                <w:highlight w:val="none"/>
              </w:rPr>
              <w:t>4.请假申请：依据相关规定和要求，</w:t>
            </w:r>
            <w:r>
              <w:rPr>
                <w:rFonts w:hint="eastAsia" w:ascii="宋体" w:hAnsi="宋体" w:cs="宋体"/>
                <w:color w:val="auto"/>
                <w:sz w:val="24"/>
                <w:szCs w:val="22"/>
                <w:highlight w:val="none"/>
                <w:lang w:val="en-US" w:eastAsia="zh-CN"/>
              </w:rPr>
              <w:t>优化设置</w:t>
            </w:r>
            <w:r>
              <w:rPr>
                <w:rFonts w:hint="eastAsia" w:ascii="宋体" w:hAnsi="宋体" w:cs="宋体"/>
                <w:color w:val="auto"/>
                <w:sz w:val="24"/>
                <w:szCs w:val="22"/>
                <w:highlight w:val="none"/>
              </w:rPr>
              <w:t>请假类型的</w:t>
            </w:r>
            <w:r>
              <w:rPr>
                <w:rFonts w:hint="eastAsia" w:ascii="宋体" w:hAnsi="宋体" w:cs="宋体"/>
                <w:color w:val="auto"/>
                <w:sz w:val="24"/>
                <w:szCs w:val="22"/>
                <w:highlight w:val="none"/>
                <w:lang w:val="en-US" w:eastAsia="zh-CN"/>
              </w:rPr>
              <w:t>时长限制</w:t>
            </w:r>
            <w:r>
              <w:rPr>
                <w:rFonts w:hint="eastAsia" w:ascii="宋体" w:hAnsi="宋体" w:cs="宋体"/>
                <w:color w:val="auto"/>
                <w:sz w:val="24"/>
                <w:szCs w:val="22"/>
                <w:highlight w:val="none"/>
              </w:rPr>
              <w:t>。</w:t>
            </w:r>
          </w:p>
          <w:p w14:paraId="74ACE8F9">
            <w:pPr>
              <w:spacing w:line="300" w:lineRule="exact"/>
              <w:ind w:firstLine="465"/>
              <w:rPr>
                <w:rFonts w:ascii="宋体" w:hAnsi="宋体" w:cs="宋体"/>
                <w:color w:val="auto"/>
                <w:sz w:val="24"/>
                <w:szCs w:val="22"/>
                <w:highlight w:val="none"/>
              </w:rPr>
            </w:pPr>
            <w:r>
              <w:rPr>
                <w:rFonts w:hint="eastAsia" w:ascii="宋体" w:hAnsi="宋体" w:cs="宋体"/>
                <w:color w:val="auto"/>
                <w:sz w:val="24"/>
                <w:szCs w:val="22"/>
                <w:highlight w:val="none"/>
              </w:rPr>
              <w:t>5.出差申请：同批次出差人员，出现跨单位层级或跨单位时，审批通过的出差审批单自动推送至出差人所在的支队、大队、部门考勤员。</w:t>
            </w:r>
          </w:p>
          <w:p w14:paraId="53B507DE">
            <w:pPr>
              <w:spacing w:line="300" w:lineRule="exact"/>
              <w:ind w:firstLine="465"/>
              <w:rPr>
                <w:rFonts w:ascii="宋体" w:hAnsi="宋体" w:cs="宋体"/>
                <w:color w:val="auto"/>
                <w:sz w:val="24"/>
                <w:szCs w:val="22"/>
                <w:highlight w:val="none"/>
              </w:rPr>
            </w:pPr>
            <w:r>
              <w:rPr>
                <w:rFonts w:hint="eastAsia" w:ascii="宋体" w:hAnsi="宋体" w:cs="宋体"/>
                <w:color w:val="auto"/>
                <w:sz w:val="24"/>
                <w:szCs w:val="22"/>
                <w:highlight w:val="none"/>
              </w:rPr>
              <w:t>6.用船申请：申请时，表单新增航道名称、巡查起止路径，明确登船点、离船点等巡查路径。涉及多个航道巡查的，允许添加第二个航道的巡查路径。</w:t>
            </w:r>
          </w:p>
          <w:p w14:paraId="7D908277">
            <w:pPr>
              <w:spacing w:line="300" w:lineRule="exact"/>
              <w:ind w:firstLine="465"/>
              <w:rPr>
                <w:rFonts w:ascii="宋体" w:hAnsi="宋体" w:cs="宋体"/>
                <w:color w:val="auto"/>
                <w:sz w:val="24"/>
                <w:szCs w:val="22"/>
                <w:highlight w:val="none"/>
              </w:rPr>
            </w:pPr>
            <w:r>
              <w:rPr>
                <w:rFonts w:hint="eastAsia" w:ascii="宋体" w:hAnsi="宋体" w:cs="宋体"/>
                <w:color w:val="auto"/>
                <w:sz w:val="24"/>
                <w:szCs w:val="22"/>
                <w:highlight w:val="none"/>
              </w:rPr>
              <w:t>7.智慧工会：</w:t>
            </w:r>
            <w:r>
              <w:rPr>
                <w:rFonts w:hint="eastAsia" w:ascii="宋体" w:hAnsi="宋体" w:cs="宋体"/>
                <w:color w:val="auto"/>
                <w:sz w:val="24"/>
                <w:szCs w:val="22"/>
                <w:highlight w:val="none"/>
                <w:lang w:val="en-US" w:eastAsia="zh-CN"/>
              </w:rPr>
              <w:t>优化</w:t>
            </w:r>
            <w:r>
              <w:rPr>
                <w:rFonts w:hint="eastAsia" w:ascii="宋体" w:hAnsi="宋体" w:cs="宋体"/>
                <w:color w:val="auto"/>
                <w:sz w:val="24"/>
                <w:szCs w:val="22"/>
                <w:highlight w:val="none"/>
              </w:rPr>
              <w:t>工会会员管理和人事管理之间的调动关联。</w:t>
            </w:r>
          </w:p>
          <w:p w14:paraId="3FCC28C9">
            <w:pPr>
              <w:pStyle w:val="10"/>
              <w:spacing w:line="300" w:lineRule="exact"/>
              <w:ind w:left="0"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三、模块开发：新增云盘功能模块，</w:t>
            </w:r>
            <w:r>
              <w:rPr>
                <w:rFonts w:hint="eastAsia" w:ascii="宋体" w:hAnsi="宋体" w:cs="宋体"/>
                <w:color w:val="auto"/>
                <w:sz w:val="24"/>
                <w:szCs w:val="22"/>
                <w:highlight w:val="none"/>
                <w:lang w:val="en-US" w:eastAsia="zh-CN"/>
              </w:rPr>
              <w:t>提供</w:t>
            </w:r>
            <w:r>
              <w:rPr>
                <w:rFonts w:hint="eastAsia" w:ascii="宋体" w:hAnsi="宋体" w:cs="宋体"/>
                <w:color w:val="auto"/>
                <w:sz w:val="24"/>
                <w:szCs w:val="22"/>
                <w:highlight w:val="none"/>
              </w:rPr>
              <w:t>照片、</w:t>
            </w:r>
            <w:r>
              <w:rPr>
                <w:rFonts w:hint="eastAsia" w:ascii="宋体" w:hAnsi="宋体" w:cs="宋体"/>
                <w:color w:val="auto"/>
                <w:sz w:val="24"/>
                <w:szCs w:val="22"/>
                <w:highlight w:val="none"/>
                <w:lang w:val="en-US" w:eastAsia="zh-CN"/>
              </w:rPr>
              <w:t>视频</w:t>
            </w:r>
            <w:r>
              <w:rPr>
                <w:rFonts w:hint="eastAsia" w:ascii="宋体" w:hAnsi="宋体" w:cs="宋体"/>
                <w:color w:val="auto"/>
                <w:sz w:val="24"/>
                <w:szCs w:val="22"/>
                <w:highlight w:val="none"/>
              </w:rPr>
              <w:t>等存储</w:t>
            </w:r>
            <w:r>
              <w:rPr>
                <w:rFonts w:hint="eastAsia" w:ascii="宋体" w:hAnsi="宋体" w:cs="宋体"/>
                <w:color w:val="auto"/>
                <w:sz w:val="24"/>
                <w:szCs w:val="22"/>
                <w:highlight w:val="none"/>
                <w:lang w:val="en-US" w:eastAsia="zh-CN"/>
              </w:rPr>
              <w:t>及</w:t>
            </w:r>
            <w:r>
              <w:rPr>
                <w:rFonts w:hint="eastAsia" w:ascii="宋体" w:hAnsi="宋体" w:cs="宋体"/>
                <w:color w:val="auto"/>
                <w:sz w:val="24"/>
                <w:szCs w:val="22"/>
                <w:highlight w:val="none"/>
              </w:rPr>
              <w:t>共享。</w:t>
            </w:r>
          </w:p>
          <w:p w14:paraId="675CF2CD">
            <w:pPr>
              <w:pStyle w:val="10"/>
              <w:spacing w:line="300" w:lineRule="exact"/>
              <w:ind w:left="0"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四、运维与内容服务</w:t>
            </w:r>
          </w:p>
          <w:p w14:paraId="4B143D81">
            <w:pPr>
              <w:pStyle w:val="10"/>
              <w:spacing w:line="300" w:lineRule="exact"/>
              <w:ind w:left="0" w:firstLine="480" w:firstLineChars="200"/>
              <w:rPr>
                <w:rFonts w:ascii="宋体" w:hAnsi="宋体" w:cs="宋体"/>
                <w:color w:val="auto"/>
                <w:sz w:val="24"/>
                <w:szCs w:val="22"/>
                <w:highlight w:val="none"/>
              </w:rPr>
            </w:pPr>
            <w:r>
              <w:rPr>
                <w:rFonts w:hint="eastAsia" w:ascii="宋体" w:hAnsi="宋体" w:cs="宋体"/>
                <w:color w:val="auto"/>
                <w:sz w:val="24"/>
                <w:szCs w:val="22"/>
                <w:highlight w:val="none"/>
              </w:rPr>
              <w:t>1.提供微信公众号的日常运维服务，确保局机关和下设机构公众号功能模块正常使用，系统的稳定运行和及时更新。</w:t>
            </w:r>
          </w:p>
          <w:p w14:paraId="34B5C82D">
            <w:pPr>
              <w:pStyle w:val="10"/>
              <w:spacing w:line="300" w:lineRule="exact"/>
              <w:ind w:left="0" w:firstLine="480" w:firstLineChars="200"/>
              <w:rPr>
                <w:rFonts w:ascii="仿宋_GB2312" w:hAnsi="宋体" w:eastAsia="仿宋_GB2312" w:cs="宋体"/>
                <w:color w:val="auto"/>
                <w:sz w:val="24"/>
                <w:highlight w:val="none"/>
              </w:rPr>
            </w:pPr>
            <w:r>
              <w:rPr>
                <w:rFonts w:hint="eastAsia" w:ascii="宋体" w:hAnsi="宋体" w:cs="宋体"/>
                <w:color w:val="auto"/>
                <w:sz w:val="24"/>
                <w:szCs w:val="22"/>
                <w:highlight w:val="none"/>
              </w:rPr>
              <w:t>2.内容排版服务:根据宣传内容，提供专业技术人员协作完成展示界面及排版美化服务，不少于</w:t>
            </w:r>
            <w:r>
              <w:rPr>
                <w:rFonts w:hint="eastAsia" w:ascii="宋体" w:hAnsi="宋体" w:cs="宋体"/>
                <w:color w:val="auto"/>
                <w:sz w:val="24"/>
                <w:szCs w:val="22"/>
                <w:highlight w:val="none"/>
                <w:lang w:val="en-US" w:eastAsia="zh-CN"/>
              </w:rPr>
              <w:t>150</w:t>
            </w:r>
            <w:r>
              <w:rPr>
                <w:rFonts w:hint="eastAsia" w:ascii="宋体" w:hAnsi="宋体" w:cs="宋体"/>
                <w:color w:val="auto"/>
                <w:sz w:val="24"/>
                <w:szCs w:val="22"/>
                <w:highlight w:val="none"/>
              </w:rPr>
              <w:t>篇文章排版服务。</w:t>
            </w:r>
          </w:p>
        </w:tc>
        <w:tc>
          <w:tcPr>
            <w:tcW w:w="540" w:type="dxa"/>
            <w:tcBorders>
              <w:top w:val="nil"/>
              <w:left w:val="single" w:color="000000" w:sz="4" w:space="0"/>
              <w:bottom w:val="nil"/>
              <w:right w:val="single" w:color="000000" w:sz="4" w:space="0"/>
            </w:tcBorders>
            <w:noWrap/>
            <w:vAlign w:val="center"/>
          </w:tcPr>
          <w:p w14:paraId="10346B13">
            <w:pPr>
              <w:jc w:val="center"/>
              <w:textAlignment w:val="center"/>
              <w:rPr>
                <w:rFonts w:ascii="仿宋_GB2312" w:hAnsi="等线" w:eastAsia="仿宋_GB2312" w:cs="等线"/>
                <w:color w:val="auto"/>
                <w:kern w:val="0"/>
                <w:sz w:val="24"/>
                <w:highlight w:val="none"/>
              </w:rPr>
            </w:pPr>
            <w:r>
              <w:rPr>
                <w:rFonts w:hint="eastAsia" w:ascii="仿宋_GB2312" w:hAnsi="等线" w:eastAsia="仿宋_GB2312" w:cs="等线"/>
                <w:color w:val="auto"/>
                <w:kern w:val="0"/>
                <w:sz w:val="24"/>
                <w:highlight w:val="none"/>
              </w:rPr>
              <w:t>1</w:t>
            </w:r>
          </w:p>
        </w:tc>
        <w:tc>
          <w:tcPr>
            <w:tcW w:w="525" w:type="dxa"/>
            <w:tcBorders>
              <w:top w:val="nil"/>
              <w:left w:val="single" w:color="000000" w:sz="4" w:space="0"/>
              <w:bottom w:val="nil"/>
              <w:right w:val="single" w:color="000000" w:sz="4" w:space="0"/>
            </w:tcBorders>
            <w:vAlign w:val="center"/>
          </w:tcPr>
          <w:p w14:paraId="393BE034">
            <w:pPr>
              <w:widowControl/>
              <w:jc w:val="center"/>
              <w:textAlignment w:val="center"/>
              <w:rPr>
                <w:rFonts w:ascii="仿宋_GB2312" w:hAnsi="等线" w:eastAsia="仿宋_GB2312" w:cs="等线"/>
                <w:color w:val="auto"/>
                <w:kern w:val="0"/>
                <w:sz w:val="24"/>
                <w:highlight w:val="none"/>
              </w:rPr>
            </w:pPr>
            <w:r>
              <w:rPr>
                <w:rFonts w:hint="eastAsia" w:ascii="仿宋_GB2312" w:hAnsi="等线" w:eastAsia="仿宋_GB2312" w:cs="等线"/>
                <w:color w:val="auto"/>
                <w:kern w:val="0"/>
                <w:sz w:val="24"/>
                <w:highlight w:val="none"/>
              </w:rPr>
              <w:t>项</w:t>
            </w:r>
          </w:p>
        </w:tc>
        <w:tc>
          <w:tcPr>
            <w:tcW w:w="1170" w:type="dxa"/>
            <w:tcBorders>
              <w:top w:val="nil"/>
              <w:left w:val="single" w:color="000000" w:sz="4" w:space="0"/>
              <w:bottom w:val="nil"/>
              <w:right w:val="single" w:color="000000" w:sz="4" w:space="0"/>
            </w:tcBorders>
            <w:noWrap/>
            <w:vAlign w:val="center"/>
          </w:tcPr>
          <w:p w14:paraId="64CB5383">
            <w:pPr>
              <w:widowControl/>
              <w:jc w:val="center"/>
              <w:textAlignment w:val="center"/>
              <w:rPr>
                <w:rFonts w:ascii="仿宋_GB2312" w:hAnsi="等线" w:eastAsia="仿宋_GB2312" w:cs="等线"/>
                <w:color w:val="auto"/>
                <w:kern w:val="0"/>
                <w:sz w:val="24"/>
                <w:highlight w:val="none"/>
              </w:rPr>
            </w:pPr>
          </w:p>
        </w:tc>
        <w:tc>
          <w:tcPr>
            <w:tcW w:w="720" w:type="dxa"/>
            <w:tcBorders>
              <w:top w:val="single" w:color="000000" w:sz="4" w:space="0"/>
              <w:left w:val="single" w:color="000000" w:sz="4" w:space="0"/>
              <w:bottom w:val="single" w:color="000000" w:sz="4" w:space="0"/>
              <w:right w:val="single" w:color="000000" w:sz="4" w:space="0"/>
            </w:tcBorders>
            <w:noWrap/>
            <w:vAlign w:val="center"/>
          </w:tcPr>
          <w:p w14:paraId="70CF0EE4">
            <w:pPr>
              <w:widowControl/>
              <w:jc w:val="center"/>
              <w:textAlignment w:val="center"/>
              <w:rPr>
                <w:rFonts w:ascii="仿宋_GB2312" w:hAnsi="等线" w:eastAsia="仿宋_GB2312" w:cs="等线"/>
                <w:color w:val="auto"/>
                <w:kern w:val="0"/>
                <w:sz w:val="24"/>
                <w:highlight w:val="none"/>
              </w:rPr>
            </w:pPr>
          </w:p>
          <w:bookmarkEnd w:id="2"/>
        </w:tc>
      </w:tr>
      <w:tr w14:paraId="5A84DE26">
        <w:tblPrEx>
          <w:tblCellMar>
            <w:top w:w="0" w:type="dxa"/>
            <w:left w:w="108" w:type="dxa"/>
            <w:bottom w:w="0" w:type="dxa"/>
            <w:right w:w="108" w:type="dxa"/>
          </w:tblCellMar>
        </w:tblPrEx>
        <w:trPr>
          <w:trHeight w:val="2410" w:hRule="atLeast"/>
        </w:trPr>
        <w:tc>
          <w:tcPr>
            <w:tcW w:w="1247" w:type="dxa"/>
            <w:tcBorders>
              <w:top w:val="single" w:color="000000" w:sz="4" w:space="0"/>
              <w:left w:val="single" w:color="000000" w:sz="4" w:space="0"/>
              <w:bottom w:val="single" w:color="000000" w:sz="4" w:space="0"/>
              <w:right w:val="single" w:color="000000" w:sz="4" w:space="0"/>
            </w:tcBorders>
            <w:noWrap/>
            <w:vAlign w:val="center"/>
          </w:tcPr>
          <w:p w14:paraId="5E431D21">
            <w:pPr>
              <w:widowControl/>
              <w:jc w:val="center"/>
              <w:textAlignment w:val="bottom"/>
              <w:rPr>
                <w:rFonts w:ascii="仿宋_GB2312" w:hAnsi="等线" w:eastAsia="仿宋_GB2312" w:cs="等线"/>
                <w:color w:val="auto"/>
                <w:kern w:val="0"/>
                <w:sz w:val="24"/>
                <w:highlight w:val="none"/>
              </w:rPr>
            </w:pPr>
          </w:p>
          <w:p w14:paraId="653B0AA8">
            <w:pPr>
              <w:jc w:val="center"/>
              <w:rPr>
                <w:rFonts w:ascii="仿宋_GB2312" w:hAnsi="等线" w:eastAsia="仿宋_GB2312" w:cs="等线"/>
                <w:color w:val="auto"/>
                <w:sz w:val="24"/>
                <w:highlight w:val="none"/>
              </w:rPr>
            </w:pPr>
            <w:r>
              <w:rPr>
                <w:rFonts w:hint="eastAsia" w:ascii="宋体" w:hAnsi="宋体" w:cs="宋体"/>
                <w:color w:val="auto"/>
                <w:sz w:val="24"/>
                <w:szCs w:val="22"/>
                <w:highlight w:val="none"/>
              </w:rPr>
              <w:t>商务要求</w:t>
            </w:r>
          </w:p>
        </w:tc>
        <w:tc>
          <w:tcPr>
            <w:tcW w:w="12786" w:type="dxa"/>
            <w:gridSpan w:val="7"/>
            <w:tcBorders>
              <w:top w:val="single" w:color="000000" w:sz="4" w:space="0"/>
              <w:left w:val="single" w:color="000000" w:sz="4" w:space="0"/>
              <w:bottom w:val="single" w:color="000000" w:sz="4" w:space="0"/>
              <w:right w:val="single" w:color="000000" w:sz="4" w:space="0"/>
            </w:tcBorders>
            <w:noWrap/>
            <w:vAlign w:val="center"/>
          </w:tcPr>
          <w:p w14:paraId="63396870">
            <w:pPr>
              <w:jc w:val="left"/>
              <w:rPr>
                <w:rFonts w:ascii="宋体" w:hAnsi="宋体" w:cs="宋体"/>
                <w:color w:val="auto"/>
                <w:sz w:val="24"/>
                <w:szCs w:val="22"/>
                <w:highlight w:val="none"/>
              </w:rPr>
            </w:pPr>
            <w:r>
              <w:rPr>
                <w:rFonts w:hint="eastAsia" w:ascii="宋体" w:hAnsi="宋体" w:cs="宋体"/>
                <w:color w:val="auto"/>
                <w:sz w:val="24"/>
                <w:szCs w:val="22"/>
                <w:highlight w:val="none"/>
              </w:rPr>
              <w:t>一、报价人必须在报价文件中提供完整的服务方案。</w:t>
            </w:r>
          </w:p>
          <w:p w14:paraId="51A47061">
            <w:pPr>
              <w:jc w:val="left"/>
              <w:rPr>
                <w:rFonts w:ascii="宋体" w:hAnsi="宋体" w:cs="宋体"/>
                <w:color w:val="auto"/>
                <w:sz w:val="24"/>
                <w:szCs w:val="22"/>
                <w:highlight w:val="none"/>
              </w:rPr>
            </w:pPr>
            <w:r>
              <w:rPr>
                <w:rFonts w:hint="eastAsia" w:ascii="宋体" w:hAnsi="宋体" w:cs="宋体"/>
                <w:color w:val="auto"/>
                <w:sz w:val="24"/>
                <w:szCs w:val="22"/>
                <w:highlight w:val="none"/>
              </w:rPr>
              <w:t>二、在公众号运维期间所涉及的调试、测试不能影响公众号的正常运行。</w:t>
            </w:r>
          </w:p>
          <w:p w14:paraId="1F9E80DD">
            <w:pPr>
              <w:jc w:val="left"/>
              <w:rPr>
                <w:rFonts w:ascii="宋体" w:hAnsi="宋体" w:cs="宋体"/>
                <w:color w:val="auto"/>
                <w:sz w:val="24"/>
                <w:szCs w:val="22"/>
                <w:highlight w:val="none"/>
              </w:rPr>
            </w:pPr>
            <w:r>
              <w:rPr>
                <w:rFonts w:hint="eastAsia" w:ascii="宋体" w:hAnsi="宋体" w:cs="宋体"/>
                <w:color w:val="auto"/>
                <w:sz w:val="24"/>
                <w:szCs w:val="22"/>
                <w:highlight w:val="none"/>
              </w:rPr>
              <w:t>三、服务期：自合同签订</w:t>
            </w:r>
            <w:r>
              <w:rPr>
                <w:rFonts w:hint="eastAsia" w:ascii="宋体" w:hAnsi="宋体" w:cs="宋体"/>
                <w:color w:val="auto"/>
                <w:sz w:val="24"/>
                <w:szCs w:val="22"/>
                <w:highlight w:val="none"/>
                <w:lang w:val="en-US" w:eastAsia="zh-CN"/>
              </w:rPr>
              <w:t>后，采购方通知入场服务</w:t>
            </w:r>
            <w:r>
              <w:rPr>
                <w:rFonts w:hint="eastAsia" w:ascii="宋体" w:hAnsi="宋体" w:cs="宋体"/>
                <w:color w:val="auto"/>
                <w:sz w:val="24"/>
                <w:szCs w:val="22"/>
                <w:highlight w:val="none"/>
              </w:rPr>
              <w:t>之日起3个月</w:t>
            </w:r>
            <w:r>
              <w:rPr>
                <w:rFonts w:hint="eastAsia" w:ascii="宋体" w:hAnsi="宋体" w:cs="宋体"/>
                <w:color w:val="auto"/>
                <w:sz w:val="24"/>
                <w:szCs w:val="22"/>
                <w:highlight w:val="none"/>
                <w:lang w:val="en-US" w:eastAsia="zh-CN"/>
              </w:rPr>
              <w:t>内</w:t>
            </w:r>
            <w:r>
              <w:rPr>
                <w:rFonts w:hint="eastAsia" w:ascii="宋体" w:hAnsi="宋体" w:cs="宋体"/>
                <w:color w:val="auto"/>
                <w:sz w:val="24"/>
                <w:szCs w:val="22"/>
                <w:highlight w:val="none"/>
              </w:rPr>
              <w:t>完成系统功能优化及部署；服务期1年，从</w:t>
            </w:r>
            <w:r>
              <w:rPr>
                <w:rFonts w:hint="eastAsia" w:ascii="宋体" w:hAnsi="宋体" w:cs="宋体"/>
                <w:color w:val="auto"/>
                <w:sz w:val="24"/>
                <w:szCs w:val="22"/>
                <w:highlight w:val="none"/>
                <w:lang w:val="en-US" w:eastAsia="zh-CN"/>
              </w:rPr>
              <w:t>成交方</w:t>
            </w:r>
            <w:r>
              <w:rPr>
                <w:rFonts w:hint="eastAsia" w:ascii="宋体" w:hAnsi="宋体" w:cs="宋体"/>
                <w:color w:val="auto"/>
                <w:sz w:val="24"/>
                <w:szCs w:val="22"/>
                <w:highlight w:val="none"/>
              </w:rPr>
              <w:t>入场服务之日</w:t>
            </w:r>
            <w:r>
              <w:rPr>
                <w:rFonts w:hint="eastAsia" w:ascii="宋体" w:hAnsi="宋体" w:cs="宋体"/>
                <w:color w:val="auto"/>
                <w:sz w:val="24"/>
                <w:szCs w:val="22"/>
                <w:highlight w:val="none"/>
                <w:lang w:val="en-US" w:eastAsia="zh-CN"/>
              </w:rPr>
              <w:t>起</w:t>
            </w:r>
            <w:r>
              <w:rPr>
                <w:rFonts w:hint="eastAsia" w:ascii="宋体" w:hAnsi="宋体" w:cs="宋体"/>
                <w:color w:val="auto"/>
                <w:sz w:val="24"/>
                <w:szCs w:val="22"/>
                <w:highlight w:val="none"/>
              </w:rPr>
              <w:t>计算。</w:t>
            </w:r>
          </w:p>
          <w:p w14:paraId="2211D128">
            <w:pPr>
              <w:jc w:val="left"/>
              <w:rPr>
                <w:rFonts w:ascii="宋体" w:hAnsi="宋体" w:cs="宋体"/>
                <w:color w:val="auto"/>
                <w:sz w:val="24"/>
                <w:szCs w:val="22"/>
                <w:highlight w:val="none"/>
              </w:rPr>
            </w:pPr>
            <w:r>
              <w:rPr>
                <w:rFonts w:hint="eastAsia" w:ascii="宋体" w:hAnsi="宋体" w:cs="宋体"/>
                <w:color w:val="auto"/>
                <w:sz w:val="24"/>
                <w:szCs w:val="22"/>
                <w:highlight w:val="none"/>
              </w:rPr>
              <w:t>四、交货地点：广西采购方指定地点。</w:t>
            </w:r>
          </w:p>
          <w:p w14:paraId="1C5F5844">
            <w:pPr>
              <w:jc w:val="left"/>
              <w:rPr>
                <w:rFonts w:ascii="宋体" w:hAnsi="宋体" w:cs="宋体"/>
                <w:color w:val="auto"/>
                <w:sz w:val="24"/>
                <w:szCs w:val="22"/>
                <w:highlight w:val="none"/>
              </w:rPr>
            </w:pPr>
            <w:r>
              <w:rPr>
                <w:rFonts w:hint="eastAsia" w:ascii="宋体" w:hAnsi="宋体" w:cs="宋体"/>
                <w:color w:val="auto"/>
                <w:sz w:val="24"/>
                <w:szCs w:val="22"/>
                <w:highlight w:val="none"/>
              </w:rPr>
              <w:t>五、响应要求</w:t>
            </w:r>
          </w:p>
          <w:p w14:paraId="236CE432">
            <w:pPr>
              <w:jc w:val="left"/>
              <w:rPr>
                <w:rFonts w:ascii="宋体" w:hAnsi="宋体" w:cs="宋体"/>
                <w:color w:val="auto"/>
                <w:sz w:val="24"/>
                <w:szCs w:val="22"/>
                <w:highlight w:val="none"/>
              </w:rPr>
            </w:pPr>
            <w:r>
              <w:rPr>
                <w:rFonts w:hint="eastAsia" w:ascii="宋体" w:hAnsi="宋体" w:cs="宋体"/>
                <w:color w:val="auto"/>
                <w:sz w:val="24"/>
                <w:szCs w:val="22"/>
                <w:highlight w:val="none"/>
              </w:rPr>
              <w:t>1.报价方应承诺投入本项目运维团队不少于3人。</w:t>
            </w:r>
          </w:p>
          <w:p w14:paraId="6D32CA56">
            <w:pPr>
              <w:jc w:val="left"/>
              <w:rPr>
                <w:rFonts w:ascii="宋体" w:hAnsi="宋体" w:cs="宋体"/>
                <w:color w:val="auto"/>
                <w:sz w:val="24"/>
                <w:szCs w:val="22"/>
                <w:highlight w:val="none"/>
              </w:rPr>
            </w:pPr>
            <w:r>
              <w:rPr>
                <w:rFonts w:hint="eastAsia" w:ascii="宋体" w:hAnsi="宋体" w:cs="宋体"/>
                <w:color w:val="auto"/>
                <w:sz w:val="24"/>
                <w:szCs w:val="22"/>
                <w:highlight w:val="none"/>
              </w:rPr>
              <w:t>2.服务期内，成交方在接到采购方故障报修后，30分钟内实质响应，2小时内确认修复方案，6小时内实地修复，故障的最终修复从报修时间算起不能超过8小时（经采购方认可特殊情形除外）。</w:t>
            </w:r>
          </w:p>
          <w:p w14:paraId="16A19AEE">
            <w:pPr>
              <w:jc w:val="left"/>
              <w:rPr>
                <w:rFonts w:ascii="宋体" w:hAnsi="宋体" w:cs="宋体"/>
                <w:color w:val="auto"/>
                <w:sz w:val="24"/>
                <w:szCs w:val="22"/>
                <w:highlight w:val="none"/>
              </w:rPr>
            </w:pPr>
            <w:r>
              <w:rPr>
                <w:rFonts w:hint="eastAsia" w:ascii="宋体" w:hAnsi="宋体" w:cs="宋体"/>
                <w:color w:val="auto"/>
                <w:sz w:val="24"/>
                <w:szCs w:val="22"/>
                <w:highlight w:val="none"/>
              </w:rPr>
              <w:t>3.报价人在报价书中必须明确承诺达到用户的服务响应要求。</w:t>
            </w:r>
          </w:p>
          <w:p w14:paraId="6AE6825C">
            <w:pPr>
              <w:jc w:val="left"/>
              <w:rPr>
                <w:rFonts w:ascii="宋体" w:hAnsi="宋体" w:cs="宋体"/>
                <w:color w:val="auto"/>
                <w:sz w:val="24"/>
                <w:szCs w:val="22"/>
                <w:highlight w:val="none"/>
              </w:rPr>
            </w:pPr>
            <w:r>
              <w:rPr>
                <w:rFonts w:hint="eastAsia" w:ascii="宋体" w:hAnsi="宋体" w:cs="宋体"/>
                <w:color w:val="auto"/>
                <w:sz w:val="24"/>
                <w:szCs w:val="22"/>
                <w:highlight w:val="none"/>
              </w:rPr>
              <w:t>4.服务期过后，报价人提供免费电话咨询服务，采购方需要继续由原报价人提供售后服务的，该报价人应以优惠价格提供售后服务。</w:t>
            </w:r>
          </w:p>
          <w:p w14:paraId="1316C31F">
            <w:pPr>
              <w:jc w:val="left"/>
              <w:rPr>
                <w:rFonts w:ascii="宋体" w:hAnsi="宋体" w:cs="宋体"/>
                <w:color w:val="auto"/>
                <w:sz w:val="24"/>
                <w:szCs w:val="22"/>
                <w:highlight w:val="none"/>
              </w:rPr>
            </w:pPr>
            <w:r>
              <w:rPr>
                <w:rFonts w:hint="eastAsia" w:ascii="宋体" w:hAnsi="宋体" w:cs="宋体"/>
                <w:color w:val="auto"/>
                <w:sz w:val="24"/>
                <w:szCs w:val="22"/>
                <w:highlight w:val="none"/>
              </w:rPr>
              <w:t>5.因成交方的原因，导致采购方系统出现安全事故，由成交方承担造成的所有损失。</w:t>
            </w:r>
          </w:p>
          <w:p w14:paraId="7627431D">
            <w:pPr>
              <w:jc w:val="left"/>
              <w:rPr>
                <w:rFonts w:ascii="宋体" w:hAnsi="宋体" w:cs="宋体"/>
                <w:color w:val="auto"/>
                <w:sz w:val="24"/>
                <w:szCs w:val="22"/>
                <w:highlight w:val="none"/>
              </w:rPr>
            </w:pPr>
            <w:r>
              <w:rPr>
                <w:rFonts w:hint="eastAsia" w:ascii="宋体" w:hAnsi="宋体" w:cs="宋体"/>
                <w:color w:val="auto"/>
                <w:sz w:val="24"/>
                <w:szCs w:val="22"/>
                <w:highlight w:val="none"/>
              </w:rPr>
              <w:t>6.成交方必须签署相关保密协议，严格遵守协议及有关保密要求。</w:t>
            </w:r>
          </w:p>
          <w:p w14:paraId="30564C5C">
            <w:pPr>
              <w:jc w:val="left"/>
              <w:rPr>
                <w:rFonts w:ascii="宋体" w:hAnsi="宋体" w:cs="宋体"/>
                <w:b/>
                <w:bCs/>
                <w:color w:val="auto"/>
                <w:sz w:val="24"/>
                <w:szCs w:val="22"/>
                <w:highlight w:val="none"/>
              </w:rPr>
            </w:pPr>
            <w:r>
              <w:rPr>
                <w:rFonts w:hint="eastAsia" w:ascii="宋体" w:hAnsi="宋体" w:cs="宋体"/>
                <w:b/>
                <w:bCs/>
                <w:color w:val="auto"/>
                <w:sz w:val="24"/>
                <w:szCs w:val="22"/>
                <w:highlight w:val="none"/>
              </w:rPr>
              <w:t>六、报价人在报价书中必须明确响应本项目所有商务和技术要求，性能技术参数达到或优于需求说明，否则报价无效。</w:t>
            </w:r>
          </w:p>
          <w:p w14:paraId="5AF16315">
            <w:pPr>
              <w:widowControl/>
              <w:jc w:val="left"/>
              <w:textAlignment w:val="top"/>
              <w:rPr>
                <w:rFonts w:ascii="仿宋_GB2312" w:hAnsi="等线" w:eastAsia="仿宋_GB2312" w:cs="等线"/>
                <w:color w:val="auto"/>
                <w:kern w:val="0"/>
                <w:sz w:val="24"/>
                <w:highlight w:val="none"/>
              </w:rPr>
            </w:pPr>
          </w:p>
        </w:tc>
      </w:tr>
    </w:tbl>
    <w:p w14:paraId="6EA190E5">
      <w:pPr>
        <w:ind w:firstLine="560" w:firstLineChars="200"/>
        <w:rPr>
          <w:rFonts w:ascii="仿宋" w:hAnsi="仿宋" w:eastAsia="仿宋"/>
          <w:color w:val="auto"/>
          <w:sz w:val="28"/>
          <w:szCs w:val="28"/>
          <w:highlight w:val="none"/>
        </w:rPr>
      </w:pPr>
    </w:p>
    <w:p w14:paraId="1D66ABCF">
      <w:pPr>
        <w:widowControl/>
        <w:jc w:val="left"/>
        <w:rPr>
          <w:rFonts w:ascii="仿宋" w:hAnsi="仿宋" w:eastAsia="仿宋"/>
          <w:color w:val="auto"/>
          <w:sz w:val="28"/>
          <w:szCs w:val="28"/>
          <w:highlight w:val="none"/>
        </w:rPr>
        <w:sectPr>
          <w:pgSz w:w="16838" w:h="11906" w:orient="landscape"/>
          <w:pgMar w:top="1800" w:right="1440" w:bottom="1800" w:left="1440" w:header="851" w:footer="992" w:gutter="0"/>
          <w:pgNumType w:fmt="decimal"/>
          <w:cols w:space="720" w:num="1"/>
          <w:docGrid w:type="lines" w:linePitch="312" w:charSpace="0"/>
        </w:sectPr>
      </w:pPr>
    </w:p>
    <w:p w14:paraId="046E02F8">
      <w:pPr>
        <w:pStyle w:val="2"/>
        <w:spacing w:before="0" w:after="0" w:line="576" w:lineRule="auto"/>
        <w:ind w:firstLine="562" w:firstLineChars="200"/>
        <w:rPr>
          <w:rFonts w:ascii="仿宋_GB2312" w:hAnsi="Times New Roman" w:eastAsia="仿宋_GB2312"/>
          <w:b/>
          <w:bCs/>
          <w:color w:val="auto"/>
          <w:kern w:val="44"/>
          <w:sz w:val="28"/>
          <w:szCs w:val="28"/>
          <w:highlight w:val="none"/>
        </w:rPr>
      </w:pPr>
      <w:r>
        <w:rPr>
          <w:rFonts w:hint="eastAsia" w:ascii="仿宋_GB2312" w:hAnsi="Times New Roman" w:eastAsia="仿宋_GB2312"/>
          <w:b/>
          <w:bCs/>
          <w:color w:val="auto"/>
          <w:kern w:val="44"/>
          <w:sz w:val="28"/>
          <w:szCs w:val="28"/>
          <w:highlight w:val="none"/>
        </w:rPr>
        <w:t>三、商务条款</w:t>
      </w:r>
    </w:p>
    <w:p w14:paraId="7750F07B">
      <w:pPr>
        <w:ind w:firstLine="560" w:firstLineChars="200"/>
        <w:rPr>
          <w:rFonts w:ascii="仿宋" w:hAnsi="仿宋" w:eastAsia="仿宋"/>
          <w:b/>
          <w:bCs/>
          <w:color w:val="auto"/>
          <w:sz w:val="28"/>
          <w:szCs w:val="28"/>
          <w:highlight w:val="none"/>
        </w:rPr>
      </w:pPr>
      <w:r>
        <w:rPr>
          <w:rFonts w:hint="eastAsia" w:ascii="仿宋" w:hAnsi="仿宋" w:eastAsia="仿宋"/>
          <w:color w:val="auto"/>
          <w:sz w:val="28"/>
          <w:szCs w:val="28"/>
          <w:highlight w:val="none"/>
        </w:rPr>
        <w:t>（一）报价方须有合法的经营资格，必须提供下列有效证照材料：营业执照、法人身份证（复印件）以及报价方认为需要提供的资料,</w:t>
      </w:r>
      <w:r>
        <w:rPr>
          <w:rFonts w:hint="eastAsia" w:ascii="仿宋" w:hAnsi="仿宋" w:eastAsia="仿宋"/>
          <w:b/>
          <w:bCs/>
          <w:color w:val="auto"/>
          <w:sz w:val="28"/>
          <w:szCs w:val="28"/>
          <w:highlight w:val="none"/>
        </w:rPr>
        <w:t>相关复印件需签“与原件相符”并盖单位公章（下同）。</w:t>
      </w:r>
    </w:p>
    <w:p w14:paraId="743CBC7D">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（二）报价方必须至少提供3份自2024年（含）以来具有同类项目或服务内容的业绩证明，以成交通知书或合同复印件关键页为准（提供合同复印件，原件备查）。</w:t>
      </w:r>
    </w:p>
    <w:p w14:paraId="1737B8CE">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三）成交方须按照双方约定提供执法局微信公众号推广服务，未按期提供服务或服务内容、标准未达到合同约定要求的，采购方有权拒绝付款，并中止履行合同；造成采购方经济损失的，依法追究成交方相关责任。</w:t>
      </w:r>
    </w:p>
    <w:p w14:paraId="5B2804B1">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（四）成交方必须签署相关保密协议，严格遵守协议及有关保密要求。</w:t>
      </w:r>
    </w:p>
    <w:p w14:paraId="70F0289B">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（五）不可抗力：如因不可抗问题导致无法或延迟履行合同的，应在不可抗力事件发生后三天内通知对方，并协商寻求减少损失的办法或对双方都公正合理的另外安排。</w:t>
      </w:r>
    </w:p>
    <w:p w14:paraId="388C1CD4">
      <w:pPr>
        <w:pStyle w:val="2"/>
        <w:spacing w:before="0" w:after="0" w:line="576" w:lineRule="auto"/>
        <w:ind w:firstLine="562" w:firstLineChars="200"/>
        <w:rPr>
          <w:rFonts w:ascii="仿宋_GB2312" w:hAnsi="Times New Roman" w:eastAsia="仿宋_GB2312"/>
          <w:b/>
          <w:bCs/>
          <w:color w:val="auto"/>
          <w:kern w:val="44"/>
          <w:sz w:val="28"/>
          <w:szCs w:val="28"/>
          <w:highlight w:val="none"/>
        </w:rPr>
      </w:pPr>
      <w:r>
        <w:rPr>
          <w:rFonts w:hint="eastAsia" w:ascii="仿宋_GB2312" w:hAnsi="Times New Roman" w:eastAsia="仿宋_GB2312"/>
          <w:b/>
          <w:bCs/>
          <w:color w:val="auto"/>
          <w:kern w:val="44"/>
          <w:sz w:val="28"/>
          <w:szCs w:val="28"/>
          <w:highlight w:val="none"/>
        </w:rPr>
        <w:t>四、验收标准</w:t>
      </w:r>
    </w:p>
    <w:p w14:paraId="212FF175">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成交方按合同要求完成微信公众号推广、优化和运行维护。</w:t>
      </w:r>
    </w:p>
    <w:p w14:paraId="0C0E0ECE">
      <w:pPr>
        <w:pStyle w:val="2"/>
        <w:spacing w:before="0" w:after="0" w:line="576" w:lineRule="auto"/>
        <w:ind w:firstLine="562" w:firstLineChars="200"/>
        <w:rPr>
          <w:rFonts w:ascii="仿宋_GB2312" w:hAnsi="Times New Roman" w:eastAsia="仿宋_GB2312"/>
          <w:b/>
          <w:bCs/>
          <w:color w:val="auto"/>
          <w:kern w:val="44"/>
          <w:sz w:val="28"/>
          <w:szCs w:val="28"/>
          <w:highlight w:val="none"/>
        </w:rPr>
      </w:pPr>
      <w:r>
        <w:rPr>
          <w:rFonts w:hint="eastAsia" w:ascii="仿宋_GB2312" w:hAnsi="Times New Roman" w:eastAsia="仿宋_GB2312"/>
          <w:b/>
          <w:bCs/>
          <w:color w:val="auto"/>
          <w:kern w:val="44"/>
          <w:sz w:val="28"/>
          <w:szCs w:val="28"/>
          <w:highlight w:val="none"/>
        </w:rPr>
        <w:t>五、付款方式</w:t>
      </w:r>
    </w:p>
    <w:p w14:paraId="5438F7CA">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（一）履约保证金：成交方在签订合同</w:t>
      </w:r>
      <w:r>
        <w:rPr>
          <w:rFonts w:hint="eastAsia" w:ascii="仿宋" w:hAnsi="仿宋" w:eastAsia="仿宋"/>
          <w:color w:val="auto"/>
          <w:sz w:val="28"/>
          <w:szCs w:val="28"/>
          <w:highlight w:val="none"/>
          <w:lang w:val="en-US" w:eastAsia="zh-CN"/>
        </w:rPr>
        <w:t>后</w:t>
      </w:r>
      <w:r>
        <w:rPr>
          <w:rFonts w:hint="eastAsia" w:ascii="仿宋" w:hAnsi="仿宋" w:eastAsia="仿宋"/>
          <w:color w:val="auto"/>
          <w:sz w:val="28"/>
          <w:szCs w:val="28"/>
          <w:highlight w:val="none"/>
        </w:rPr>
        <w:t>按合同金额的5%（小微企业按合同金额的2%）向采购方支付履约保证金，服务期到期并履约验收</w:t>
      </w:r>
      <w:r>
        <w:rPr>
          <w:rFonts w:hint="eastAsia" w:ascii="仿宋" w:hAnsi="仿宋" w:eastAsia="仿宋"/>
          <w:color w:val="auto"/>
          <w:sz w:val="28"/>
          <w:szCs w:val="28"/>
          <w:highlight w:val="none"/>
          <w:lang w:val="en-US" w:eastAsia="zh-CN"/>
        </w:rPr>
        <w:t>合格</w:t>
      </w:r>
      <w:r>
        <w:rPr>
          <w:rFonts w:hint="eastAsia" w:ascii="仿宋" w:hAnsi="仿宋" w:eastAsia="仿宋"/>
          <w:color w:val="auto"/>
          <w:sz w:val="28"/>
          <w:szCs w:val="28"/>
          <w:highlight w:val="none"/>
        </w:rPr>
        <w:t>后，采购方接成交方来函10个工作日内无息退还成交方。</w:t>
      </w:r>
    </w:p>
    <w:p w14:paraId="3151FF41">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（二）采购方与成交方合同签订（含保密协议）并生效后10个工作日内，成交方提交服务方案，采购方支付成交方合同总额的20%；完成微信公众号内部管理功能优化</w:t>
      </w:r>
      <w:r>
        <w:rPr>
          <w:rFonts w:hint="eastAsia" w:ascii="仿宋" w:hAnsi="仿宋" w:eastAsia="仿宋"/>
          <w:color w:val="auto"/>
          <w:sz w:val="28"/>
          <w:szCs w:val="28"/>
          <w:highlight w:val="none"/>
          <w:lang w:val="en-US" w:eastAsia="zh-CN"/>
        </w:rPr>
        <w:t>及</w:t>
      </w:r>
      <w:r>
        <w:rPr>
          <w:rFonts w:hint="eastAsia" w:ascii="仿宋" w:hAnsi="仿宋" w:eastAsia="仿宋"/>
          <w:color w:val="auto"/>
          <w:sz w:val="28"/>
          <w:szCs w:val="28"/>
          <w:highlight w:val="none"/>
        </w:rPr>
        <w:t>推广</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并提交操作手册，采购方向成交方支付合同总额的60%；成交方完成运维服务并提交运维报告，经验收合格后，采购方向成交方支付合同总额的20%。</w:t>
      </w:r>
    </w:p>
    <w:p w14:paraId="2FC9B6C6">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（三）成交方申请支付合同价款前，应开具相应金额合规发票给采购方。</w:t>
      </w:r>
    </w:p>
    <w:p w14:paraId="47E549C2">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（四）本项目报价为总包干价，报价必须包括实施和完成该项目所需的设备和服务、税费等一切费用，以及合同明示所有责任、义务和一般风险，采购方不再支付任何费用。</w:t>
      </w:r>
    </w:p>
    <w:p w14:paraId="44B77EBE">
      <w:pPr>
        <w:pStyle w:val="2"/>
        <w:spacing w:before="0" w:after="0" w:line="576" w:lineRule="auto"/>
        <w:ind w:firstLine="562" w:firstLineChars="200"/>
        <w:rPr>
          <w:rFonts w:ascii="仿宋_GB2312" w:hAnsi="Times New Roman" w:eastAsia="仿宋_GB2312"/>
          <w:b/>
          <w:bCs/>
          <w:color w:val="auto"/>
          <w:kern w:val="44"/>
          <w:sz w:val="28"/>
          <w:szCs w:val="28"/>
          <w:highlight w:val="none"/>
        </w:rPr>
      </w:pPr>
      <w:r>
        <w:rPr>
          <w:rFonts w:hint="eastAsia" w:ascii="仿宋_GB2312" w:hAnsi="Times New Roman" w:eastAsia="仿宋_GB2312"/>
          <w:b/>
          <w:bCs/>
          <w:color w:val="auto"/>
          <w:kern w:val="44"/>
          <w:sz w:val="28"/>
          <w:szCs w:val="28"/>
          <w:highlight w:val="none"/>
        </w:rPr>
        <w:t>六、评审和推荐成交候选人</w:t>
      </w:r>
    </w:p>
    <w:p w14:paraId="20EE55E5">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（一）“评审委员会”构成：本采购项目的“评审委员会”由执法局根据有关要求抽取3人及以上单数作为评委和1名监督员构成。</w:t>
      </w:r>
    </w:p>
    <w:p w14:paraId="67951352">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（二）评审条件：“评审委员会”将以采购文件、报价文件为评审依据，对报价方的报价最终报价、产品质量、服务质量、资质条件等开展评审工作。</w:t>
      </w:r>
    </w:p>
    <w:p w14:paraId="02B8FE74">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（三）评审采用综合评分法，即报价方的报价文件完全响应采购文件的前提下，综合评分最高者推荐为第一成交候选人。</w:t>
      </w:r>
    </w:p>
    <w:p w14:paraId="0BCB4810">
      <w:pPr>
        <w:ind w:firstLine="560" w:firstLineChars="200"/>
        <w:rPr>
          <w:rFonts w:ascii="仿宋" w:hAnsi="仿宋" w:eastAsia="仿宋"/>
          <w:color w:val="auto"/>
          <w:sz w:val="28"/>
          <w:szCs w:val="28"/>
          <w:highlight w:val="none"/>
        </w:rPr>
      </w:pPr>
    </w:p>
    <w:p w14:paraId="68FCC099">
      <w:pPr>
        <w:pStyle w:val="2"/>
        <w:spacing w:before="0" w:after="0" w:line="576" w:lineRule="auto"/>
        <w:ind w:firstLine="562" w:firstLineChars="200"/>
        <w:rPr>
          <w:rFonts w:ascii="仿宋_GB2312" w:hAnsi="Times New Roman" w:eastAsia="仿宋_GB2312"/>
          <w:b/>
          <w:bCs/>
          <w:color w:val="auto"/>
          <w:kern w:val="44"/>
          <w:sz w:val="28"/>
          <w:szCs w:val="28"/>
          <w:highlight w:val="none"/>
        </w:rPr>
      </w:pPr>
      <w:r>
        <w:rPr>
          <w:rFonts w:hint="eastAsia" w:ascii="仿宋_GB2312" w:hAnsi="Times New Roman" w:eastAsia="仿宋_GB2312"/>
          <w:b/>
          <w:bCs/>
          <w:color w:val="auto"/>
          <w:kern w:val="44"/>
          <w:sz w:val="28"/>
          <w:szCs w:val="28"/>
          <w:highlight w:val="none"/>
        </w:rPr>
        <w:t>七、评分方法及标准</w:t>
      </w:r>
    </w:p>
    <w:tbl>
      <w:tblPr>
        <w:tblStyle w:val="6"/>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251"/>
        <w:gridCol w:w="6361"/>
        <w:gridCol w:w="18"/>
        <w:gridCol w:w="760"/>
      </w:tblGrid>
      <w:tr w14:paraId="52794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0" w:type="dxa"/>
            <w:tcBorders>
              <w:top w:val="single" w:color="auto" w:sz="4" w:space="0"/>
              <w:left w:val="single" w:color="auto" w:sz="4" w:space="0"/>
              <w:bottom w:val="single" w:color="auto" w:sz="4" w:space="0"/>
              <w:right w:val="single" w:color="auto" w:sz="4" w:space="0"/>
            </w:tcBorders>
            <w:noWrap/>
            <w:vAlign w:val="center"/>
          </w:tcPr>
          <w:p w14:paraId="15DD9DF1">
            <w:pPr>
              <w:widowControl/>
              <w:spacing w:line="360" w:lineRule="auto"/>
              <w:jc w:val="center"/>
              <w:rPr>
                <w:rFonts w:ascii="仿宋_GB2312" w:hAnsi="宋体" w:eastAsia="仿宋_GB2312" w:cs="Tahoma"/>
                <w:b/>
                <w:bCs/>
                <w:color w:val="auto"/>
                <w:kern w:val="0"/>
                <w:sz w:val="24"/>
                <w:highlight w:val="none"/>
              </w:rPr>
            </w:pPr>
            <w:bookmarkStart w:id="3" w:name="PO_TDCUS_ITEM_SM_TABLE_1"/>
            <w:r>
              <w:rPr>
                <w:rFonts w:hint="eastAsia" w:ascii="仿宋_GB2312" w:hAnsi="宋体" w:eastAsia="仿宋_GB2312" w:cs="Tahoma"/>
                <w:b/>
                <w:bCs/>
                <w:color w:val="auto"/>
                <w:kern w:val="0"/>
                <w:sz w:val="24"/>
                <w:highlight w:val="none"/>
              </w:rPr>
              <w:t>序号</w:t>
            </w:r>
          </w:p>
        </w:tc>
        <w:tc>
          <w:tcPr>
            <w:tcW w:w="1251" w:type="dxa"/>
            <w:tcBorders>
              <w:top w:val="single" w:color="auto" w:sz="4" w:space="0"/>
              <w:left w:val="single" w:color="auto" w:sz="4" w:space="0"/>
              <w:bottom w:val="single" w:color="auto" w:sz="4" w:space="0"/>
              <w:right w:val="single" w:color="auto" w:sz="4" w:space="0"/>
            </w:tcBorders>
            <w:noWrap/>
            <w:vAlign w:val="center"/>
          </w:tcPr>
          <w:p w14:paraId="70B478C0">
            <w:pPr>
              <w:widowControl/>
              <w:spacing w:line="360" w:lineRule="auto"/>
              <w:jc w:val="center"/>
              <w:rPr>
                <w:rFonts w:ascii="仿宋_GB2312" w:hAnsi="宋体" w:eastAsia="仿宋_GB2312" w:cs="Tahoma"/>
                <w:b/>
                <w:bCs/>
                <w:color w:val="auto"/>
                <w:kern w:val="0"/>
                <w:sz w:val="24"/>
                <w:highlight w:val="none"/>
              </w:rPr>
            </w:pPr>
            <w:r>
              <w:rPr>
                <w:rFonts w:hint="eastAsia" w:ascii="仿宋_GB2312" w:hAnsi="宋体" w:eastAsia="仿宋_GB2312" w:cs="Tahoma"/>
                <w:b/>
                <w:bCs/>
                <w:color w:val="auto"/>
                <w:kern w:val="0"/>
                <w:sz w:val="24"/>
                <w:highlight w:val="none"/>
              </w:rPr>
              <w:t>评审因素</w:t>
            </w:r>
          </w:p>
        </w:tc>
        <w:tc>
          <w:tcPr>
            <w:tcW w:w="6361" w:type="dxa"/>
            <w:tcBorders>
              <w:top w:val="single" w:color="auto" w:sz="4" w:space="0"/>
              <w:left w:val="single" w:color="auto" w:sz="4" w:space="0"/>
              <w:bottom w:val="single" w:color="auto" w:sz="4" w:space="0"/>
              <w:right w:val="single" w:color="auto" w:sz="4" w:space="0"/>
            </w:tcBorders>
            <w:noWrap/>
            <w:vAlign w:val="center"/>
          </w:tcPr>
          <w:p w14:paraId="21C49A63">
            <w:pPr>
              <w:widowControl/>
              <w:spacing w:line="360" w:lineRule="auto"/>
              <w:jc w:val="center"/>
              <w:rPr>
                <w:rFonts w:ascii="仿宋_GB2312" w:hAnsi="宋体" w:eastAsia="仿宋_GB2312" w:cs="Tahoma"/>
                <w:b/>
                <w:bCs/>
                <w:color w:val="auto"/>
                <w:kern w:val="0"/>
                <w:sz w:val="24"/>
                <w:highlight w:val="none"/>
              </w:rPr>
            </w:pPr>
            <w:r>
              <w:rPr>
                <w:rFonts w:hint="eastAsia" w:ascii="仿宋_GB2312" w:hAnsi="宋体" w:eastAsia="仿宋_GB2312" w:cs="Tahoma"/>
                <w:b/>
                <w:bCs/>
                <w:color w:val="auto"/>
                <w:kern w:val="0"/>
                <w:sz w:val="24"/>
                <w:highlight w:val="none"/>
              </w:rPr>
              <w:t>评审因素具体内容</w:t>
            </w:r>
          </w:p>
        </w:tc>
        <w:tc>
          <w:tcPr>
            <w:tcW w:w="778" w:type="dxa"/>
            <w:gridSpan w:val="2"/>
            <w:tcBorders>
              <w:top w:val="single" w:color="auto" w:sz="4" w:space="0"/>
              <w:left w:val="single" w:color="auto" w:sz="4" w:space="0"/>
              <w:bottom w:val="single" w:color="auto" w:sz="4" w:space="0"/>
              <w:right w:val="single" w:color="auto" w:sz="4" w:space="0"/>
            </w:tcBorders>
            <w:noWrap/>
            <w:vAlign w:val="center"/>
          </w:tcPr>
          <w:p w14:paraId="15C82BF3">
            <w:pPr>
              <w:widowControl/>
              <w:spacing w:line="360" w:lineRule="auto"/>
              <w:jc w:val="center"/>
              <w:rPr>
                <w:rFonts w:ascii="仿宋_GB2312" w:hAnsi="宋体" w:eastAsia="仿宋_GB2312" w:cs="Tahoma"/>
                <w:b/>
                <w:bCs/>
                <w:color w:val="auto"/>
                <w:kern w:val="0"/>
                <w:sz w:val="24"/>
                <w:highlight w:val="none"/>
              </w:rPr>
            </w:pPr>
            <w:r>
              <w:rPr>
                <w:rFonts w:hint="eastAsia" w:ascii="仿宋_GB2312" w:hAnsi="宋体" w:eastAsia="仿宋_GB2312" w:cs="Tahoma"/>
                <w:b/>
                <w:bCs/>
                <w:color w:val="auto"/>
                <w:kern w:val="0"/>
                <w:sz w:val="24"/>
                <w:highlight w:val="none"/>
              </w:rPr>
              <w:t>分值</w:t>
            </w:r>
          </w:p>
        </w:tc>
      </w:tr>
      <w:tr w14:paraId="206DE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0" w:type="dxa"/>
            <w:tcBorders>
              <w:top w:val="single" w:color="auto" w:sz="4" w:space="0"/>
              <w:left w:val="single" w:color="auto" w:sz="4" w:space="0"/>
              <w:bottom w:val="single" w:color="auto" w:sz="4" w:space="0"/>
              <w:right w:val="single" w:color="auto" w:sz="4" w:space="0"/>
            </w:tcBorders>
            <w:noWrap/>
            <w:vAlign w:val="center"/>
          </w:tcPr>
          <w:p w14:paraId="1E651372">
            <w:pPr>
              <w:widowControl/>
              <w:spacing w:line="360" w:lineRule="auto"/>
              <w:jc w:val="center"/>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1</w:t>
            </w:r>
          </w:p>
        </w:tc>
        <w:tc>
          <w:tcPr>
            <w:tcW w:w="1251" w:type="dxa"/>
            <w:tcBorders>
              <w:top w:val="single" w:color="auto" w:sz="4" w:space="0"/>
              <w:left w:val="single" w:color="auto" w:sz="4" w:space="0"/>
              <w:bottom w:val="single" w:color="auto" w:sz="4" w:space="0"/>
              <w:right w:val="single" w:color="auto" w:sz="4" w:space="0"/>
            </w:tcBorders>
            <w:noWrap/>
            <w:vAlign w:val="center"/>
          </w:tcPr>
          <w:p w14:paraId="56F12D3C">
            <w:pPr>
              <w:widowControl/>
              <w:spacing w:line="360" w:lineRule="auto"/>
              <w:jc w:val="center"/>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价格分</w:t>
            </w:r>
          </w:p>
        </w:tc>
        <w:tc>
          <w:tcPr>
            <w:tcW w:w="6361" w:type="dxa"/>
            <w:tcBorders>
              <w:top w:val="single" w:color="auto" w:sz="4" w:space="0"/>
              <w:left w:val="single" w:color="auto" w:sz="4" w:space="0"/>
              <w:bottom w:val="single" w:color="auto" w:sz="4" w:space="0"/>
              <w:right w:val="single" w:color="auto" w:sz="4" w:space="0"/>
            </w:tcBorders>
            <w:noWrap/>
          </w:tcPr>
          <w:p w14:paraId="0DC9BEF2">
            <w:pPr>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（1）评审价为供应商的最后报价进行政策性扣除后的价格，评审价只是作为评审时使用。最终成交供应商的成交金额等于最后报价（如有修正，以确认修正后的最后报价为准）。</w:t>
            </w:r>
          </w:p>
          <w:p w14:paraId="71F4401A">
            <w:pPr>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（2）政府采购政策性扣除计算方法</w:t>
            </w:r>
          </w:p>
          <w:p w14:paraId="5058D003">
            <w:pPr>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根据《政府采购促进中小企业发展管理办法》（财库〔2020〕46号）及《广西壮族自治区财政厅关于进一步发挥政府采购政策功能促进企业发展的通知》（桂财采〔2022〕30号）的规定，供应商在其响应文件中提供《中小企业声明函》，且服务全部由小微企业承接，对供应商的竞标报价给予20%的扣除，扣除后的价格为评审价，即评审价=竞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 4 %的扣除，用扣除后的价格参加评审，扣除后的价格为评审价，即评审价=竞标报价×（1- 4 %）。除上述情况外，评审价=竞标报价。</w:t>
            </w:r>
          </w:p>
          <w:p w14:paraId="796760D2">
            <w:pPr>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11BB09CA">
            <w:pPr>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56C5A81">
            <w:pPr>
              <w:spacing w:line="360" w:lineRule="auto"/>
              <w:ind w:firstLine="480" w:firstLineChars="200"/>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（5）价格分计算公式：</w:t>
            </w:r>
          </w:p>
          <w:p w14:paraId="60D18F5D">
            <w:pPr>
              <w:spacing w:line="360" w:lineRule="auto"/>
              <w:ind w:firstLine="464" w:firstLineChars="200"/>
              <w:rPr>
                <w:rFonts w:ascii="仿宋_GB2312" w:hAnsi="宋体" w:eastAsia="仿宋_GB2312"/>
                <w:color w:val="auto"/>
                <w:spacing w:val="-4"/>
                <w:sz w:val="24"/>
                <w:highlight w:val="none"/>
              </w:rPr>
            </w:pPr>
            <w:r>
              <w:rPr>
                <w:rFonts w:hint="eastAsia" w:ascii="仿宋_GB2312" w:hAnsi="宋体" w:eastAsia="仿宋_GB2312"/>
                <w:color w:val="auto"/>
                <w:spacing w:val="-4"/>
                <w:sz w:val="24"/>
                <w:highlight w:val="none"/>
              </w:rPr>
              <w:t>　                 供应商最低评标价金额</w:t>
            </w:r>
          </w:p>
          <w:p w14:paraId="501D9CDE">
            <w:pPr>
              <w:spacing w:line="300" w:lineRule="exact"/>
              <w:ind w:firstLine="420" w:firstLineChars="200"/>
              <w:rPr>
                <w:rFonts w:ascii="仿宋_GB2312" w:hAnsi="宋体" w:eastAsia="仿宋_GB2312"/>
                <w:color w:val="auto"/>
                <w:spacing w:val="-4"/>
                <w:sz w:val="24"/>
                <w:highlight w:val="none"/>
              </w:rPr>
            </w:pPr>
            <w:r>
              <w:rPr>
                <w:color w:val="auto"/>
                <w:highlight w:val="none"/>
              </w:rPr>
              <w:pict>
                <v:line id="_x0000_s1026" o:spid="_x0000_s1026" o:spt="20" style="position:absolute;left:0pt;margin-left:110.25pt;margin-top:8.35pt;height:0pt;width:126pt;z-index:251660288;mso-width-relative:page;mso-height-relative:page;" coordsize="21600,21600" o:gfxdata="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1UuN7VAAAACQEAAA8AAAAAAAAAAQAgAAAAIgAAAGRycy9kb3ducmV2LnhtbFBLAQIUABQAAAAI&#10;AIdO4kAtNQ6h8AEAAOYDAAAOAAAAAAAAAAEAIAAAACQBAABkcnMvZTJvRG9jLnhtbFBLBQYAAAAA&#10;BgAGAFkBAACGBQAAAAA=&#10;">
                  <v:path arrowok="t"/>
                  <v:fill focussize="0,0"/>
                  <v:stroke/>
                  <v:imagedata o:title=""/>
                  <o:lock v:ext="edit"/>
                </v:line>
              </w:pict>
            </w:r>
            <w:r>
              <w:rPr>
                <w:rFonts w:hint="eastAsia" w:ascii="仿宋_GB2312" w:hAnsi="宋体" w:eastAsia="仿宋_GB2312"/>
                <w:color w:val="auto"/>
                <w:spacing w:val="-4"/>
                <w:sz w:val="24"/>
                <w:highlight w:val="none"/>
              </w:rPr>
              <w:t>某供应商价格分 =                        ×　</w:t>
            </w:r>
            <w:r>
              <w:rPr>
                <w:rFonts w:hint="eastAsia" w:ascii="仿宋_GB2312" w:hAnsi="宋体" w:eastAsia="仿宋_GB2312"/>
                <w:b/>
                <w:color w:val="auto"/>
                <w:spacing w:val="-4"/>
                <w:sz w:val="24"/>
                <w:highlight w:val="none"/>
              </w:rPr>
              <w:t>10分</w:t>
            </w:r>
          </w:p>
          <w:p w14:paraId="39D1C01F">
            <w:pPr>
              <w:spacing w:line="300" w:lineRule="exact"/>
              <w:ind w:firstLine="464" w:firstLineChars="200"/>
              <w:rPr>
                <w:rFonts w:ascii="仿宋_GB2312" w:hAnsi="宋体" w:eastAsia="仿宋_GB2312"/>
                <w:color w:val="auto"/>
                <w:spacing w:val="-4"/>
                <w:sz w:val="24"/>
                <w:highlight w:val="none"/>
              </w:rPr>
            </w:pPr>
            <w:r>
              <w:rPr>
                <w:rFonts w:hint="eastAsia" w:ascii="仿宋_GB2312" w:hAnsi="宋体" w:eastAsia="仿宋_GB2312"/>
                <w:color w:val="auto"/>
                <w:spacing w:val="-4"/>
                <w:sz w:val="24"/>
                <w:highlight w:val="none"/>
              </w:rPr>
              <w:t xml:space="preserve">                   　某供应商评标价金额</w:t>
            </w:r>
          </w:p>
        </w:tc>
        <w:tc>
          <w:tcPr>
            <w:tcW w:w="778" w:type="dxa"/>
            <w:gridSpan w:val="2"/>
            <w:tcBorders>
              <w:top w:val="single" w:color="auto" w:sz="4" w:space="0"/>
              <w:left w:val="single" w:color="auto" w:sz="4" w:space="0"/>
              <w:bottom w:val="single" w:color="auto" w:sz="4" w:space="0"/>
              <w:right w:val="single" w:color="auto" w:sz="4" w:space="0"/>
            </w:tcBorders>
            <w:noWrap/>
            <w:vAlign w:val="center"/>
          </w:tcPr>
          <w:p w14:paraId="670ED97B">
            <w:pPr>
              <w:widowControl/>
              <w:spacing w:line="360" w:lineRule="auto"/>
              <w:jc w:val="center"/>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10分</w:t>
            </w:r>
          </w:p>
        </w:tc>
      </w:tr>
      <w:tr w14:paraId="3E29C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00" w:type="dxa"/>
            <w:tcBorders>
              <w:top w:val="single" w:color="auto" w:sz="4" w:space="0"/>
              <w:left w:val="single" w:color="auto" w:sz="4" w:space="0"/>
              <w:bottom w:val="single" w:color="auto" w:sz="4" w:space="0"/>
              <w:right w:val="single" w:color="auto" w:sz="4" w:space="0"/>
            </w:tcBorders>
            <w:noWrap/>
            <w:vAlign w:val="center"/>
          </w:tcPr>
          <w:p w14:paraId="338FC33F">
            <w:pPr>
              <w:widowControl/>
              <w:spacing w:line="360" w:lineRule="auto"/>
              <w:jc w:val="center"/>
              <w:rPr>
                <w:rFonts w:ascii="仿宋_GB2312" w:hAnsi="宋体" w:eastAsia="仿宋_GB2312" w:cs="Tahoma"/>
                <w:color w:val="auto"/>
                <w:kern w:val="0"/>
                <w:sz w:val="24"/>
                <w:highlight w:val="none"/>
              </w:rPr>
            </w:pPr>
            <w:r>
              <w:rPr>
                <w:rFonts w:hint="eastAsia" w:ascii="仿宋_GB2312" w:hAnsi="宋体" w:eastAsia="仿宋_GB2312"/>
                <w:bCs/>
                <w:color w:val="auto"/>
                <w:kern w:val="0"/>
                <w:sz w:val="24"/>
                <w:highlight w:val="none"/>
              </w:rPr>
              <w:t>2</w:t>
            </w:r>
          </w:p>
        </w:tc>
        <w:tc>
          <w:tcPr>
            <w:tcW w:w="1251" w:type="dxa"/>
            <w:tcBorders>
              <w:top w:val="single" w:color="auto" w:sz="4" w:space="0"/>
              <w:left w:val="single" w:color="auto" w:sz="4" w:space="0"/>
              <w:bottom w:val="single" w:color="auto" w:sz="4" w:space="0"/>
              <w:right w:val="single" w:color="auto" w:sz="4" w:space="0"/>
            </w:tcBorders>
            <w:noWrap/>
            <w:vAlign w:val="center"/>
          </w:tcPr>
          <w:p w14:paraId="353434C4">
            <w:pPr>
              <w:widowControl/>
              <w:spacing w:line="360" w:lineRule="auto"/>
              <w:jc w:val="center"/>
              <w:rPr>
                <w:rFonts w:ascii="仿宋_GB2312" w:hAnsi="宋体" w:eastAsia="仿宋_GB2312"/>
                <w:bCs/>
                <w:color w:val="auto"/>
                <w:kern w:val="0"/>
                <w:sz w:val="24"/>
                <w:highlight w:val="none"/>
              </w:rPr>
            </w:pPr>
            <w:r>
              <w:rPr>
                <w:rFonts w:hint="eastAsia" w:ascii="仿宋_GB2312" w:hAnsi="宋体" w:eastAsia="仿宋_GB2312"/>
                <w:bCs/>
                <w:color w:val="auto"/>
                <w:kern w:val="0"/>
                <w:sz w:val="24"/>
                <w:highlight w:val="none"/>
              </w:rPr>
              <w:t>技术分</w:t>
            </w:r>
          </w:p>
        </w:tc>
        <w:tc>
          <w:tcPr>
            <w:tcW w:w="6379" w:type="dxa"/>
            <w:gridSpan w:val="2"/>
            <w:tcBorders>
              <w:top w:val="single" w:color="auto" w:sz="4" w:space="0"/>
              <w:left w:val="single" w:color="auto" w:sz="4" w:space="0"/>
              <w:bottom w:val="single" w:color="auto" w:sz="4" w:space="0"/>
              <w:right w:val="single" w:color="auto" w:sz="4" w:space="0"/>
            </w:tcBorders>
            <w:noWrap/>
            <w:vAlign w:val="center"/>
          </w:tcPr>
          <w:p w14:paraId="3C174E19">
            <w:pPr>
              <w:widowControl/>
              <w:spacing w:line="360" w:lineRule="auto"/>
              <w:jc w:val="center"/>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评审因素</w:t>
            </w:r>
          </w:p>
        </w:tc>
        <w:tc>
          <w:tcPr>
            <w:tcW w:w="760" w:type="dxa"/>
            <w:tcBorders>
              <w:top w:val="single" w:color="auto" w:sz="4" w:space="0"/>
              <w:left w:val="single" w:color="auto" w:sz="4" w:space="0"/>
              <w:bottom w:val="single" w:color="auto" w:sz="4" w:space="0"/>
              <w:right w:val="single" w:color="auto" w:sz="4" w:space="0"/>
            </w:tcBorders>
            <w:vAlign w:val="center"/>
          </w:tcPr>
          <w:p w14:paraId="09D35591">
            <w:pPr>
              <w:widowControl/>
              <w:spacing w:line="360" w:lineRule="auto"/>
              <w:jc w:val="center"/>
              <w:rPr>
                <w:rFonts w:ascii="仿宋_GB2312" w:hAnsi="宋体" w:eastAsia="仿宋_GB2312" w:cs="Tahoma"/>
                <w:color w:val="auto"/>
                <w:kern w:val="0"/>
                <w:sz w:val="24"/>
                <w:highlight w:val="none"/>
              </w:rPr>
            </w:pPr>
            <w:r>
              <w:rPr>
                <w:rFonts w:hint="eastAsia" w:ascii="仿宋_GB2312" w:hAnsi="宋体" w:eastAsia="仿宋_GB2312"/>
                <w:bCs/>
                <w:color w:val="auto"/>
                <w:kern w:val="0"/>
                <w:sz w:val="24"/>
                <w:highlight w:val="none"/>
              </w:rPr>
              <w:t>70分</w:t>
            </w:r>
          </w:p>
        </w:tc>
      </w:tr>
      <w:tr w14:paraId="1B3B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00" w:type="dxa"/>
            <w:tcBorders>
              <w:top w:val="single" w:color="auto" w:sz="4" w:space="0"/>
              <w:left w:val="single" w:color="auto" w:sz="4" w:space="0"/>
              <w:bottom w:val="single" w:color="auto" w:sz="4" w:space="0"/>
              <w:right w:val="single" w:color="auto" w:sz="4" w:space="0"/>
            </w:tcBorders>
            <w:noWrap/>
            <w:vAlign w:val="center"/>
          </w:tcPr>
          <w:p w14:paraId="49E240CA">
            <w:pPr>
              <w:adjustRightInd w:val="0"/>
              <w:spacing w:line="360" w:lineRule="auto"/>
              <w:ind w:left="-105" w:leftChars="-50" w:right="-105" w:rightChars="-50"/>
              <w:jc w:val="center"/>
              <w:textAlignment w:val="baseline"/>
              <w:rPr>
                <w:rFonts w:ascii="仿宋_GB2312" w:hAnsi="宋体" w:eastAsia="仿宋_GB2312"/>
                <w:bCs/>
                <w:color w:val="auto"/>
                <w:kern w:val="0"/>
                <w:sz w:val="24"/>
                <w:highlight w:val="none"/>
              </w:rPr>
            </w:pPr>
            <w:r>
              <w:rPr>
                <w:rFonts w:hint="eastAsia" w:ascii="仿宋_GB2312" w:hAnsi="宋体" w:eastAsia="仿宋_GB2312"/>
                <w:bCs/>
                <w:color w:val="auto"/>
                <w:kern w:val="0"/>
                <w:sz w:val="24"/>
                <w:highlight w:val="none"/>
              </w:rPr>
              <w:t>2.1</w:t>
            </w:r>
          </w:p>
        </w:tc>
        <w:tc>
          <w:tcPr>
            <w:tcW w:w="1251" w:type="dxa"/>
            <w:tcBorders>
              <w:top w:val="single" w:color="auto" w:sz="4" w:space="0"/>
              <w:left w:val="single" w:color="auto" w:sz="4" w:space="0"/>
              <w:bottom w:val="single" w:color="auto" w:sz="4" w:space="0"/>
              <w:right w:val="single" w:color="auto" w:sz="4" w:space="0"/>
            </w:tcBorders>
            <w:noWrap/>
            <w:vAlign w:val="center"/>
          </w:tcPr>
          <w:p w14:paraId="0D1FE17C">
            <w:pPr>
              <w:adjustRightInd w:val="0"/>
              <w:spacing w:line="360" w:lineRule="auto"/>
              <w:jc w:val="center"/>
              <w:textAlignment w:val="baseline"/>
              <w:rPr>
                <w:rFonts w:ascii="仿宋_GB2312" w:hAnsi="宋体" w:eastAsia="仿宋_GB2312"/>
                <w:bCs/>
                <w:color w:val="auto"/>
                <w:kern w:val="0"/>
                <w:sz w:val="24"/>
                <w:highlight w:val="none"/>
              </w:rPr>
            </w:pPr>
            <w:r>
              <w:rPr>
                <w:rFonts w:hint="eastAsia" w:ascii="仿宋_GB2312" w:hAnsi="宋体" w:eastAsia="仿宋_GB2312"/>
                <w:bCs/>
                <w:color w:val="auto"/>
                <w:kern w:val="0"/>
                <w:sz w:val="24"/>
                <w:highlight w:val="none"/>
              </w:rPr>
              <w:t>技术服务方案分</w:t>
            </w:r>
          </w:p>
        </w:tc>
        <w:tc>
          <w:tcPr>
            <w:tcW w:w="6361" w:type="dxa"/>
            <w:tcBorders>
              <w:top w:val="single" w:color="auto" w:sz="4" w:space="0"/>
              <w:left w:val="single" w:color="auto" w:sz="4" w:space="0"/>
              <w:bottom w:val="single" w:color="auto" w:sz="4" w:space="0"/>
              <w:right w:val="single" w:color="auto" w:sz="4" w:space="0"/>
            </w:tcBorders>
            <w:noWrap/>
            <w:vAlign w:val="center"/>
          </w:tcPr>
          <w:p w14:paraId="5B0CB17E">
            <w:pPr>
              <w:spacing w:line="360" w:lineRule="auto"/>
              <w:ind w:firstLine="480" w:firstLineChars="200"/>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一档（12分）：基本理解本项目的建设背景、目标、范围，基本把握本项目的技术重点、难点，提出了基本可行的技术方案。</w:t>
            </w:r>
          </w:p>
          <w:p w14:paraId="5113C194">
            <w:pPr>
              <w:spacing w:line="360" w:lineRule="auto"/>
              <w:ind w:firstLine="480" w:firstLineChars="200"/>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二档（16分）：较准确理解本项目的建设背景、目标、范围，能够把握本项目的技术重点、难点，提出了比较可行的技术方案，需求分析具有针对性，技术方案与需求契合度良好。</w:t>
            </w:r>
          </w:p>
          <w:p w14:paraId="07EFF051">
            <w:pPr>
              <w:spacing w:line="360" w:lineRule="auto"/>
              <w:ind w:firstLine="480" w:firstLineChars="200"/>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三档（20分）：完全准确理解本项目的建设背景、目标、范围，准确把握本项目的技术重点、难点，提出了详细、完善、全面可行的技术方案。提供的技术方案完全满足采购文件需求，需求分析具有针对性，技术方案与需求契合度高。</w:t>
            </w:r>
          </w:p>
        </w:tc>
        <w:tc>
          <w:tcPr>
            <w:tcW w:w="778" w:type="dxa"/>
            <w:gridSpan w:val="2"/>
            <w:tcBorders>
              <w:top w:val="single" w:color="auto" w:sz="4" w:space="0"/>
              <w:left w:val="single" w:color="auto" w:sz="4" w:space="0"/>
              <w:bottom w:val="single" w:color="auto" w:sz="4" w:space="0"/>
              <w:right w:val="single" w:color="auto" w:sz="4" w:space="0"/>
            </w:tcBorders>
            <w:noWrap/>
            <w:vAlign w:val="center"/>
          </w:tcPr>
          <w:p w14:paraId="16A649DC">
            <w:pPr>
              <w:spacing w:line="360" w:lineRule="auto"/>
              <w:jc w:val="center"/>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20分</w:t>
            </w:r>
          </w:p>
        </w:tc>
      </w:tr>
      <w:tr w14:paraId="58A3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00" w:type="dxa"/>
            <w:tcBorders>
              <w:top w:val="single" w:color="auto" w:sz="4" w:space="0"/>
              <w:left w:val="single" w:color="auto" w:sz="4" w:space="0"/>
              <w:bottom w:val="single" w:color="auto" w:sz="4" w:space="0"/>
              <w:right w:val="single" w:color="auto" w:sz="4" w:space="0"/>
            </w:tcBorders>
            <w:noWrap/>
            <w:vAlign w:val="center"/>
          </w:tcPr>
          <w:p w14:paraId="4548CBBC">
            <w:pPr>
              <w:adjustRightInd w:val="0"/>
              <w:spacing w:line="360" w:lineRule="auto"/>
              <w:ind w:left="-105" w:leftChars="-50" w:right="-105" w:rightChars="-50"/>
              <w:jc w:val="center"/>
              <w:textAlignment w:val="baseline"/>
              <w:rPr>
                <w:rFonts w:ascii="仿宋_GB2312" w:hAnsi="宋体" w:eastAsia="仿宋_GB2312"/>
                <w:bCs/>
                <w:color w:val="auto"/>
                <w:kern w:val="0"/>
                <w:sz w:val="24"/>
                <w:highlight w:val="none"/>
              </w:rPr>
            </w:pPr>
            <w:r>
              <w:rPr>
                <w:rFonts w:hint="eastAsia" w:ascii="仿宋_GB2312" w:hAnsi="宋体" w:eastAsia="仿宋_GB2312"/>
                <w:bCs/>
                <w:color w:val="auto"/>
                <w:kern w:val="0"/>
                <w:sz w:val="24"/>
                <w:highlight w:val="none"/>
              </w:rPr>
              <w:t>2.2</w:t>
            </w:r>
          </w:p>
        </w:tc>
        <w:tc>
          <w:tcPr>
            <w:tcW w:w="1251" w:type="dxa"/>
            <w:tcBorders>
              <w:top w:val="single" w:color="auto" w:sz="4" w:space="0"/>
              <w:left w:val="single" w:color="auto" w:sz="4" w:space="0"/>
              <w:bottom w:val="single" w:color="auto" w:sz="4" w:space="0"/>
              <w:right w:val="single" w:color="auto" w:sz="4" w:space="0"/>
            </w:tcBorders>
            <w:noWrap/>
            <w:vAlign w:val="center"/>
          </w:tcPr>
          <w:p w14:paraId="76BA4FFB">
            <w:pPr>
              <w:adjustRightInd w:val="0"/>
              <w:spacing w:line="360" w:lineRule="auto"/>
              <w:jc w:val="center"/>
              <w:textAlignment w:val="baseline"/>
              <w:rPr>
                <w:rFonts w:ascii="仿宋_GB2312" w:hAnsi="宋体" w:eastAsia="仿宋_GB2312"/>
                <w:bCs/>
                <w:color w:val="auto"/>
                <w:kern w:val="0"/>
                <w:sz w:val="24"/>
                <w:highlight w:val="none"/>
              </w:rPr>
            </w:pPr>
            <w:r>
              <w:rPr>
                <w:rFonts w:hint="eastAsia" w:ascii="仿宋_GB2312" w:hAnsi="宋体" w:eastAsia="仿宋_GB2312"/>
                <w:bCs/>
                <w:color w:val="auto"/>
                <w:kern w:val="0"/>
                <w:sz w:val="24"/>
                <w:highlight w:val="none"/>
              </w:rPr>
              <w:t>实施方案分</w:t>
            </w:r>
          </w:p>
        </w:tc>
        <w:tc>
          <w:tcPr>
            <w:tcW w:w="6361" w:type="dxa"/>
            <w:tcBorders>
              <w:top w:val="single" w:color="auto" w:sz="4" w:space="0"/>
              <w:left w:val="single" w:color="auto" w:sz="4" w:space="0"/>
              <w:bottom w:val="single" w:color="auto" w:sz="4" w:space="0"/>
              <w:right w:val="single" w:color="auto" w:sz="4" w:space="0"/>
            </w:tcBorders>
            <w:noWrap/>
            <w:vAlign w:val="center"/>
          </w:tcPr>
          <w:p w14:paraId="61ACA54D">
            <w:pPr>
              <w:spacing w:line="360" w:lineRule="auto"/>
              <w:ind w:firstLine="480" w:firstLineChars="200"/>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一档（8分）：项目实施方案基本满足采购文件要求，任务分工或进度安排基本可行，保障条件一般；拟投入本项目实施人员不少于3人。</w:t>
            </w:r>
          </w:p>
          <w:p w14:paraId="0C88F19F">
            <w:pPr>
              <w:spacing w:line="360" w:lineRule="auto"/>
              <w:ind w:firstLine="480" w:firstLineChars="200"/>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二档（10分）：项目实施方案满足采购文件要求，任务分工或进度安排可行，保障条件比较充分，提供较为完善的项目实施组织办法及保障体系、实施进度；拟投入本项目实施人员不少于4人。</w:t>
            </w:r>
          </w:p>
          <w:p w14:paraId="4B5A9C40">
            <w:pPr>
              <w:pStyle w:val="11"/>
              <w:spacing w:line="360" w:lineRule="auto"/>
              <w:ind w:firstLine="480" w:firstLineChars="200"/>
              <w:rPr>
                <w:rFonts w:ascii="仿宋_GB2312" w:eastAsia="仿宋_GB2312"/>
                <w:color w:val="auto"/>
                <w:sz w:val="24"/>
                <w:highlight w:val="none"/>
              </w:rPr>
            </w:pPr>
            <w:r>
              <w:rPr>
                <w:rFonts w:hint="eastAsia" w:ascii="仿宋_GB2312" w:hAnsi="宋体" w:eastAsia="仿宋_GB2312" w:cs="Courier New"/>
                <w:bCs/>
                <w:color w:val="auto"/>
                <w:sz w:val="24"/>
                <w:highlight w:val="none"/>
              </w:rPr>
              <w:t>三档（12分）：项目实施方案完全满足采购文件要求，任务分工或进度安排科学合理，保障条件充分，提供完善的项目实施组织办法、保障体系、实施进度和项目管理制度，项目实施方案详实，编制组织机构图、项目实施分工表等；拟投入本项目实施人员不少于6人。</w:t>
            </w:r>
          </w:p>
        </w:tc>
        <w:tc>
          <w:tcPr>
            <w:tcW w:w="778" w:type="dxa"/>
            <w:gridSpan w:val="2"/>
            <w:tcBorders>
              <w:top w:val="single" w:color="auto" w:sz="4" w:space="0"/>
              <w:left w:val="single" w:color="auto" w:sz="4" w:space="0"/>
              <w:bottom w:val="single" w:color="auto" w:sz="4" w:space="0"/>
              <w:right w:val="single" w:color="auto" w:sz="4" w:space="0"/>
            </w:tcBorders>
            <w:noWrap/>
            <w:vAlign w:val="center"/>
          </w:tcPr>
          <w:p w14:paraId="3674466D">
            <w:pPr>
              <w:spacing w:line="360" w:lineRule="auto"/>
              <w:jc w:val="center"/>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12分</w:t>
            </w:r>
          </w:p>
        </w:tc>
      </w:tr>
      <w:tr w14:paraId="7E3F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00" w:type="dxa"/>
            <w:tcBorders>
              <w:top w:val="single" w:color="auto" w:sz="4" w:space="0"/>
              <w:left w:val="single" w:color="auto" w:sz="4" w:space="0"/>
              <w:bottom w:val="single" w:color="auto" w:sz="4" w:space="0"/>
              <w:right w:val="single" w:color="auto" w:sz="4" w:space="0"/>
            </w:tcBorders>
            <w:noWrap/>
            <w:vAlign w:val="center"/>
          </w:tcPr>
          <w:p w14:paraId="04E526B3">
            <w:pPr>
              <w:adjustRightInd w:val="0"/>
              <w:spacing w:line="360" w:lineRule="auto"/>
              <w:ind w:left="-105" w:leftChars="-50" w:right="-105" w:rightChars="-50"/>
              <w:jc w:val="center"/>
              <w:textAlignment w:val="baseline"/>
              <w:rPr>
                <w:rFonts w:ascii="仿宋_GB2312" w:hAnsi="宋体" w:eastAsia="仿宋_GB2312"/>
                <w:bCs/>
                <w:color w:val="auto"/>
                <w:kern w:val="0"/>
                <w:sz w:val="24"/>
                <w:highlight w:val="none"/>
              </w:rPr>
            </w:pPr>
            <w:r>
              <w:rPr>
                <w:rFonts w:hint="eastAsia" w:ascii="仿宋_GB2312" w:hAnsi="宋体" w:eastAsia="仿宋_GB2312"/>
                <w:bCs/>
                <w:color w:val="auto"/>
                <w:kern w:val="0"/>
                <w:sz w:val="24"/>
                <w:highlight w:val="none"/>
              </w:rPr>
              <w:t>2.3</w:t>
            </w:r>
          </w:p>
        </w:tc>
        <w:tc>
          <w:tcPr>
            <w:tcW w:w="1251" w:type="dxa"/>
            <w:tcBorders>
              <w:top w:val="single" w:color="auto" w:sz="4" w:space="0"/>
              <w:left w:val="single" w:color="auto" w:sz="4" w:space="0"/>
              <w:bottom w:val="single" w:color="auto" w:sz="4" w:space="0"/>
              <w:right w:val="single" w:color="auto" w:sz="4" w:space="0"/>
            </w:tcBorders>
            <w:noWrap/>
            <w:vAlign w:val="center"/>
          </w:tcPr>
          <w:p w14:paraId="5FEA5900">
            <w:pPr>
              <w:widowControl/>
              <w:spacing w:line="360" w:lineRule="auto"/>
              <w:jc w:val="center"/>
              <w:rPr>
                <w:rFonts w:ascii="仿宋_GB2312" w:hAnsi="宋体" w:eastAsia="仿宋_GB2312"/>
                <w:bCs/>
                <w:color w:val="auto"/>
                <w:sz w:val="24"/>
                <w:highlight w:val="none"/>
              </w:rPr>
            </w:pPr>
            <w:r>
              <w:rPr>
                <w:rFonts w:hint="eastAsia" w:ascii="仿宋_GB2312" w:hAnsi="宋体" w:eastAsia="仿宋_GB2312"/>
                <w:bCs/>
                <w:color w:val="auto"/>
                <w:sz w:val="24"/>
                <w:highlight w:val="none"/>
              </w:rPr>
              <w:t>售后服务方案分</w:t>
            </w:r>
          </w:p>
        </w:tc>
        <w:tc>
          <w:tcPr>
            <w:tcW w:w="6361" w:type="dxa"/>
            <w:tcBorders>
              <w:top w:val="single" w:color="auto" w:sz="4" w:space="0"/>
              <w:left w:val="single" w:color="auto" w:sz="4" w:space="0"/>
              <w:bottom w:val="single" w:color="auto" w:sz="4" w:space="0"/>
              <w:right w:val="single" w:color="auto" w:sz="4" w:space="0"/>
            </w:tcBorders>
            <w:noWrap/>
            <w:vAlign w:val="center"/>
          </w:tcPr>
          <w:p w14:paraId="49AB7DD7">
            <w:pPr>
              <w:spacing w:line="360" w:lineRule="auto"/>
              <w:ind w:firstLine="480" w:firstLineChars="200"/>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一档（9分）：售后服务方案基本涵盖包括服务内容、响应时间、故障处理、服务质量保证等内容，内容描述简单、工作目标基本清晰、措施基本合理、方法得当，基本符合项目要求。</w:t>
            </w:r>
          </w:p>
          <w:p w14:paraId="09471E32">
            <w:pPr>
              <w:spacing w:line="360" w:lineRule="auto"/>
              <w:ind w:firstLine="480" w:firstLineChars="200"/>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二档（12分）：售后服务方案涵盖服务内容、响应时间、故障处理、服务质量保证等内容，内容描述较为明确、工作目标较为清晰、措施较为合理、方法较为得当，符合项目要求。</w:t>
            </w:r>
          </w:p>
          <w:p w14:paraId="4D65BEFA">
            <w:pPr>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s="Courier New"/>
                <w:bCs/>
                <w:color w:val="auto"/>
                <w:sz w:val="24"/>
                <w:highlight w:val="none"/>
              </w:rPr>
              <w:t>三档（15分）：售后服务方案完全涵盖服务内容、响应时间、故障处理、服务质量保证等内容，内容描述明确、工作目标清晰、措施合理、方法得当，完全符合项目要求。</w:t>
            </w:r>
          </w:p>
        </w:tc>
        <w:tc>
          <w:tcPr>
            <w:tcW w:w="778" w:type="dxa"/>
            <w:gridSpan w:val="2"/>
            <w:tcBorders>
              <w:top w:val="single" w:color="auto" w:sz="4" w:space="0"/>
              <w:left w:val="single" w:color="auto" w:sz="4" w:space="0"/>
              <w:bottom w:val="single" w:color="auto" w:sz="4" w:space="0"/>
              <w:right w:val="single" w:color="auto" w:sz="4" w:space="0"/>
            </w:tcBorders>
            <w:noWrap/>
            <w:vAlign w:val="center"/>
          </w:tcPr>
          <w:p w14:paraId="092D08A2">
            <w:pPr>
              <w:spacing w:line="360" w:lineRule="auto"/>
              <w:jc w:val="center"/>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15分</w:t>
            </w:r>
          </w:p>
        </w:tc>
      </w:tr>
      <w:tr w14:paraId="6B29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00" w:type="dxa"/>
            <w:tcBorders>
              <w:top w:val="single" w:color="auto" w:sz="4" w:space="0"/>
              <w:left w:val="single" w:color="auto" w:sz="4" w:space="0"/>
              <w:bottom w:val="single" w:color="auto" w:sz="4" w:space="0"/>
              <w:right w:val="single" w:color="auto" w:sz="4" w:space="0"/>
            </w:tcBorders>
            <w:noWrap/>
            <w:vAlign w:val="center"/>
          </w:tcPr>
          <w:p w14:paraId="451BBB8B">
            <w:pPr>
              <w:adjustRightInd w:val="0"/>
              <w:spacing w:line="360" w:lineRule="auto"/>
              <w:ind w:left="-105" w:leftChars="-50" w:right="-105" w:rightChars="-50"/>
              <w:jc w:val="center"/>
              <w:textAlignment w:val="baseline"/>
              <w:rPr>
                <w:rFonts w:ascii="仿宋_GB2312" w:hAnsi="宋体" w:eastAsia="仿宋_GB2312"/>
                <w:bCs/>
                <w:color w:val="auto"/>
                <w:kern w:val="0"/>
                <w:sz w:val="24"/>
                <w:highlight w:val="none"/>
              </w:rPr>
            </w:pPr>
            <w:r>
              <w:rPr>
                <w:rFonts w:hint="eastAsia" w:ascii="仿宋_GB2312" w:hAnsi="宋体" w:eastAsia="仿宋_GB2312"/>
                <w:bCs/>
                <w:color w:val="auto"/>
                <w:kern w:val="0"/>
                <w:sz w:val="24"/>
                <w:highlight w:val="none"/>
              </w:rPr>
              <w:t>2.4</w:t>
            </w:r>
          </w:p>
        </w:tc>
        <w:tc>
          <w:tcPr>
            <w:tcW w:w="1251" w:type="dxa"/>
            <w:tcBorders>
              <w:top w:val="single" w:color="auto" w:sz="4" w:space="0"/>
              <w:left w:val="single" w:color="auto" w:sz="4" w:space="0"/>
              <w:bottom w:val="single" w:color="auto" w:sz="4" w:space="0"/>
              <w:right w:val="single" w:color="auto" w:sz="4" w:space="0"/>
            </w:tcBorders>
            <w:noWrap/>
            <w:vAlign w:val="center"/>
          </w:tcPr>
          <w:p w14:paraId="27B37F43">
            <w:pPr>
              <w:adjustRightInd w:val="0"/>
              <w:spacing w:line="360" w:lineRule="auto"/>
              <w:jc w:val="center"/>
              <w:textAlignment w:val="baseline"/>
              <w:rPr>
                <w:rFonts w:ascii="仿宋_GB2312" w:hAnsi="宋体" w:eastAsia="仿宋_GB2312"/>
                <w:bCs/>
                <w:color w:val="auto"/>
                <w:kern w:val="0"/>
                <w:sz w:val="24"/>
                <w:highlight w:val="none"/>
              </w:rPr>
            </w:pPr>
            <w:r>
              <w:rPr>
                <w:rFonts w:hint="eastAsia" w:ascii="仿宋_GB2312" w:hAnsi="宋体" w:eastAsia="仿宋_GB2312"/>
                <w:bCs/>
                <w:color w:val="auto"/>
                <w:kern w:val="0"/>
                <w:sz w:val="24"/>
                <w:highlight w:val="none"/>
              </w:rPr>
              <w:t>履约能力分</w:t>
            </w:r>
          </w:p>
        </w:tc>
        <w:tc>
          <w:tcPr>
            <w:tcW w:w="6361" w:type="dxa"/>
            <w:tcBorders>
              <w:top w:val="single" w:color="auto" w:sz="4" w:space="0"/>
              <w:left w:val="single" w:color="auto" w:sz="4" w:space="0"/>
              <w:bottom w:val="single" w:color="auto" w:sz="4" w:space="0"/>
              <w:right w:val="single" w:color="auto" w:sz="4" w:space="0"/>
            </w:tcBorders>
            <w:noWrap/>
            <w:vAlign w:val="center"/>
          </w:tcPr>
          <w:p w14:paraId="40582587">
            <w:pPr>
              <w:adjustRightInd w:val="0"/>
              <w:snapToGrid w:val="0"/>
              <w:spacing w:line="360" w:lineRule="auto"/>
              <w:ind w:firstLine="480" w:firstLineChars="200"/>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（1）供应商承诺成交后，当系统出现问题时，技术运维人员在1小时内到达现场解决问题的，得2分。</w:t>
            </w:r>
          </w:p>
          <w:p w14:paraId="3307A33A">
            <w:pPr>
              <w:adjustRightInd w:val="0"/>
              <w:snapToGrid w:val="0"/>
              <w:spacing w:line="360" w:lineRule="auto"/>
              <w:ind w:firstLine="480" w:firstLineChars="200"/>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（2）供应商承诺成交后，配备本地化专业技术人员3-4人的，得3分；配备本地化专业技术人员5人及以上的，得6分，满分6分。</w:t>
            </w:r>
          </w:p>
          <w:p w14:paraId="081D7F34">
            <w:pPr>
              <w:adjustRightInd w:val="0"/>
              <w:snapToGrid w:val="0"/>
              <w:spacing w:line="360" w:lineRule="auto"/>
              <w:ind w:firstLine="480" w:firstLineChars="200"/>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注：本项满分8分。报价文件中须提供拟派本地化运维服务人员名单，否则不得分。</w:t>
            </w:r>
          </w:p>
        </w:tc>
        <w:tc>
          <w:tcPr>
            <w:tcW w:w="778" w:type="dxa"/>
            <w:gridSpan w:val="2"/>
            <w:tcBorders>
              <w:top w:val="single" w:color="auto" w:sz="4" w:space="0"/>
              <w:left w:val="single" w:color="auto" w:sz="4" w:space="0"/>
              <w:bottom w:val="single" w:color="auto" w:sz="4" w:space="0"/>
              <w:right w:val="single" w:color="auto" w:sz="4" w:space="0"/>
            </w:tcBorders>
            <w:noWrap/>
            <w:vAlign w:val="center"/>
          </w:tcPr>
          <w:p w14:paraId="7B8C2978">
            <w:pPr>
              <w:spacing w:line="360" w:lineRule="auto"/>
              <w:jc w:val="center"/>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8分</w:t>
            </w:r>
          </w:p>
        </w:tc>
      </w:tr>
      <w:tr w14:paraId="69593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00" w:type="dxa"/>
            <w:tcBorders>
              <w:top w:val="single" w:color="auto" w:sz="4" w:space="0"/>
              <w:left w:val="single" w:color="auto" w:sz="4" w:space="0"/>
              <w:bottom w:val="single" w:color="auto" w:sz="4" w:space="0"/>
              <w:right w:val="single" w:color="auto" w:sz="4" w:space="0"/>
            </w:tcBorders>
            <w:noWrap/>
            <w:vAlign w:val="center"/>
          </w:tcPr>
          <w:p w14:paraId="35E45C8A">
            <w:pPr>
              <w:adjustRightInd w:val="0"/>
              <w:spacing w:line="360" w:lineRule="auto"/>
              <w:ind w:left="-105" w:leftChars="-50" w:right="-105" w:rightChars="-50"/>
              <w:jc w:val="center"/>
              <w:textAlignment w:val="baseline"/>
              <w:rPr>
                <w:rFonts w:ascii="仿宋_GB2312" w:hAnsi="宋体" w:eastAsia="仿宋_GB2312"/>
                <w:bCs/>
                <w:color w:val="auto"/>
                <w:kern w:val="0"/>
                <w:sz w:val="24"/>
                <w:highlight w:val="none"/>
              </w:rPr>
            </w:pPr>
            <w:r>
              <w:rPr>
                <w:rFonts w:hint="eastAsia" w:ascii="仿宋_GB2312" w:hAnsi="宋体" w:eastAsia="仿宋_GB2312"/>
                <w:bCs/>
                <w:color w:val="auto"/>
                <w:kern w:val="0"/>
                <w:sz w:val="24"/>
                <w:highlight w:val="none"/>
              </w:rPr>
              <w:t>2.5</w:t>
            </w:r>
          </w:p>
        </w:tc>
        <w:tc>
          <w:tcPr>
            <w:tcW w:w="1251" w:type="dxa"/>
            <w:tcBorders>
              <w:top w:val="single" w:color="auto" w:sz="4" w:space="0"/>
              <w:left w:val="single" w:color="auto" w:sz="4" w:space="0"/>
              <w:bottom w:val="single" w:color="auto" w:sz="4" w:space="0"/>
              <w:right w:val="single" w:color="auto" w:sz="4" w:space="0"/>
            </w:tcBorders>
            <w:noWrap/>
            <w:vAlign w:val="center"/>
          </w:tcPr>
          <w:p w14:paraId="33DAD0B3">
            <w:pPr>
              <w:adjustRightInd w:val="0"/>
              <w:spacing w:line="360" w:lineRule="auto"/>
              <w:jc w:val="center"/>
              <w:textAlignment w:val="baseline"/>
              <w:rPr>
                <w:rFonts w:ascii="仿宋_GB2312" w:hAnsi="宋体" w:eastAsia="仿宋_GB2312"/>
                <w:bCs/>
                <w:color w:val="auto"/>
                <w:kern w:val="0"/>
                <w:sz w:val="24"/>
                <w:highlight w:val="none"/>
              </w:rPr>
            </w:pPr>
            <w:r>
              <w:rPr>
                <w:rFonts w:hint="eastAsia" w:ascii="仿宋_GB2312" w:hAnsi="宋体" w:eastAsia="仿宋_GB2312"/>
                <w:bCs/>
                <w:color w:val="auto"/>
                <w:kern w:val="0"/>
                <w:sz w:val="24"/>
                <w:highlight w:val="none"/>
              </w:rPr>
              <w:t>人员配置分</w:t>
            </w:r>
          </w:p>
        </w:tc>
        <w:tc>
          <w:tcPr>
            <w:tcW w:w="6361" w:type="dxa"/>
            <w:tcBorders>
              <w:top w:val="single" w:color="auto" w:sz="4" w:space="0"/>
              <w:left w:val="single" w:color="auto" w:sz="4" w:space="0"/>
              <w:bottom w:val="single" w:color="auto" w:sz="4" w:space="0"/>
              <w:right w:val="single" w:color="auto" w:sz="4" w:space="0"/>
            </w:tcBorders>
            <w:noWrap/>
            <w:vAlign w:val="center"/>
          </w:tcPr>
          <w:p w14:paraId="72965671">
            <w:pPr>
              <w:adjustRightInd w:val="0"/>
              <w:snapToGrid w:val="0"/>
              <w:spacing w:line="360" w:lineRule="auto"/>
              <w:ind w:firstLine="480" w:firstLineChars="200"/>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（1）项目经理：具有国家人力资源和社会保障部、工业和信息化部联合颁发的信息系统项目管理工程师或系统集成项目管理工程师证书的，得3分。</w:t>
            </w:r>
          </w:p>
          <w:p w14:paraId="12CBFE4F">
            <w:pPr>
              <w:adjustRightInd w:val="0"/>
              <w:snapToGrid w:val="0"/>
              <w:spacing w:line="360" w:lineRule="auto"/>
              <w:ind w:firstLine="480" w:firstLineChars="200"/>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（2）技术负责人：具有交通运输、信息化或计算机类相关专业中级职称及以上的，得2分。</w:t>
            </w:r>
          </w:p>
          <w:p w14:paraId="652FB02F">
            <w:pPr>
              <w:adjustRightInd w:val="0"/>
              <w:snapToGrid w:val="0"/>
              <w:spacing w:line="360" w:lineRule="auto"/>
              <w:ind w:firstLine="480" w:firstLineChars="200"/>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（3）项目团队成员（项目经理、技术负责人除外）按以下资质计分，同一人员不重复计分，满分10分。其中：</w:t>
            </w:r>
          </w:p>
          <w:p w14:paraId="754A9354">
            <w:pPr>
              <w:adjustRightInd w:val="0"/>
              <w:snapToGrid w:val="0"/>
              <w:spacing w:line="360" w:lineRule="auto"/>
              <w:ind w:firstLine="480" w:firstLineChars="200"/>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a.具有国家人力资源和社会保障部、工业和信息化部联合颁发的计算机技术与软件专业技术资格中级及以上资格证书的，每人得1分；</w:t>
            </w:r>
          </w:p>
          <w:p w14:paraId="6055D43C">
            <w:pPr>
              <w:adjustRightInd w:val="0"/>
              <w:snapToGrid w:val="0"/>
              <w:spacing w:line="360" w:lineRule="auto"/>
              <w:ind w:firstLine="480" w:firstLineChars="200"/>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b.具有国家工信部门颁发的信息技术应用创新专业证书，每人得1分；</w:t>
            </w:r>
          </w:p>
          <w:p w14:paraId="5337BDBB">
            <w:pPr>
              <w:adjustRightInd w:val="0"/>
              <w:snapToGrid w:val="0"/>
              <w:spacing w:line="360" w:lineRule="auto"/>
              <w:ind w:firstLine="480" w:firstLineChars="200"/>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c.具有东方通产品、金蝶或其他国产应用服务中间件认证证书的，每人得1分；</w:t>
            </w:r>
          </w:p>
          <w:p w14:paraId="53C24E75">
            <w:pPr>
              <w:adjustRightInd w:val="0"/>
              <w:snapToGrid w:val="0"/>
              <w:spacing w:line="360" w:lineRule="auto"/>
              <w:ind w:firstLine="480" w:firstLineChars="200"/>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d.具有达梦数据库、人大金仓、海量等国产数据库认证证书人员的，每人得1分。</w:t>
            </w:r>
          </w:p>
          <w:p w14:paraId="1E2BA745">
            <w:pPr>
              <w:adjustRightInd w:val="0"/>
              <w:snapToGrid w:val="0"/>
              <w:spacing w:line="360" w:lineRule="auto"/>
              <w:ind w:firstLine="480" w:firstLineChars="200"/>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注：本项满分15分。须提供拟投入人员名单并列明岗位及具备的资质证书；同时，提供相应资质证书扫描件、近半年内连续3个月的社保证明材料或劳动合同扫描件并加盖单位公章。</w:t>
            </w:r>
          </w:p>
        </w:tc>
        <w:tc>
          <w:tcPr>
            <w:tcW w:w="778" w:type="dxa"/>
            <w:gridSpan w:val="2"/>
            <w:tcBorders>
              <w:top w:val="single" w:color="auto" w:sz="4" w:space="0"/>
              <w:left w:val="single" w:color="auto" w:sz="4" w:space="0"/>
              <w:bottom w:val="single" w:color="auto" w:sz="4" w:space="0"/>
              <w:right w:val="single" w:color="auto" w:sz="4" w:space="0"/>
            </w:tcBorders>
            <w:noWrap/>
            <w:vAlign w:val="center"/>
          </w:tcPr>
          <w:p w14:paraId="0C7A2BD3">
            <w:pPr>
              <w:spacing w:line="360" w:lineRule="auto"/>
              <w:jc w:val="center"/>
              <w:rPr>
                <w:rFonts w:ascii="仿宋_GB2312" w:hAnsi="宋体" w:eastAsia="仿宋_GB2312" w:cs="Tahoma"/>
                <w:color w:val="auto"/>
                <w:kern w:val="0"/>
                <w:sz w:val="24"/>
                <w:highlight w:val="none"/>
                <w:u w:val="single"/>
              </w:rPr>
            </w:pPr>
            <w:r>
              <w:rPr>
                <w:rFonts w:hint="eastAsia" w:ascii="仿宋_GB2312" w:hAnsi="宋体" w:eastAsia="仿宋_GB2312" w:cs="Tahoma"/>
                <w:color w:val="auto"/>
                <w:kern w:val="0"/>
                <w:sz w:val="24"/>
                <w:highlight w:val="none"/>
              </w:rPr>
              <w:t>15分</w:t>
            </w:r>
          </w:p>
        </w:tc>
      </w:tr>
      <w:tr w14:paraId="0255C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00" w:type="dxa"/>
            <w:tcBorders>
              <w:top w:val="single" w:color="auto" w:sz="4" w:space="0"/>
              <w:left w:val="single" w:color="auto" w:sz="4" w:space="0"/>
              <w:bottom w:val="single" w:color="auto" w:sz="4" w:space="0"/>
              <w:right w:val="single" w:color="auto" w:sz="4" w:space="0"/>
            </w:tcBorders>
            <w:noWrap/>
            <w:vAlign w:val="center"/>
          </w:tcPr>
          <w:p w14:paraId="1A4D9921">
            <w:pPr>
              <w:widowControl/>
              <w:spacing w:line="360" w:lineRule="auto"/>
              <w:jc w:val="center"/>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3</w:t>
            </w:r>
          </w:p>
        </w:tc>
        <w:tc>
          <w:tcPr>
            <w:tcW w:w="1251" w:type="dxa"/>
            <w:tcBorders>
              <w:top w:val="single" w:color="auto" w:sz="4" w:space="0"/>
              <w:left w:val="single" w:color="auto" w:sz="4" w:space="0"/>
              <w:bottom w:val="single" w:color="auto" w:sz="4" w:space="0"/>
              <w:right w:val="single" w:color="auto" w:sz="4" w:space="0"/>
            </w:tcBorders>
            <w:noWrap/>
            <w:vAlign w:val="center"/>
          </w:tcPr>
          <w:p w14:paraId="55EA5AD2">
            <w:pPr>
              <w:widowControl/>
              <w:spacing w:line="360" w:lineRule="auto"/>
              <w:jc w:val="center"/>
              <w:rPr>
                <w:rFonts w:ascii="仿宋_GB2312" w:hAnsi="宋体" w:eastAsia="仿宋_GB2312" w:cs="Courier New"/>
                <w:bCs/>
                <w:color w:val="auto"/>
                <w:sz w:val="24"/>
                <w:highlight w:val="none"/>
              </w:rPr>
            </w:pPr>
            <w:r>
              <w:rPr>
                <w:rFonts w:hint="eastAsia" w:ascii="仿宋_GB2312" w:hAnsi="宋体" w:eastAsia="仿宋_GB2312" w:cs="Courier New"/>
                <w:bCs/>
                <w:color w:val="auto"/>
                <w:sz w:val="24"/>
                <w:highlight w:val="none"/>
              </w:rPr>
              <w:t>商务分</w:t>
            </w:r>
          </w:p>
        </w:tc>
        <w:tc>
          <w:tcPr>
            <w:tcW w:w="6379" w:type="dxa"/>
            <w:gridSpan w:val="2"/>
            <w:tcBorders>
              <w:top w:val="single" w:color="auto" w:sz="4" w:space="0"/>
              <w:left w:val="single" w:color="auto" w:sz="4" w:space="0"/>
              <w:bottom w:val="single" w:color="auto" w:sz="4" w:space="0"/>
              <w:right w:val="single" w:color="auto" w:sz="4" w:space="0"/>
            </w:tcBorders>
            <w:noWrap/>
            <w:vAlign w:val="center"/>
          </w:tcPr>
          <w:p w14:paraId="27F86FA1">
            <w:pPr>
              <w:widowControl/>
              <w:spacing w:line="360" w:lineRule="auto"/>
              <w:jc w:val="center"/>
              <w:rPr>
                <w:rFonts w:ascii="仿宋_GB2312" w:hAnsi="宋体" w:eastAsia="仿宋_GB2312" w:cs="宋体"/>
                <w:color w:val="auto"/>
                <w:kern w:val="0"/>
                <w:sz w:val="24"/>
                <w:highlight w:val="none"/>
              </w:rPr>
            </w:pPr>
            <w:r>
              <w:rPr>
                <w:rFonts w:hint="eastAsia" w:ascii="仿宋_GB2312" w:hAnsi="宋体" w:eastAsia="仿宋_GB2312" w:cs="宋体"/>
                <w:color w:val="auto"/>
                <w:kern w:val="0"/>
                <w:sz w:val="24"/>
                <w:highlight w:val="none"/>
              </w:rPr>
              <w:t>评审因素</w:t>
            </w:r>
          </w:p>
        </w:tc>
        <w:tc>
          <w:tcPr>
            <w:tcW w:w="760" w:type="dxa"/>
            <w:tcBorders>
              <w:top w:val="single" w:color="auto" w:sz="4" w:space="0"/>
              <w:left w:val="single" w:color="auto" w:sz="4" w:space="0"/>
              <w:bottom w:val="single" w:color="auto" w:sz="4" w:space="0"/>
              <w:right w:val="single" w:color="auto" w:sz="4" w:space="0"/>
            </w:tcBorders>
            <w:vAlign w:val="center"/>
          </w:tcPr>
          <w:p w14:paraId="1354FAB9">
            <w:pPr>
              <w:widowControl/>
              <w:spacing w:line="360" w:lineRule="auto"/>
              <w:jc w:val="center"/>
              <w:rPr>
                <w:rFonts w:ascii="仿宋_GB2312" w:hAnsi="宋体" w:eastAsia="仿宋_GB2312" w:cs="宋体"/>
                <w:color w:val="auto"/>
                <w:kern w:val="0"/>
                <w:sz w:val="24"/>
                <w:highlight w:val="none"/>
              </w:rPr>
            </w:pPr>
            <w:r>
              <w:rPr>
                <w:rFonts w:hint="eastAsia" w:ascii="仿宋_GB2312" w:hAnsi="宋体" w:eastAsia="仿宋_GB2312" w:cs="Courier New"/>
                <w:bCs/>
                <w:color w:val="auto"/>
                <w:sz w:val="24"/>
                <w:highlight w:val="none"/>
              </w:rPr>
              <w:t>20分</w:t>
            </w:r>
          </w:p>
        </w:tc>
      </w:tr>
      <w:tr w14:paraId="7F24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6" w:hRule="atLeast"/>
          <w:jc w:val="center"/>
        </w:trPr>
        <w:tc>
          <w:tcPr>
            <w:tcW w:w="700" w:type="dxa"/>
            <w:tcBorders>
              <w:top w:val="single" w:color="auto" w:sz="4" w:space="0"/>
              <w:left w:val="single" w:color="auto" w:sz="4" w:space="0"/>
              <w:bottom w:val="single" w:color="auto" w:sz="4" w:space="0"/>
              <w:right w:val="single" w:color="auto" w:sz="4" w:space="0"/>
            </w:tcBorders>
            <w:noWrap/>
            <w:vAlign w:val="center"/>
          </w:tcPr>
          <w:p w14:paraId="0175784C">
            <w:pPr>
              <w:widowControl/>
              <w:spacing w:line="360" w:lineRule="auto"/>
              <w:jc w:val="center"/>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3.1</w:t>
            </w:r>
          </w:p>
        </w:tc>
        <w:tc>
          <w:tcPr>
            <w:tcW w:w="1251" w:type="dxa"/>
            <w:tcBorders>
              <w:top w:val="single" w:color="auto" w:sz="4" w:space="0"/>
              <w:left w:val="single" w:color="auto" w:sz="4" w:space="0"/>
              <w:bottom w:val="single" w:color="auto" w:sz="4" w:space="0"/>
              <w:right w:val="single" w:color="auto" w:sz="4" w:space="0"/>
            </w:tcBorders>
            <w:noWrap/>
            <w:vAlign w:val="center"/>
          </w:tcPr>
          <w:p w14:paraId="7ABEB753">
            <w:pPr>
              <w:widowControl/>
              <w:jc w:val="center"/>
              <w:textAlignment w:val="center"/>
              <w:rPr>
                <w:rFonts w:ascii="仿宋_GB2312" w:hAnsi="宋体" w:eastAsia="仿宋_GB2312" w:cs="宋体"/>
                <w:color w:val="auto"/>
                <w:sz w:val="24"/>
                <w:highlight w:val="none"/>
              </w:rPr>
            </w:pPr>
            <w:r>
              <w:rPr>
                <w:rFonts w:hint="eastAsia" w:ascii="仿宋_GB2312" w:hAnsi="宋体" w:eastAsia="仿宋_GB2312" w:cs="Courier New"/>
                <w:bCs/>
                <w:color w:val="auto"/>
                <w:sz w:val="24"/>
                <w:highlight w:val="none"/>
              </w:rPr>
              <w:t>信誉分</w:t>
            </w:r>
          </w:p>
        </w:tc>
        <w:tc>
          <w:tcPr>
            <w:tcW w:w="6361" w:type="dxa"/>
            <w:tcBorders>
              <w:top w:val="single" w:color="auto" w:sz="4" w:space="0"/>
              <w:left w:val="single" w:color="auto" w:sz="4" w:space="0"/>
              <w:bottom w:val="single" w:color="auto" w:sz="4" w:space="0"/>
              <w:right w:val="single" w:color="auto" w:sz="4" w:space="0"/>
            </w:tcBorders>
            <w:noWrap/>
            <w:vAlign w:val="center"/>
          </w:tcPr>
          <w:p w14:paraId="1AB014DB">
            <w:pPr>
              <w:numPr>
                <w:ilvl w:val="0"/>
                <w:numId w:val="1"/>
              </w:numPr>
              <w:spacing w:line="380" w:lineRule="exact"/>
              <w:ind w:firstLine="480" w:firstLineChars="200"/>
              <w:rPr>
                <w:rFonts w:hint="default" w:ascii="仿宋_GB2312" w:hAnsi="宋体" w:eastAsia="仿宋_GB2312"/>
                <w:color w:val="auto"/>
                <w:sz w:val="24"/>
                <w:highlight w:val="none"/>
              </w:rPr>
            </w:pPr>
            <w:r>
              <w:rPr>
                <w:rFonts w:hint="eastAsia" w:ascii="仿宋_GB2312" w:hAnsi="宋体" w:eastAsia="仿宋_GB2312"/>
                <w:color w:val="auto"/>
                <w:sz w:val="24"/>
                <w:highlight w:val="none"/>
              </w:rPr>
              <w:t>供应商具有</w:t>
            </w:r>
            <w:r>
              <w:rPr>
                <w:rFonts w:hint="eastAsia" w:ascii="仿宋_GB2312" w:hAnsi="宋体" w:eastAsia="仿宋_GB2312"/>
                <w:color w:val="auto"/>
                <w:sz w:val="24"/>
                <w:highlight w:val="none"/>
                <w:lang w:val="en-US" w:eastAsia="zh-CN"/>
              </w:rPr>
              <w:t>同类的</w:t>
            </w:r>
            <w:r>
              <w:rPr>
                <w:rFonts w:hint="eastAsia" w:ascii="仿宋_GB2312" w:hAnsi="宋体" w:eastAsia="仿宋_GB2312"/>
                <w:color w:val="auto"/>
                <w:sz w:val="24"/>
                <w:highlight w:val="none"/>
              </w:rPr>
              <w:t>计算机软件著作权证书的，每提供一项得1分，本项满分</w:t>
            </w:r>
            <w:r>
              <w:rPr>
                <w:rFonts w:hint="eastAsia" w:ascii="仿宋_GB2312" w:hAnsi="宋体" w:eastAsia="仿宋_GB2312"/>
                <w:color w:val="auto"/>
                <w:sz w:val="24"/>
                <w:highlight w:val="none"/>
                <w:lang w:val="en-US" w:eastAsia="zh-CN"/>
              </w:rPr>
              <w:t>4</w:t>
            </w:r>
            <w:r>
              <w:rPr>
                <w:rFonts w:hint="eastAsia" w:ascii="仿宋_GB2312" w:hAnsi="宋体" w:eastAsia="仿宋_GB2312"/>
                <w:color w:val="auto"/>
                <w:sz w:val="24"/>
                <w:highlight w:val="none"/>
              </w:rPr>
              <w:t>分</w:t>
            </w:r>
            <w:r>
              <w:rPr>
                <w:rFonts w:hint="eastAsia" w:ascii="仿宋_GB2312" w:hAnsi="宋体" w:eastAsia="仿宋_GB2312"/>
                <w:color w:val="auto"/>
                <w:sz w:val="24"/>
                <w:highlight w:val="none"/>
                <w:lang w:val="en-US" w:eastAsia="zh-CN"/>
              </w:rPr>
              <w:t xml:space="preserve">。  </w:t>
            </w:r>
          </w:p>
          <w:p w14:paraId="59CA12A1">
            <w:pPr>
              <w:spacing w:line="38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（2）供应商具有质量管理体系认证证书、信息技术服务管理体系认证证书、信息安全管理体系认证证书，每个得2分，满分6分。</w:t>
            </w:r>
          </w:p>
          <w:p w14:paraId="26374581">
            <w:pPr>
              <w:spacing w:line="380" w:lineRule="exact"/>
              <w:ind w:firstLine="480" w:firstLineChars="200"/>
              <w:jc w:val="left"/>
              <w:rPr>
                <w:rFonts w:ascii="仿宋_GB2312" w:hAnsi="宋体" w:eastAsia="仿宋_GB2312" w:cs="Courier New"/>
                <w:bCs/>
                <w:color w:val="auto"/>
                <w:kern w:val="0"/>
                <w:sz w:val="24"/>
                <w:highlight w:val="none"/>
              </w:rPr>
            </w:pPr>
            <w:r>
              <w:rPr>
                <w:rFonts w:hint="eastAsia" w:ascii="仿宋_GB2312" w:hAnsi="宋体" w:eastAsia="仿宋_GB2312" w:cs="Courier New"/>
                <w:bCs/>
                <w:color w:val="auto"/>
                <w:sz w:val="24"/>
                <w:highlight w:val="none"/>
              </w:rPr>
              <w:t>注：本项满分10分。须提供相应证书扫描件并加盖公章。</w:t>
            </w:r>
          </w:p>
        </w:tc>
        <w:tc>
          <w:tcPr>
            <w:tcW w:w="778" w:type="dxa"/>
            <w:gridSpan w:val="2"/>
            <w:tcBorders>
              <w:top w:val="single" w:color="auto" w:sz="4" w:space="0"/>
              <w:left w:val="single" w:color="auto" w:sz="4" w:space="0"/>
              <w:bottom w:val="single" w:color="auto" w:sz="4" w:space="0"/>
              <w:right w:val="single" w:color="auto" w:sz="4" w:space="0"/>
            </w:tcBorders>
            <w:noWrap/>
            <w:vAlign w:val="center"/>
          </w:tcPr>
          <w:p w14:paraId="7690F051">
            <w:pPr>
              <w:widowControl/>
              <w:spacing w:line="360" w:lineRule="auto"/>
              <w:jc w:val="center"/>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10分</w:t>
            </w:r>
          </w:p>
        </w:tc>
      </w:tr>
      <w:tr w14:paraId="229DF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700" w:type="dxa"/>
            <w:tcBorders>
              <w:top w:val="single" w:color="auto" w:sz="4" w:space="0"/>
              <w:left w:val="single" w:color="auto" w:sz="4" w:space="0"/>
              <w:bottom w:val="single" w:color="auto" w:sz="4" w:space="0"/>
              <w:right w:val="single" w:color="auto" w:sz="4" w:space="0"/>
            </w:tcBorders>
            <w:noWrap/>
            <w:vAlign w:val="center"/>
          </w:tcPr>
          <w:p w14:paraId="0AC4843E">
            <w:pPr>
              <w:widowControl/>
              <w:spacing w:line="360" w:lineRule="auto"/>
              <w:jc w:val="center"/>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3.2</w:t>
            </w:r>
          </w:p>
        </w:tc>
        <w:tc>
          <w:tcPr>
            <w:tcW w:w="1251" w:type="dxa"/>
            <w:tcBorders>
              <w:top w:val="single" w:color="auto" w:sz="4" w:space="0"/>
              <w:left w:val="single" w:color="auto" w:sz="4" w:space="0"/>
              <w:bottom w:val="single" w:color="auto" w:sz="4" w:space="0"/>
              <w:right w:val="single" w:color="auto" w:sz="4" w:space="0"/>
            </w:tcBorders>
            <w:noWrap/>
            <w:vAlign w:val="center"/>
          </w:tcPr>
          <w:p w14:paraId="58F3376F">
            <w:pPr>
              <w:widowControl/>
              <w:jc w:val="center"/>
              <w:textAlignment w:val="center"/>
              <w:rPr>
                <w:rFonts w:ascii="仿宋_GB2312" w:hAnsi="宋体" w:eastAsia="仿宋_GB2312" w:cs="宋体"/>
                <w:color w:val="auto"/>
                <w:sz w:val="24"/>
                <w:highlight w:val="none"/>
              </w:rPr>
            </w:pPr>
            <w:r>
              <w:rPr>
                <w:rFonts w:hint="eastAsia" w:ascii="仿宋_GB2312" w:hAnsi="宋体" w:eastAsia="仿宋_GB2312" w:cs="Courier New"/>
                <w:bCs/>
                <w:color w:val="auto"/>
                <w:sz w:val="24"/>
                <w:highlight w:val="none"/>
              </w:rPr>
              <w:t>项目业绩分</w:t>
            </w:r>
          </w:p>
        </w:tc>
        <w:tc>
          <w:tcPr>
            <w:tcW w:w="6361" w:type="dxa"/>
            <w:tcBorders>
              <w:top w:val="single" w:color="auto" w:sz="4" w:space="0"/>
              <w:left w:val="single" w:color="auto" w:sz="4" w:space="0"/>
              <w:bottom w:val="single" w:color="auto" w:sz="4" w:space="0"/>
              <w:right w:val="single" w:color="auto" w:sz="4" w:space="0"/>
            </w:tcBorders>
            <w:noWrap/>
            <w:vAlign w:val="center"/>
          </w:tcPr>
          <w:p w14:paraId="5E1C426B">
            <w:pPr>
              <w:spacing w:line="38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自202</w:t>
            </w:r>
            <w:r>
              <w:rPr>
                <w:rFonts w:hint="eastAsia" w:ascii="仿宋_GB2312" w:hAnsi="宋体" w:eastAsia="仿宋_GB2312"/>
                <w:color w:val="auto"/>
                <w:sz w:val="24"/>
                <w:highlight w:val="none"/>
                <w:lang w:val="en-US" w:eastAsia="zh-CN"/>
              </w:rPr>
              <w:t>4</w:t>
            </w:r>
            <w:r>
              <w:rPr>
                <w:rFonts w:hint="eastAsia" w:ascii="仿宋_GB2312" w:hAnsi="宋体" w:eastAsia="仿宋_GB2312"/>
                <w:color w:val="auto"/>
                <w:sz w:val="24"/>
                <w:highlight w:val="none"/>
              </w:rPr>
              <w:t>年1月1日以来，供应商具有同类软件开发或维护项目业绩的，每个得1分，本项满分10分。</w:t>
            </w:r>
          </w:p>
          <w:p w14:paraId="73090EA2">
            <w:pPr>
              <w:spacing w:line="380" w:lineRule="exact"/>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注：须提供相应业绩的合同（包括封面页、合同内容关键页、签字盖章页）扫描件并加盖</w:t>
            </w:r>
            <w:r>
              <w:rPr>
                <w:rFonts w:hint="eastAsia" w:ascii="仿宋_GB2312" w:hAnsi="宋体" w:eastAsia="仿宋_GB2312" w:cs="Courier New"/>
                <w:bCs/>
                <w:color w:val="auto"/>
                <w:sz w:val="24"/>
                <w:highlight w:val="none"/>
              </w:rPr>
              <w:t>单位公章</w:t>
            </w:r>
            <w:r>
              <w:rPr>
                <w:rFonts w:hint="eastAsia" w:ascii="仿宋_GB2312" w:hAnsi="宋体" w:eastAsia="仿宋_GB2312"/>
                <w:color w:val="auto"/>
                <w:sz w:val="24"/>
                <w:highlight w:val="none"/>
              </w:rPr>
              <w:t>。</w:t>
            </w:r>
          </w:p>
        </w:tc>
        <w:tc>
          <w:tcPr>
            <w:tcW w:w="778" w:type="dxa"/>
            <w:gridSpan w:val="2"/>
            <w:tcBorders>
              <w:top w:val="single" w:color="auto" w:sz="4" w:space="0"/>
              <w:left w:val="single" w:color="auto" w:sz="4" w:space="0"/>
              <w:bottom w:val="single" w:color="auto" w:sz="4" w:space="0"/>
              <w:right w:val="single" w:color="auto" w:sz="4" w:space="0"/>
            </w:tcBorders>
            <w:noWrap/>
            <w:vAlign w:val="center"/>
          </w:tcPr>
          <w:p w14:paraId="019FD7BA">
            <w:pPr>
              <w:widowControl/>
              <w:spacing w:line="360" w:lineRule="auto"/>
              <w:jc w:val="center"/>
              <w:rPr>
                <w:rFonts w:ascii="仿宋_GB2312" w:hAnsi="宋体" w:eastAsia="仿宋_GB2312" w:cs="Tahoma"/>
                <w:color w:val="auto"/>
                <w:kern w:val="0"/>
                <w:sz w:val="24"/>
                <w:highlight w:val="none"/>
              </w:rPr>
            </w:pPr>
            <w:r>
              <w:rPr>
                <w:rFonts w:hint="eastAsia" w:ascii="仿宋_GB2312" w:hAnsi="宋体" w:eastAsia="仿宋_GB2312" w:cs="Tahoma"/>
                <w:color w:val="auto"/>
                <w:kern w:val="0"/>
                <w:sz w:val="24"/>
                <w:highlight w:val="none"/>
              </w:rPr>
              <w:t>10分</w:t>
            </w:r>
          </w:p>
        </w:tc>
      </w:tr>
      <w:tr w14:paraId="53A2D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090" w:type="dxa"/>
            <w:gridSpan w:val="5"/>
            <w:tcBorders>
              <w:top w:val="single" w:color="auto" w:sz="4" w:space="0"/>
              <w:left w:val="single" w:color="auto" w:sz="4" w:space="0"/>
              <w:bottom w:val="single" w:color="auto" w:sz="4" w:space="0"/>
              <w:right w:val="single" w:color="auto" w:sz="4" w:space="0"/>
            </w:tcBorders>
            <w:noWrap/>
          </w:tcPr>
          <w:p w14:paraId="0D7FB6BD">
            <w:pPr>
              <w:widowControl/>
              <w:jc w:val="center"/>
              <w:rPr>
                <w:rFonts w:ascii="仿宋_GB2312" w:hAnsi="宋体" w:eastAsia="仿宋_GB2312" w:cs="宋体"/>
                <w:color w:val="auto"/>
                <w:kern w:val="0"/>
                <w:sz w:val="24"/>
                <w:highlight w:val="none"/>
              </w:rPr>
            </w:pPr>
            <w:r>
              <w:rPr>
                <w:rFonts w:hint="eastAsia" w:ascii="仿宋_GB2312" w:hAnsi="宋体" w:eastAsia="仿宋_GB2312" w:cs="宋体"/>
                <w:b/>
                <w:color w:val="auto"/>
                <w:sz w:val="24"/>
                <w:highlight w:val="none"/>
              </w:rPr>
              <w:t>总得分＝1＋2＋3</w:t>
            </w:r>
          </w:p>
        </w:tc>
      </w:tr>
      <w:bookmarkEnd w:id="3"/>
    </w:tbl>
    <w:p w14:paraId="77015BA5">
      <w:pPr>
        <w:rPr>
          <w:rFonts w:ascii="仿宋" w:hAnsi="仿宋" w:eastAsia="仿宋"/>
          <w:color w:val="auto"/>
          <w:sz w:val="28"/>
          <w:szCs w:val="28"/>
          <w:highlight w:val="none"/>
        </w:rPr>
      </w:pPr>
    </w:p>
    <w:p w14:paraId="223B7319">
      <w:pPr>
        <w:ind w:left="3639" w:leftChars="266" w:hanging="3080" w:hangingChars="1100"/>
        <w:jc w:val="right"/>
        <w:rPr>
          <w:rFonts w:ascii="仿宋_GB2312" w:eastAsia="仿宋_GB2312"/>
          <w:b/>
          <w:color w:val="auto"/>
          <w:sz w:val="28"/>
          <w:szCs w:val="28"/>
          <w:highlight w:val="none"/>
        </w:rPr>
      </w:pPr>
      <w:r>
        <w:rPr>
          <w:rFonts w:hint="eastAsia" w:ascii="仿宋" w:hAnsi="仿宋" w:eastAsia="仿宋"/>
          <w:color w:val="auto"/>
          <w:sz w:val="28"/>
          <w:szCs w:val="28"/>
          <w:highlight w:val="none"/>
        </w:rPr>
        <w:t xml:space="preserve">                广西壮族自治区交通运输综合行政执法局2026年</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17</w:t>
      </w:r>
      <w:r>
        <w:rPr>
          <w:rFonts w:hint="eastAsia" w:ascii="仿宋" w:hAnsi="仿宋" w:eastAsia="仿宋"/>
          <w:color w:val="auto"/>
          <w:sz w:val="28"/>
          <w:szCs w:val="28"/>
          <w:highlight w:val="none"/>
        </w:rPr>
        <w:t>日</w:t>
      </w:r>
      <w:r>
        <w:rPr>
          <w:rFonts w:hint="eastAsia" w:ascii="仿宋_GB2312" w:eastAsia="仿宋_GB2312"/>
          <w:b/>
          <w:color w:val="auto"/>
          <w:sz w:val="28"/>
          <w:szCs w:val="28"/>
          <w:highlight w:val="none"/>
        </w:rPr>
        <w:br w:type="page"/>
      </w:r>
    </w:p>
    <w:p w14:paraId="39C97083">
      <w:pPr>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报价文件格式</w:t>
      </w:r>
    </w:p>
    <w:p w14:paraId="48D5D746">
      <w:pPr>
        <w:rPr>
          <w:rFonts w:ascii="仿宋_GB2312" w:hAnsi="宋体" w:eastAsia="仿宋_GB2312"/>
          <w:b/>
          <w:color w:val="auto"/>
          <w:sz w:val="28"/>
          <w:szCs w:val="21"/>
          <w:highlight w:val="none"/>
        </w:rPr>
      </w:pPr>
      <w:r>
        <w:rPr>
          <w:rFonts w:hint="eastAsia" w:ascii="仿宋_GB2312" w:hAnsi="宋体" w:eastAsia="仿宋_GB2312"/>
          <w:b/>
          <w:color w:val="auto"/>
          <w:sz w:val="28"/>
          <w:szCs w:val="21"/>
          <w:highlight w:val="none"/>
        </w:rPr>
        <w:t>一、声明书</w:t>
      </w:r>
    </w:p>
    <w:p w14:paraId="3A9AC441">
      <w:pPr>
        <w:rPr>
          <w:rFonts w:ascii="仿宋_GB2312" w:hAnsi="宋体" w:eastAsia="仿宋_GB2312"/>
          <w:b/>
          <w:color w:val="auto"/>
          <w:sz w:val="28"/>
          <w:szCs w:val="21"/>
          <w:highlight w:val="none"/>
        </w:rPr>
      </w:pPr>
      <w:r>
        <w:rPr>
          <w:rFonts w:hint="eastAsia" w:ascii="仿宋_GB2312" w:hAnsi="宋体" w:eastAsia="仿宋_GB2312"/>
          <w:b/>
          <w:color w:val="auto"/>
          <w:sz w:val="28"/>
          <w:szCs w:val="21"/>
          <w:highlight w:val="none"/>
        </w:rPr>
        <w:t>二、服务方案</w:t>
      </w:r>
    </w:p>
    <w:p w14:paraId="00276277">
      <w:pPr>
        <w:rPr>
          <w:rFonts w:ascii="仿宋_GB2312" w:hAnsi="宋体" w:eastAsia="仿宋_GB2312"/>
          <w:b/>
          <w:color w:val="auto"/>
          <w:sz w:val="28"/>
          <w:szCs w:val="21"/>
          <w:highlight w:val="none"/>
        </w:rPr>
      </w:pPr>
      <w:r>
        <w:rPr>
          <w:rFonts w:hint="eastAsia" w:ascii="仿宋_GB2312" w:hAnsi="宋体" w:eastAsia="仿宋_GB2312"/>
          <w:b/>
          <w:color w:val="auto"/>
          <w:sz w:val="28"/>
          <w:szCs w:val="21"/>
          <w:highlight w:val="none"/>
        </w:rPr>
        <w:t>三、报价表</w:t>
      </w:r>
    </w:p>
    <w:p w14:paraId="6DA6A5D0">
      <w:pPr>
        <w:rPr>
          <w:rFonts w:ascii="仿宋_GB2312" w:hAnsi="宋体" w:eastAsia="仿宋_GB2312"/>
          <w:b/>
          <w:color w:val="auto"/>
          <w:sz w:val="28"/>
          <w:szCs w:val="21"/>
          <w:highlight w:val="none"/>
        </w:rPr>
      </w:pPr>
      <w:r>
        <w:rPr>
          <w:rFonts w:hint="eastAsia" w:ascii="仿宋_GB2312" w:hAnsi="宋体" w:eastAsia="仿宋_GB2312"/>
          <w:b/>
          <w:color w:val="auto"/>
          <w:sz w:val="28"/>
          <w:szCs w:val="21"/>
          <w:highlight w:val="none"/>
        </w:rPr>
        <w:t>四、营业执照复印件</w:t>
      </w:r>
    </w:p>
    <w:p w14:paraId="4B6E6290">
      <w:pPr>
        <w:rPr>
          <w:rFonts w:ascii="仿宋_GB2312" w:hAnsi="宋体" w:eastAsia="仿宋_GB2312"/>
          <w:b/>
          <w:color w:val="auto"/>
          <w:sz w:val="28"/>
          <w:szCs w:val="21"/>
          <w:highlight w:val="none"/>
        </w:rPr>
      </w:pPr>
      <w:r>
        <w:rPr>
          <w:rFonts w:hint="eastAsia" w:ascii="仿宋_GB2312" w:hAnsi="宋体" w:eastAsia="仿宋_GB2312"/>
          <w:b/>
          <w:color w:val="auto"/>
          <w:sz w:val="28"/>
          <w:szCs w:val="21"/>
          <w:highlight w:val="none"/>
        </w:rPr>
        <w:t>五、法定代表人授权书（如非法定代表人报价请提供）</w:t>
      </w:r>
    </w:p>
    <w:p w14:paraId="48396383">
      <w:pPr>
        <w:rPr>
          <w:rFonts w:ascii="仿宋_GB2312" w:hAnsi="宋体" w:eastAsia="仿宋_GB2312"/>
          <w:b/>
          <w:color w:val="auto"/>
          <w:sz w:val="28"/>
          <w:szCs w:val="21"/>
          <w:highlight w:val="none"/>
        </w:rPr>
      </w:pPr>
      <w:r>
        <w:rPr>
          <w:rFonts w:hint="eastAsia" w:ascii="仿宋_GB2312" w:hAnsi="宋体" w:eastAsia="仿宋_GB2312"/>
          <w:b/>
          <w:color w:val="auto"/>
          <w:sz w:val="28"/>
          <w:szCs w:val="21"/>
          <w:highlight w:val="none"/>
        </w:rPr>
        <w:t>六、相关业绩证明材料</w:t>
      </w:r>
    </w:p>
    <w:p w14:paraId="0816E8B0">
      <w:pPr>
        <w:rPr>
          <w:rFonts w:ascii="仿宋_GB2312" w:hAnsi="宋体" w:eastAsia="仿宋_GB2312"/>
          <w:b/>
          <w:color w:val="auto"/>
          <w:sz w:val="28"/>
          <w:szCs w:val="21"/>
          <w:highlight w:val="none"/>
        </w:rPr>
      </w:pPr>
      <w:r>
        <w:rPr>
          <w:rFonts w:hint="eastAsia" w:ascii="仿宋_GB2312" w:hAnsi="宋体" w:eastAsia="仿宋_GB2312"/>
          <w:b/>
          <w:color w:val="auto"/>
          <w:sz w:val="28"/>
          <w:szCs w:val="21"/>
          <w:highlight w:val="none"/>
        </w:rPr>
        <w:t>七、其他需要提供的材料</w:t>
      </w:r>
    </w:p>
    <w:p w14:paraId="0812320F">
      <w:pPr>
        <w:rPr>
          <w:rFonts w:ascii="仿宋_GB2312" w:hAnsi="宋体" w:eastAsia="仿宋_GB2312"/>
          <w:b/>
          <w:color w:val="auto"/>
          <w:sz w:val="28"/>
          <w:szCs w:val="21"/>
          <w:highlight w:val="none"/>
        </w:rPr>
      </w:pPr>
    </w:p>
    <w:p w14:paraId="59140CDC">
      <w:pPr>
        <w:rPr>
          <w:rFonts w:ascii="仿宋_GB2312" w:hAnsi="宋体" w:eastAsia="仿宋_GB2312"/>
          <w:b/>
          <w:color w:val="auto"/>
          <w:sz w:val="28"/>
          <w:szCs w:val="21"/>
          <w:highlight w:val="none"/>
        </w:rPr>
      </w:pPr>
    </w:p>
    <w:p w14:paraId="611DF45A">
      <w:pPr>
        <w:rPr>
          <w:rFonts w:ascii="仿宋_GB2312" w:hAnsi="宋体" w:eastAsia="仿宋_GB2312"/>
          <w:b/>
          <w:color w:val="auto"/>
          <w:sz w:val="28"/>
          <w:szCs w:val="21"/>
          <w:highlight w:val="none"/>
        </w:rPr>
      </w:pPr>
    </w:p>
    <w:p w14:paraId="0F74AEF9">
      <w:pPr>
        <w:rPr>
          <w:rFonts w:ascii="仿宋_GB2312" w:hAnsi="宋体" w:eastAsia="仿宋_GB2312"/>
          <w:b/>
          <w:color w:val="auto"/>
          <w:sz w:val="28"/>
          <w:szCs w:val="21"/>
          <w:highlight w:val="none"/>
        </w:rPr>
      </w:pPr>
    </w:p>
    <w:p w14:paraId="10BD20F6">
      <w:pPr>
        <w:rPr>
          <w:rFonts w:ascii="仿宋_GB2312" w:hAnsi="宋体" w:eastAsia="仿宋_GB2312"/>
          <w:b/>
          <w:color w:val="auto"/>
          <w:sz w:val="28"/>
          <w:szCs w:val="21"/>
          <w:highlight w:val="none"/>
        </w:rPr>
      </w:pPr>
    </w:p>
    <w:p w14:paraId="383C282D">
      <w:pPr>
        <w:rPr>
          <w:rFonts w:ascii="仿宋_GB2312" w:hAnsi="宋体" w:eastAsia="仿宋_GB2312"/>
          <w:b/>
          <w:color w:val="auto"/>
          <w:sz w:val="28"/>
          <w:szCs w:val="21"/>
          <w:highlight w:val="none"/>
        </w:rPr>
      </w:pPr>
    </w:p>
    <w:p w14:paraId="6552F233">
      <w:pPr>
        <w:rPr>
          <w:rFonts w:ascii="仿宋_GB2312" w:hAnsi="宋体" w:eastAsia="仿宋_GB2312"/>
          <w:b/>
          <w:color w:val="auto"/>
          <w:sz w:val="28"/>
          <w:szCs w:val="21"/>
          <w:highlight w:val="none"/>
        </w:rPr>
      </w:pPr>
    </w:p>
    <w:p w14:paraId="50D2063F">
      <w:pPr>
        <w:rPr>
          <w:rFonts w:ascii="仿宋_GB2312" w:hAnsi="宋体" w:eastAsia="仿宋_GB2312"/>
          <w:b/>
          <w:color w:val="auto"/>
          <w:sz w:val="28"/>
          <w:szCs w:val="21"/>
          <w:highlight w:val="none"/>
        </w:rPr>
      </w:pPr>
    </w:p>
    <w:p w14:paraId="7767F3C5">
      <w:pPr>
        <w:rPr>
          <w:rFonts w:ascii="仿宋_GB2312" w:hAnsi="宋体" w:eastAsia="仿宋_GB2312"/>
          <w:b/>
          <w:color w:val="auto"/>
          <w:sz w:val="28"/>
          <w:szCs w:val="21"/>
          <w:highlight w:val="none"/>
        </w:rPr>
      </w:pPr>
    </w:p>
    <w:p w14:paraId="3DCA72AD">
      <w:pPr>
        <w:rPr>
          <w:rFonts w:ascii="仿宋_GB2312" w:hAnsi="宋体" w:eastAsia="仿宋_GB2312"/>
          <w:b/>
          <w:color w:val="auto"/>
          <w:sz w:val="28"/>
          <w:szCs w:val="21"/>
          <w:highlight w:val="none"/>
        </w:rPr>
      </w:pPr>
    </w:p>
    <w:p w14:paraId="0C8DF28D">
      <w:pPr>
        <w:rPr>
          <w:rFonts w:ascii="仿宋_GB2312" w:hAnsi="宋体" w:eastAsia="仿宋_GB2312"/>
          <w:b/>
          <w:color w:val="auto"/>
          <w:sz w:val="28"/>
          <w:szCs w:val="21"/>
          <w:highlight w:val="none"/>
        </w:rPr>
      </w:pPr>
    </w:p>
    <w:p w14:paraId="22795C4C">
      <w:pPr>
        <w:rPr>
          <w:rFonts w:ascii="仿宋_GB2312" w:hAnsi="宋体" w:eastAsia="仿宋_GB2312"/>
          <w:b/>
          <w:color w:val="auto"/>
          <w:sz w:val="28"/>
          <w:szCs w:val="21"/>
          <w:highlight w:val="none"/>
        </w:rPr>
      </w:pPr>
    </w:p>
    <w:p w14:paraId="3B041268">
      <w:pPr>
        <w:rPr>
          <w:rFonts w:ascii="仿宋_GB2312" w:hAnsi="宋体" w:eastAsia="仿宋_GB2312"/>
          <w:b/>
          <w:color w:val="auto"/>
          <w:sz w:val="28"/>
          <w:szCs w:val="21"/>
          <w:highlight w:val="none"/>
        </w:rPr>
      </w:pPr>
    </w:p>
    <w:p w14:paraId="511109D4">
      <w:pPr>
        <w:widowControl/>
        <w:jc w:val="left"/>
        <w:rPr>
          <w:rFonts w:ascii="仿宋_GB2312" w:hAnsi="楷体" w:eastAsia="仿宋_GB2312"/>
          <w:b/>
          <w:color w:val="auto"/>
          <w:sz w:val="32"/>
          <w:szCs w:val="32"/>
          <w:highlight w:val="none"/>
        </w:rPr>
      </w:pPr>
      <w:r>
        <w:rPr>
          <w:rFonts w:hint="eastAsia" w:ascii="仿宋_GB2312" w:hAnsi="楷体" w:eastAsia="仿宋_GB2312"/>
          <w:b/>
          <w:color w:val="auto"/>
          <w:sz w:val="32"/>
          <w:szCs w:val="32"/>
          <w:highlight w:val="none"/>
        </w:rPr>
        <w:br w:type="page"/>
      </w:r>
    </w:p>
    <w:p w14:paraId="28D74227">
      <w:pPr>
        <w:spacing w:line="240" w:lineRule="atLeast"/>
        <w:ind w:right="-317" w:rightChars="-151"/>
        <w:jc w:val="center"/>
        <w:rPr>
          <w:rFonts w:ascii="仿宋_GB2312" w:hAnsi="楷体" w:eastAsia="仿宋_GB2312"/>
          <w:b/>
          <w:color w:val="auto"/>
          <w:sz w:val="32"/>
          <w:szCs w:val="32"/>
          <w:highlight w:val="none"/>
        </w:rPr>
      </w:pPr>
      <w:r>
        <w:rPr>
          <w:rFonts w:hint="eastAsia" w:ascii="仿宋_GB2312" w:hAnsi="楷体" w:eastAsia="仿宋_GB2312"/>
          <w:b/>
          <w:color w:val="auto"/>
          <w:sz w:val="32"/>
          <w:szCs w:val="32"/>
          <w:highlight w:val="none"/>
        </w:rPr>
        <w:t>声明书</w:t>
      </w:r>
    </w:p>
    <w:p w14:paraId="054A936E">
      <w:pPr>
        <w:spacing w:line="360" w:lineRule="auto"/>
        <w:rPr>
          <w:rFonts w:ascii="仿宋_GB2312" w:hAnsi="宋体" w:eastAsia="仿宋_GB2312"/>
          <w:color w:val="auto"/>
          <w:sz w:val="24"/>
          <w:highlight w:val="none"/>
        </w:rPr>
      </w:pPr>
      <w:r>
        <w:rPr>
          <w:rFonts w:hint="eastAsia" w:ascii="仿宋_GB2312" w:hAnsi="宋体" w:eastAsia="仿宋_GB2312"/>
          <w:color w:val="auto"/>
          <w:sz w:val="24"/>
          <w:highlight w:val="none"/>
        </w:rPr>
        <w:t>广西壮族自治区交通运输综合行政执法局：</w:t>
      </w:r>
    </w:p>
    <w:p w14:paraId="26DB0909">
      <w:pPr>
        <w:spacing w:line="360" w:lineRule="auto"/>
        <w:ind w:firstLine="480" w:firstLineChars="200"/>
        <w:rPr>
          <w:rFonts w:ascii="仿宋_GB2312" w:hAnsi="宋体" w:eastAsia="仿宋_GB2312" w:cs="仿宋_GB2312"/>
          <w:color w:val="auto"/>
          <w:sz w:val="24"/>
          <w:highlight w:val="none"/>
          <w:u w:val="single"/>
        </w:rPr>
      </w:pPr>
      <w:r>
        <w:rPr>
          <w:rFonts w:hint="eastAsia" w:ascii="仿宋_GB2312" w:hAnsi="宋体" w:eastAsia="仿宋_GB2312" w:cs="仿宋_GB2312"/>
          <w:color w:val="auto"/>
          <w:sz w:val="24"/>
          <w:highlight w:val="none"/>
        </w:rPr>
        <w:t>依据贵方</w:t>
      </w:r>
      <w:r>
        <w:rPr>
          <w:rFonts w:hint="eastAsia" w:ascii="仿宋_GB2312" w:hAnsi="宋体" w:eastAsia="仿宋_GB2312" w:cs="仿宋_GB2312"/>
          <w:color w:val="auto"/>
          <w:sz w:val="24"/>
          <w:highlight w:val="none"/>
          <w:u w:val="single"/>
        </w:rPr>
        <w:t>微信公众号运维</w:t>
      </w:r>
      <w:r>
        <w:rPr>
          <w:rFonts w:hint="eastAsia" w:ascii="仿宋_GB2312" w:hAnsi="宋体" w:eastAsia="仿宋_GB2312" w:cs="仿宋_GB2312"/>
          <w:color w:val="auto"/>
          <w:sz w:val="24"/>
          <w:highlight w:val="none"/>
          <w:u w:val="single"/>
          <w:lang w:val="en-US" w:eastAsia="zh-CN"/>
        </w:rPr>
        <w:t>服务</w:t>
      </w:r>
      <w:r>
        <w:rPr>
          <w:rFonts w:hint="eastAsia" w:ascii="仿宋_GB2312" w:hAnsi="宋体" w:eastAsia="仿宋_GB2312" w:cs="仿宋_GB2312"/>
          <w:color w:val="auto"/>
          <w:sz w:val="24"/>
          <w:highlight w:val="none"/>
          <w:u w:val="single"/>
        </w:rPr>
        <w:t>项目</w:t>
      </w:r>
      <w:r>
        <w:rPr>
          <w:rFonts w:hint="eastAsia" w:ascii="仿宋_GB2312" w:hAnsi="宋体" w:eastAsia="仿宋_GB2312" w:cs="仿宋_GB2312"/>
          <w:color w:val="auto"/>
          <w:sz w:val="24"/>
          <w:highlight w:val="none"/>
        </w:rPr>
        <w:t>的询价采购邀请，我方</w:t>
      </w:r>
      <w:r>
        <w:rPr>
          <w:rFonts w:hint="eastAsia" w:ascii="仿宋_GB2312" w:hAnsi="宋体" w:eastAsia="仿宋_GB2312" w:cs="仿宋_GB2312"/>
          <w:color w:val="auto"/>
          <w:sz w:val="24"/>
          <w:highlight w:val="none"/>
          <w:u w:val="single"/>
        </w:rPr>
        <w:t xml:space="preserve">（委托代理人名字）    </w:t>
      </w:r>
      <w:r>
        <w:rPr>
          <w:rFonts w:hint="eastAsia" w:ascii="仿宋_GB2312" w:hAnsi="宋体" w:eastAsia="仿宋_GB2312" w:cs="仿宋_GB2312"/>
          <w:color w:val="auto"/>
          <w:sz w:val="24"/>
          <w:highlight w:val="none"/>
        </w:rPr>
        <w:t>经正式授权并代表报价方</w:t>
      </w:r>
      <w:r>
        <w:rPr>
          <w:rFonts w:hint="eastAsia" w:ascii="仿宋_GB2312" w:hAnsi="宋体" w:eastAsia="仿宋_GB2312" w:cs="仿宋_GB2312"/>
          <w:color w:val="auto"/>
          <w:sz w:val="24"/>
          <w:highlight w:val="none"/>
          <w:u w:val="single"/>
        </w:rPr>
        <w:t xml:space="preserve">      （名称）</w:t>
      </w:r>
      <w:r>
        <w:rPr>
          <w:rFonts w:hint="eastAsia" w:ascii="仿宋_GB2312" w:hAnsi="宋体" w:eastAsia="仿宋_GB2312"/>
          <w:color w:val="auto"/>
          <w:sz w:val="24"/>
          <w:highlight w:val="none"/>
        </w:rPr>
        <w:t>提交“报价文件”正本一份，副本一份。</w:t>
      </w:r>
    </w:p>
    <w:p w14:paraId="7A581DE9">
      <w:pPr>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在此，授权代表宣布同意如下：</w:t>
      </w:r>
    </w:p>
    <w:p w14:paraId="1748FA60">
      <w:pPr>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1.报价方已详细审查“采购文件”，已经了解我方对于采购文件、采购过程、采购结果有依法进行询问、质疑、投诉的权利及相关渠道和要求。</w:t>
      </w:r>
    </w:p>
    <w:p w14:paraId="28C757B0">
      <w:pPr>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2.报价方在报价之前已经与采购方进行了充分的沟通，完全理解并接受采购文件的各项规定和要求，对采购文件的合理性、合法性不再有异议。</w:t>
      </w:r>
    </w:p>
    <w:p w14:paraId="04500557">
      <w:pPr>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3.本报价有效期自开标日起</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个自然日。</w:t>
      </w:r>
    </w:p>
    <w:p w14:paraId="0EE9BDCA">
      <w:pPr>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4.如成交，本报价文件至本项目合同履行完毕止均保持有效，报价方将按“采购文件”及政府采购法律、法规的规定履行合同责任和义务。</w:t>
      </w:r>
    </w:p>
    <w:p w14:paraId="19719357">
      <w:pPr>
        <w:spacing w:line="360" w:lineRule="auto"/>
        <w:ind w:firstLine="480" w:firstLineChars="200"/>
        <w:rPr>
          <w:rFonts w:ascii="仿宋_GB2312" w:hAnsi="宋体" w:eastAsia="仿宋_GB2312"/>
          <w:color w:val="auto"/>
          <w:sz w:val="24"/>
          <w:highlight w:val="none"/>
        </w:rPr>
      </w:pPr>
      <w:r>
        <w:rPr>
          <w:rFonts w:hint="eastAsia" w:ascii="仿宋_GB2312" w:hAnsi="宋体" w:eastAsia="仿宋_GB2312"/>
          <w:color w:val="auto"/>
          <w:sz w:val="24"/>
          <w:highlight w:val="none"/>
        </w:rPr>
        <w:t>5.报价方同意按照采购方要求提供与报价有关的一切数据或资料。</w:t>
      </w:r>
    </w:p>
    <w:p w14:paraId="6D1BD72B">
      <w:pPr>
        <w:ind w:firstLine="5400" w:firstLineChars="2250"/>
        <w:rPr>
          <w:rFonts w:ascii="仿宋_GB2312" w:hAnsi="宋体" w:eastAsia="仿宋_GB2312"/>
          <w:color w:val="auto"/>
          <w:sz w:val="24"/>
          <w:highlight w:val="none"/>
        </w:rPr>
      </w:pPr>
    </w:p>
    <w:p w14:paraId="1CE350C5">
      <w:pPr>
        <w:ind w:firstLine="5400" w:firstLineChars="2250"/>
        <w:rPr>
          <w:rFonts w:ascii="仿宋_GB2312" w:hAnsi="宋体" w:eastAsia="仿宋_GB2312"/>
          <w:color w:val="auto"/>
          <w:sz w:val="24"/>
          <w:highlight w:val="none"/>
        </w:rPr>
      </w:pPr>
    </w:p>
    <w:p w14:paraId="348E18F5">
      <w:pPr>
        <w:ind w:firstLine="5400" w:firstLineChars="2250"/>
        <w:rPr>
          <w:rFonts w:ascii="仿宋_GB2312" w:hAnsi="宋体" w:eastAsia="仿宋_GB2312"/>
          <w:color w:val="auto"/>
          <w:sz w:val="24"/>
          <w:highlight w:val="none"/>
        </w:rPr>
      </w:pPr>
    </w:p>
    <w:p w14:paraId="3E29394C">
      <w:pPr>
        <w:ind w:firstLine="5400" w:firstLineChars="2250"/>
        <w:rPr>
          <w:rFonts w:ascii="仿宋_GB2312" w:hAnsi="宋体" w:eastAsia="仿宋_GB2312"/>
          <w:color w:val="auto"/>
          <w:sz w:val="24"/>
          <w:highlight w:val="none"/>
        </w:rPr>
      </w:pPr>
      <w:r>
        <w:rPr>
          <w:rFonts w:hint="eastAsia" w:ascii="仿宋_GB2312" w:hAnsi="宋体" w:eastAsia="仿宋_GB2312"/>
          <w:color w:val="auto"/>
          <w:sz w:val="24"/>
          <w:highlight w:val="none"/>
        </w:rPr>
        <w:t>日期：        年   月  日</w:t>
      </w:r>
    </w:p>
    <w:p w14:paraId="683C8BAC">
      <w:pPr>
        <w:spacing w:line="360" w:lineRule="auto"/>
        <w:rPr>
          <w:rFonts w:ascii="仿宋_GB2312" w:hAnsi="宋体" w:eastAsia="仿宋_GB2312"/>
          <w:color w:val="auto"/>
          <w:sz w:val="24"/>
          <w:highlight w:val="none"/>
        </w:rPr>
      </w:pPr>
    </w:p>
    <w:p w14:paraId="71FB928F">
      <w:pPr>
        <w:spacing w:line="360" w:lineRule="auto"/>
        <w:rPr>
          <w:rFonts w:ascii="仿宋_GB2312" w:hAnsi="宋体" w:eastAsia="仿宋_GB2312"/>
          <w:color w:val="auto"/>
          <w:sz w:val="24"/>
          <w:highlight w:val="none"/>
        </w:rPr>
      </w:pPr>
    </w:p>
    <w:p w14:paraId="369DF404">
      <w:pPr>
        <w:spacing w:line="360" w:lineRule="auto"/>
        <w:rPr>
          <w:rFonts w:ascii="仿宋_GB2312" w:hAnsi="宋体" w:eastAsia="仿宋_GB2312"/>
          <w:color w:val="auto"/>
          <w:sz w:val="24"/>
          <w:highlight w:val="none"/>
        </w:rPr>
      </w:pPr>
    </w:p>
    <w:p w14:paraId="594350E9">
      <w:pPr>
        <w:spacing w:line="360" w:lineRule="auto"/>
        <w:rPr>
          <w:rFonts w:ascii="仿宋_GB2312" w:hAnsi="宋体" w:eastAsia="仿宋_GB2312"/>
          <w:color w:val="auto"/>
          <w:sz w:val="24"/>
          <w:highlight w:val="none"/>
        </w:rPr>
      </w:pPr>
    </w:p>
    <w:p w14:paraId="25FE3E40">
      <w:pPr>
        <w:spacing w:line="360" w:lineRule="auto"/>
        <w:rPr>
          <w:rFonts w:ascii="仿宋_GB2312" w:hAnsi="宋体" w:eastAsia="仿宋_GB2312"/>
          <w:color w:val="auto"/>
          <w:sz w:val="24"/>
          <w:highlight w:val="none"/>
        </w:rPr>
      </w:pPr>
      <w:r>
        <w:rPr>
          <w:rFonts w:hint="eastAsia" w:ascii="仿宋_GB2312" w:hAnsi="宋体" w:eastAsia="仿宋_GB2312"/>
          <w:color w:val="auto"/>
          <w:sz w:val="24"/>
          <w:highlight w:val="none"/>
        </w:rPr>
        <w:t>报价方法定代表人或委托代理人签字：</w:t>
      </w:r>
    </w:p>
    <w:p w14:paraId="0090819C">
      <w:pPr>
        <w:spacing w:line="360" w:lineRule="auto"/>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报价方名称（公章）：</w:t>
      </w:r>
    </w:p>
    <w:p w14:paraId="17D7BDA4">
      <w:pPr>
        <w:spacing w:line="360" w:lineRule="auto"/>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开户名称：</w:t>
      </w:r>
    </w:p>
    <w:p w14:paraId="2E27E133">
      <w:pPr>
        <w:pStyle w:val="3"/>
        <w:spacing w:line="360" w:lineRule="auto"/>
        <w:rPr>
          <w:rFonts w:ascii="仿宋_GB2312" w:hAnsi="宋体" w:eastAsia="仿宋_GB2312" w:cs="宋体"/>
          <w:color w:val="auto"/>
          <w:sz w:val="24"/>
          <w:szCs w:val="24"/>
          <w:highlight w:val="none"/>
          <w:u w:val="single"/>
        </w:rPr>
      </w:pPr>
      <w:r>
        <w:rPr>
          <w:rFonts w:hint="eastAsia" w:ascii="仿宋_GB2312" w:hAnsi="宋体" w:eastAsia="仿宋_GB2312"/>
          <w:color w:val="auto"/>
          <w:sz w:val="24"/>
          <w:szCs w:val="24"/>
          <w:highlight w:val="none"/>
        </w:rPr>
        <w:t>开户银行：</w:t>
      </w:r>
    </w:p>
    <w:p w14:paraId="3A1AAF95">
      <w:pPr>
        <w:spacing w:line="240" w:lineRule="atLeast"/>
        <w:ind w:right="-317" w:rightChars="-151"/>
        <w:rPr>
          <w:rFonts w:ascii="仿宋_GB2312" w:hAnsi="宋体" w:eastAsia="仿宋_GB2312"/>
          <w:b/>
          <w:color w:val="auto"/>
          <w:sz w:val="28"/>
          <w:szCs w:val="21"/>
          <w:highlight w:val="none"/>
        </w:rPr>
      </w:pPr>
      <w:r>
        <w:rPr>
          <w:rFonts w:hint="eastAsia" w:ascii="仿宋_GB2312" w:hAnsi="宋体" w:eastAsia="仿宋_GB2312"/>
          <w:color w:val="auto"/>
          <w:sz w:val="24"/>
          <w:highlight w:val="none"/>
        </w:rPr>
        <w:t>账    号：</w:t>
      </w:r>
      <w:r>
        <w:rPr>
          <w:rFonts w:hint="eastAsia" w:ascii="仿宋_GB2312" w:hAnsi="宋体" w:eastAsia="仿宋_GB2312"/>
          <w:b/>
          <w:color w:val="auto"/>
          <w:sz w:val="28"/>
          <w:szCs w:val="21"/>
          <w:highlight w:val="none"/>
        </w:rPr>
        <w:t xml:space="preserve"> </w:t>
      </w:r>
    </w:p>
    <w:p w14:paraId="3447FABD">
      <w:pPr>
        <w:spacing w:line="240" w:lineRule="atLeast"/>
        <w:ind w:right="-317" w:rightChars="-151"/>
        <w:jc w:val="center"/>
        <w:rPr>
          <w:rFonts w:ascii="仿宋_GB2312" w:hAnsi="宋体" w:eastAsia="仿宋_GB2312"/>
          <w:b/>
          <w:color w:val="auto"/>
          <w:sz w:val="28"/>
          <w:szCs w:val="21"/>
          <w:highlight w:val="none"/>
        </w:rPr>
      </w:pPr>
    </w:p>
    <w:p w14:paraId="2C98CAD2">
      <w:pPr>
        <w:spacing w:line="240" w:lineRule="atLeast"/>
        <w:ind w:right="-317" w:rightChars="-151"/>
        <w:jc w:val="center"/>
        <w:rPr>
          <w:rFonts w:ascii="仿宋_GB2312" w:hAnsi="宋体" w:eastAsia="仿宋_GB2312"/>
          <w:b/>
          <w:color w:val="auto"/>
          <w:sz w:val="28"/>
          <w:szCs w:val="21"/>
          <w:highlight w:val="none"/>
        </w:rPr>
      </w:pPr>
    </w:p>
    <w:p w14:paraId="72AA8046">
      <w:pPr>
        <w:spacing w:line="240" w:lineRule="atLeast"/>
        <w:ind w:right="-317" w:rightChars="-151"/>
        <w:jc w:val="center"/>
        <w:rPr>
          <w:rFonts w:ascii="仿宋_GB2312" w:hAnsi="宋体" w:eastAsia="仿宋_GB2312"/>
          <w:b/>
          <w:color w:val="auto"/>
          <w:sz w:val="28"/>
          <w:szCs w:val="21"/>
          <w:highlight w:val="none"/>
        </w:rPr>
      </w:pPr>
    </w:p>
    <w:p w14:paraId="51C36D4F">
      <w:pPr>
        <w:spacing w:line="240" w:lineRule="atLeast"/>
        <w:ind w:right="-317" w:rightChars="-151"/>
        <w:rPr>
          <w:rFonts w:ascii="仿宋_GB2312" w:hAnsi="宋体" w:eastAsia="仿宋_GB2312"/>
          <w:b/>
          <w:color w:val="auto"/>
          <w:sz w:val="28"/>
          <w:szCs w:val="21"/>
          <w:highlight w:val="none"/>
        </w:rPr>
      </w:pPr>
    </w:p>
    <w:p w14:paraId="162A7E58">
      <w:pPr>
        <w:spacing w:line="240" w:lineRule="atLeast"/>
        <w:ind w:right="-317" w:rightChars="-151"/>
        <w:jc w:val="center"/>
        <w:rPr>
          <w:rFonts w:ascii="仿宋_GB2312" w:hAnsi="楷体" w:eastAsia="仿宋_GB2312"/>
          <w:b/>
          <w:color w:val="auto"/>
          <w:sz w:val="32"/>
          <w:szCs w:val="32"/>
          <w:highlight w:val="none"/>
        </w:rPr>
      </w:pPr>
      <w:r>
        <w:rPr>
          <w:rFonts w:hint="eastAsia" w:ascii="仿宋_GB2312" w:hAnsi="楷体" w:eastAsia="仿宋_GB2312"/>
          <w:b/>
          <w:color w:val="auto"/>
          <w:sz w:val="32"/>
          <w:szCs w:val="32"/>
          <w:highlight w:val="none"/>
        </w:rPr>
        <w:t>服务方案</w:t>
      </w:r>
    </w:p>
    <w:p w14:paraId="4E1AF042">
      <w:pPr>
        <w:spacing w:line="240" w:lineRule="atLeast"/>
        <w:ind w:right="-317" w:rightChars="-151"/>
        <w:jc w:val="center"/>
        <w:rPr>
          <w:rFonts w:ascii="仿宋_GB2312" w:hAnsi="楷体" w:eastAsia="仿宋_GB2312"/>
          <w:b/>
          <w:color w:val="auto"/>
          <w:sz w:val="32"/>
          <w:szCs w:val="32"/>
          <w:highlight w:val="none"/>
        </w:rPr>
      </w:pPr>
    </w:p>
    <w:p w14:paraId="4A6B4BD9">
      <w:pPr>
        <w:spacing w:line="240" w:lineRule="atLeast"/>
        <w:ind w:right="-317" w:rightChars="-151"/>
        <w:jc w:val="center"/>
        <w:rPr>
          <w:rFonts w:ascii="仿宋_GB2312" w:hAnsi="楷体" w:eastAsia="仿宋_GB2312"/>
          <w:b/>
          <w:color w:val="auto"/>
          <w:sz w:val="32"/>
          <w:szCs w:val="32"/>
          <w:highlight w:val="none"/>
        </w:rPr>
      </w:pPr>
    </w:p>
    <w:p w14:paraId="1BBB2BFD">
      <w:pPr>
        <w:spacing w:line="240" w:lineRule="atLeast"/>
        <w:ind w:right="-317" w:rightChars="-151"/>
        <w:jc w:val="center"/>
        <w:rPr>
          <w:rFonts w:ascii="仿宋_GB2312" w:hAnsi="楷体" w:eastAsia="仿宋_GB2312"/>
          <w:b/>
          <w:color w:val="auto"/>
          <w:sz w:val="32"/>
          <w:szCs w:val="32"/>
          <w:highlight w:val="none"/>
        </w:rPr>
      </w:pPr>
    </w:p>
    <w:p w14:paraId="7EEBD3A2">
      <w:pPr>
        <w:spacing w:line="240" w:lineRule="atLeast"/>
        <w:ind w:right="-317" w:rightChars="-151"/>
        <w:jc w:val="center"/>
        <w:rPr>
          <w:rFonts w:ascii="仿宋_GB2312" w:hAnsi="楷体" w:eastAsia="仿宋_GB2312"/>
          <w:b/>
          <w:color w:val="auto"/>
          <w:sz w:val="32"/>
          <w:szCs w:val="32"/>
          <w:highlight w:val="none"/>
        </w:rPr>
      </w:pPr>
    </w:p>
    <w:p w14:paraId="7A60CD71">
      <w:pPr>
        <w:spacing w:line="240" w:lineRule="atLeast"/>
        <w:ind w:right="-317" w:rightChars="-151"/>
        <w:jc w:val="center"/>
        <w:rPr>
          <w:rFonts w:ascii="仿宋_GB2312" w:hAnsi="楷体" w:eastAsia="仿宋_GB2312"/>
          <w:b/>
          <w:color w:val="auto"/>
          <w:sz w:val="32"/>
          <w:szCs w:val="32"/>
          <w:highlight w:val="none"/>
        </w:rPr>
      </w:pPr>
    </w:p>
    <w:p w14:paraId="45BDC786">
      <w:pPr>
        <w:spacing w:line="240" w:lineRule="atLeast"/>
        <w:ind w:right="-317" w:rightChars="-151"/>
        <w:jc w:val="center"/>
        <w:rPr>
          <w:rFonts w:ascii="仿宋_GB2312" w:hAnsi="楷体" w:eastAsia="仿宋_GB2312"/>
          <w:b/>
          <w:color w:val="auto"/>
          <w:sz w:val="32"/>
          <w:szCs w:val="32"/>
          <w:highlight w:val="none"/>
        </w:rPr>
      </w:pPr>
    </w:p>
    <w:p w14:paraId="27795AA0">
      <w:pPr>
        <w:spacing w:line="240" w:lineRule="atLeast"/>
        <w:ind w:right="-317" w:rightChars="-151"/>
        <w:jc w:val="center"/>
        <w:rPr>
          <w:rFonts w:ascii="仿宋_GB2312" w:hAnsi="楷体" w:eastAsia="仿宋_GB2312"/>
          <w:b/>
          <w:color w:val="auto"/>
          <w:sz w:val="32"/>
          <w:szCs w:val="32"/>
          <w:highlight w:val="none"/>
        </w:rPr>
      </w:pPr>
    </w:p>
    <w:p w14:paraId="73D1EFF4">
      <w:pPr>
        <w:spacing w:line="240" w:lineRule="atLeast"/>
        <w:ind w:right="-317" w:rightChars="-151"/>
        <w:jc w:val="center"/>
        <w:rPr>
          <w:rFonts w:ascii="仿宋_GB2312" w:hAnsi="楷体" w:eastAsia="仿宋_GB2312"/>
          <w:b/>
          <w:color w:val="auto"/>
          <w:sz w:val="32"/>
          <w:szCs w:val="32"/>
          <w:highlight w:val="none"/>
        </w:rPr>
      </w:pPr>
    </w:p>
    <w:p w14:paraId="3C841BA9">
      <w:pPr>
        <w:spacing w:line="240" w:lineRule="atLeast"/>
        <w:ind w:right="-317" w:rightChars="-151"/>
        <w:jc w:val="center"/>
        <w:rPr>
          <w:rFonts w:ascii="仿宋_GB2312" w:hAnsi="楷体" w:eastAsia="仿宋_GB2312"/>
          <w:b/>
          <w:color w:val="auto"/>
          <w:sz w:val="32"/>
          <w:szCs w:val="32"/>
          <w:highlight w:val="none"/>
        </w:rPr>
      </w:pPr>
    </w:p>
    <w:p w14:paraId="673E7057">
      <w:pPr>
        <w:spacing w:line="240" w:lineRule="atLeast"/>
        <w:ind w:right="-317" w:rightChars="-151"/>
        <w:jc w:val="center"/>
        <w:rPr>
          <w:rFonts w:ascii="仿宋_GB2312" w:hAnsi="楷体" w:eastAsia="仿宋_GB2312"/>
          <w:b/>
          <w:color w:val="auto"/>
          <w:sz w:val="32"/>
          <w:szCs w:val="32"/>
          <w:highlight w:val="none"/>
        </w:rPr>
      </w:pPr>
    </w:p>
    <w:p w14:paraId="6DF129C2">
      <w:pPr>
        <w:spacing w:line="240" w:lineRule="atLeast"/>
        <w:ind w:right="-317" w:rightChars="-151"/>
        <w:jc w:val="center"/>
        <w:rPr>
          <w:rFonts w:ascii="仿宋_GB2312" w:hAnsi="楷体" w:eastAsia="仿宋_GB2312"/>
          <w:b/>
          <w:color w:val="auto"/>
          <w:sz w:val="32"/>
          <w:szCs w:val="32"/>
          <w:highlight w:val="none"/>
        </w:rPr>
      </w:pPr>
    </w:p>
    <w:p w14:paraId="2E6AB3D7">
      <w:pPr>
        <w:spacing w:line="240" w:lineRule="atLeast"/>
        <w:ind w:right="-317" w:rightChars="-151"/>
        <w:jc w:val="center"/>
        <w:rPr>
          <w:rFonts w:ascii="仿宋_GB2312" w:hAnsi="楷体" w:eastAsia="仿宋_GB2312"/>
          <w:b/>
          <w:color w:val="auto"/>
          <w:sz w:val="32"/>
          <w:szCs w:val="32"/>
          <w:highlight w:val="none"/>
        </w:rPr>
      </w:pPr>
    </w:p>
    <w:p w14:paraId="5744E5A1">
      <w:pPr>
        <w:spacing w:line="240" w:lineRule="atLeast"/>
        <w:ind w:right="-317" w:rightChars="-151"/>
        <w:jc w:val="center"/>
        <w:rPr>
          <w:rFonts w:ascii="仿宋_GB2312" w:hAnsi="楷体" w:eastAsia="仿宋_GB2312"/>
          <w:b/>
          <w:color w:val="auto"/>
          <w:sz w:val="32"/>
          <w:szCs w:val="32"/>
          <w:highlight w:val="none"/>
        </w:rPr>
      </w:pPr>
    </w:p>
    <w:p w14:paraId="7DC94A5F">
      <w:pPr>
        <w:spacing w:line="240" w:lineRule="atLeast"/>
        <w:ind w:right="-317" w:rightChars="-151"/>
        <w:jc w:val="center"/>
        <w:rPr>
          <w:rFonts w:ascii="仿宋_GB2312" w:hAnsi="楷体" w:eastAsia="仿宋_GB2312"/>
          <w:b/>
          <w:color w:val="auto"/>
          <w:sz w:val="32"/>
          <w:szCs w:val="32"/>
          <w:highlight w:val="none"/>
        </w:rPr>
      </w:pPr>
    </w:p>
    <w:p w14:paraId="049234F2">
      <w:pPr>
        <w:spacing w:line="240" w:lineRule="atLeast"/>
        <w:ind w:right="-317" w:rightChars="-151"/>
        <w:jc w:val="center"/>
        <w:rPr>
          <w:rFonts w:ascii="仿宋_GB2312" w:hAnsi="楷体" w:eastAsia="仿宋_GB2312"/>
          <w:b/>
          <w:color w:val="auto"/>
          <w:sz w:val="32"/>
          <w:szCs w:val="32"/>
          <w:highlight w:val="none"/>
        </w:rPr>
      </w:pPr>
    </w:p>
    <w:p w14:paraId="13291855">
      <w:pPr>
        <w:spacing w:line="240" w:lineRule="atLeast"/>
        <w:ind w:right="-317" w:rightChars="-151"/>
        <w:jc w:val="center"/>
        <w:rPr>
          <w:rFonts w:ascii="仿宋_GB2312" w:hAnsi="楷体" w:eastAsia="仿宋_GB2312"/>
          <w:b/>
          <w:color w:val="auto"/>
          <w:sz w:val="32"/>
          <w:szCs w:val="32"/>
          <w:highlight w:val="none"/>
        </w:rPr>
      </w:pPr>
    </w:p>
    <w:p w14:paraId="4653BBF4">
      <w:pPr>
        <w:spacing w:line="240" w:lineRule="atLeast"/>
        <w:ind w:right="-317" w:rightChars="-151"/>
        <w:jc w:val="center"/>
        <w:rPr>
          <w:rFonts w:ascii="仿宋_GB2312" w:hAnsi="楷体" w:eastAsia="仿宋_GB2312"/>
          <w:b/>
          <w:color w:val="auto"/>
          <w:sz w:val="32"/>
          <w:szCs w:val="32"/>
          <w:highlight w:val="none"/>
        </w:rPr>
      </w:pPr>
    </w:p>
    <w:p w14:paraId="608DD462">
      <w:pPr>
        <w:spacing w:line="240" w:lineRule="atLeast"/>
        <w:ind w:right="-317" w:rightChars="-151"/>
        <w:jc w:val="center"/>
        <w:rPr>
          <w:rFonts w:ascii="仿宋_GB2312" w:hAnsi="楷体" w:eastAsia="仿宋_GB2312"/>
          <w:b/>
          <w:color w:val="auto"/>
          <w:sz w:val="32"/>
          <w:szCs w:val="32"/>
          <w:highlight w:val="none"/>
        </w:rPr>
      </w:pPr>
    </w:p>
    <w:p w14:paraId="6B9C6535">
      <w:pPr>
        <w:spacing w:line="240" w:lineRule="atLeast"/>
        <w:ind w:right="-317" w:rightChars="-151"/>
        <w:jc w:val="center"/>
        <w:rPr>
          <w:rFonts w:ascii="仿宋_GB2312" w:hAnsi="楷体" w:eastAsia="仿宋_GB2312"/>
          <w:b/>
          <w:color w:val="auto"/>
          <w:sz w:val="32"/>
          <w:szCs w:val="32"/>
          <w:highlight w:val="none"/>
        </w:rPr>
      </w:pPr>
    </w:p>
    <w:p w14:paraId="6EE57CE1">
      <w:pPr>
        <w:spacing w:line="240" w:lineRule="atLeast"/>
        <w:ind w:right="-317" w:rightChars="-151"/>
        <w:jc w:val="center"/>
        <w:rPr>
          <w:rFonts w:ascii="仿宋_GB2312" w:hAnsi="楷体" w:eastAsia="仿宋_GB2312"/>
          <w:b/>
          <w:color w:val="auto"/>
          <w:sz w:val="32"/>
          <w:szCs w:val="32"/>
          <w:highlight w:val="none"/>
        </w:rPr>
      </w:pPr>
    </w:p>
    <w:p w14:paraId="3934587A">
      <w:pPr>
        <w:spacing w:line="240" w:lineRule="atLeast"/>
        <w:ind w:right="-317" w:rightChars="-151"/>
        <w:jc w:val="center"/>
        <w:rPr>
          <w:rFonts w:ascii="仿宋_GB2312" w:hAnsi="楷体" w:eastAsia="仿宋_GB2312"/>
          <w:b/>
          <w:color w:val="auto"/>
          <w:sz w:val="32"/>
          <w:szCs w:val="32"/>
          <w:highlight w:val="none"/>
        </w:rPr>
      </w:pPr>
    </w:p>
    <w:p w14:paraId="18D21E7F">
      <w:pPr>
        <w:spacing w:line="240" w:lineRule="atLeast"/>
        <w:ind w:right="-317" w:rightChars="-151"/>
        <w:jc w:val="center"/>
        <w:rPr>
          <w:rFonts w:ascii="仿宋_GB2312" w:hAnsi="楷体" w:eastAsia="仿宋_GB2312"/>
          <w:color w:val="auto"/>
          <w:sz w:val="32"/>
          <w:szCs w:val="32"/>
          <w:highlight w:val="none"/>
        </w:rPr>
      </w:pPr>
      <w:r>
        <w:rPr>
          <w:rFonts w:hint="eastAsia" w:ascii="仿宋_GB2312" w:hAnsi="楷体" w:eastAsia="仿宋_GB2312"/>
          <w:b/>
          <w:color w:val="auto"/>
          <w:sz w:val="32"/>
          <w:szCs w:val="32"/>
          <w:highlight w:val="none"/>
        </w:rPr>
        <w:t>报价表</w:t>
      </w:r>
    </w:p>
    <w:p w14:paraId="175E78F3">
      <w:pPr>
        <w:spacing w:line="240" w:lineRule="atLeast"/>
        <w:rPr>
          <w:rFonts w:ascii="仿宋_GB2312" w:hAnsi="宋体" w:eastAsia="仿宋_GB2312"/>
          <w:color w:val="auto"/>
          <w:szCs w:val="21"/>
          <w:highlight w:val="none"/>
        </w:rPr>
      </w:pPr>
    </w:p>
    <w:tbl>
      <w:tblPr>
        <w:tblStyle w:val="6"/>
        <w:tblW w:w="7899" w:type="dxa"/>
        <w:jc w:val="center"/>
        <w:tblLayout w:type="autofit"/>
        <w:tblCellMar>
          <w:top w:w="0" w:type="dxa"/>
          <w:left w:w="108" w:type="dxa"/>
          <w:bottom w:w="0" w:type="dxa"/>
          <w:right w:w="108" w:type="dxa"/>
        </w:tblCellMar>
      </w:tblPr>
      <w:tblGrid>
        <w:gridCol w:w="836"/>
        <w:gridCol w:w="1266"/>
        <w:gridCol w:w="3932"/>
        <w:gridCol w:w="1865"/>
      </w:tblGrid>
      <w:tr w14:paraId="6E67FCC3">
        <w:tblPrEx>
          <w:tblCellMar>
            <w:top w:w="0" w:type="dxa"/>
            <w:left w:w="108" w:type="dxa"/>
            <w:bottom w:w="0" w:type="dxa"/>
            <w:right w:w="108" w:type="dxa"/>
          </w:tblCellMar>
        </w:tblPrEx>
        <w:trPr>
          <w:trHeight w:val="1135"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14:paraId="4FA24488">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66" w:type="dxa"/>
            <w:tcBorders>
              <w:top w:val="single" w:color="auto" w:sz="4" w:space="0"/>
              <w:left w:val="single" w:color="auto" w:sz="4" w:space="0"/>
              <w:bottom w:val="single" w:color="auto" w:sz="4" w:space="0"/>
              <w:right w:val="single" w:color="auto" w:sz="4" w:space="0"/>
            </w:tcBorders>
            <w:vAlign w:val="center"/>
          </w:tcPr>
          <w:p w14:paraId="4C7F913C">
            <w:pPr>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3932" w:type="dxa"/>
            <w:tcBorders>
              <w:top w:val="single" w:color="000000" w:sz="4" w:space="0"/>
              <w:left w:val="nil"/>
              <w:bottom w:val="nil"/>
              <w:right w:val="single" w:color="auto" w:sz="4" w:space="0"/>
            </w:tcBorders>
            <w:vAlign w:val="center"/>
          </w:tcPr>
          <w:p w14:paraId="0CFB3051">
            <w:pPr>
              <w:jc w:val="center"/>
              <w:rPr>
                <w:rFonts w:ascii="宋体" w:hAnsi="宋体" w:cs="宋体"/>
                <w:color w:val="auto"/>
                <w:sz w:val="24"/>
                <w:highlight w:val="none"/>
              </w:rPr>
            </w:pPr>
            <w:r>
              <w:rPr>
                <w:rFonts w:hint="eastAsia" w:ascii="宋体" w:hAnsi="宋体" w:cs="宋体"/>
                <w:color w:val="auto"/>
                <w:sz w:val="24"/>
                <w:highlight w:val="none"/>
              </w:rPr>
              <w:t>采购需求</w:t>
            </w:r>
          </w:p>
        </w:tc>
        <w:tc>
          <w:tcPr>
            <w:tcW w:w="1865" w:type="dxa"/>
            <w:tcBorders>
              <w:top w:val="single" w:color="000000" w:sz="4" w:space="0"/>
              <w:left w:val="nil"/>
              <w:bottom w:val="single" w:color="000000" w:sz="4" w:space="0"/>
              <w:right w:val="single" w:color="000000" w:sz="4" w:space="0"/>
            </w:tcBorders>
            <w:vAlign w:val="center"/>
          </w:tcPr>
          <w:p w14:paraId="0682E528">
            <w:pPr>
              <w:widowControl/>
              <w:jc w:val="center"/>
              <w:rPr>
                <w:rFonts w:ascii="宋体" w:hAnsi="宋体" w:cs="宋体"/>
                <w:color w:val="auto"/>
                <w:kern w:val="0"/>
                <w:sz w:val="20"/>
                <w:szCs w:val="20"/>
                <w:highlight w:val="none"/>
              </w:rPr>
            </w:pPr>
            <w:r>
              <w:rPr>
                <w:rFonts w:hint="eastAsia" w:ascii="宋体" w:hAnsi="宋体" w:cs="宋体"/>
                <w:color w:val="auto"/>
                <w:kern w:val="0"/>
                <w:sz w:val="24"/>
                <w:szCs w:val="20"/>
                <w:highlight w:val="none"/>
              </w:rPr>
              <w:t>合计（人民币，元）</w:t>
            </w:r>
          </w:p>
        </w:tc>
      </w:tr>
      <w:tr w14:paraId="033942BD">
        <w:tblPrEx>
          <w:tblCellMar>
            <w:top w:w="0" w:type="dxa"/>
            <w:left w:w="108" w:type="dxa"/>
            <w:bottom w:w="0" w:type="dxa"/>
            <w:right w:w="108" w:type="dxa"/>
          </w:tblCellMar>
        </w:tblPrEx>
        <w:trPr>
          <w:trHeight w:val="1732" w:hRule="atLeast"/>
          <w:jc w:val="center"/>
        </w:trPr>
        <w:tc>
          <w:tcPr>
            <w:tcW w:w="836" w:type="dxa"/>
            <w:tcBorders>
              <w:top w:val="nil"/>
              <w:left w:val="single" w:color="auto" w:sz="4" w:space="0"/>
              <w:bottom w:val="single" w:color="auto" w:sz="4" w:space="0"/>
              <w:right w:val="single" w:color="auto" w:sz="4" w:space="0"/>
            </w:tcBorders>
            <w:vAlign w:val="center"/>
          </w:tcPr>
          <w:p w14:paraId="5FC5D563">
            <w:pPr>
              <w:jc w:val="center"/>
              <w:rPr>
                <w:rFonts w:ascii="宋体" w:hAnsi="宋体" w:cs="宋体"/>
                <w:color w:val="auto"/>
                <w:sz w:val="24"/>
                <w:highlight w:val="none"/>
              </w:rPr>
            </w:pPr>
            <w:r>
              <w:rPr>
                <w:rFonts w:hint="eastAsia" w:ascii="宋体" w:hAnsi="宋体" w:cs="宋体"/>
                <w:color w:val="auto"/>
                <w:sz w:val="24"/>
                <w:highlight w:val="none"/>
              </w:rPr>
              <w:t>1</w:t>
            </w:r>
          </w:p>
        </w:tc>
        <w:tc>
          <w:tcPr>
            <w:tcW w:w="1266" w:type="dxa"/>
            <w:tcBorders>
              <w:top w:val="nil"/>
              <w:left w:val="single" w:color="auto" w:sz="4" w:space="0"/>
              <w:bottom w:val="single" w:color="auto" w:sz="4" w:space="0"/>
              <w:right w:val="single" w:color="auto" w:sz="4" w:space="0"/>
            </w:tcBorders>
            <w:vAlign w:val="center"/>
          </w:tcPr>
          <w:p w14:paraId="2145FAFB">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微信公众号运维</w:t>
            </w:r>
            <w:r>
              <w:rPr>
                <w:rFonts w:hint="eastAsia" w:ascii="宋体" w:hAnsi="宋体" w:cs="宋体"/>
                <w:color w:val="auto"/>
                <w:sz w:val="24"/>
                <w:highlight w:val="none"/>
                <w:lang w:val="en-US" w:eastAsia="zh-CN"/>
              </w:rPr>
              <w:t>服务</w:t>
            </w:r>
          </w:p>
        </w:tc>
        <w:tc>
          <w:tcPr>
            <w:tcW w:w="3932" w:type="dxa"/>
            <w:tcBorders>
              <w:top w:val="single" w:color="auto" w:sz="4" w:space="0"/>
              <w:left w:val="nil"/>
              <w:bottom w:val="single" w:color="auto" w:sz="4" w:space="0"/>
              <w:right w:val="single" w:color="auto" w:sz="4" w:space="0"/>
            </w:tcBorders>
          </w:tcPr>
          <w:p w14:paraId="4628CB8B">
            <w:pPr>
              <w:ind w:firstLine="480" w:firstLineChars="200"/>
              <w:rPr>
                <w:rFonts w:ascii="宋体" w:hAnsi="宋体" w:cs="宋体"/>
                <w:color w:val="auto"/>
                <w:sz w:val="24"/>
                <w:highlight w:val="none"/>
              </w:rPr>
            </w:pPr>
            <w:r>
              <w:rPr>
                <w:rFonts w:hint="eastAsia" w:ascii="仿宋_GB2312" w:hAnsi="宋体" w:eastAsia="仿宋_GB2312" w:cs="宋体"/>
                <w:color w:val="auto"/>
                <w:sz w:val="24"/>
                <w:highlight w:val="none"/>
              </w:rPr>
              <w:t>保障执法局微信公众号正常运转，优化完善公众号内部管理功能和展示界面，并提供日常运维服务，服务期限1年。</w:t>
            </w:r>
          </w:p>
        </w:tc>
        <w:tc>
          <w:tcPr>
            <w:tcW w:w="1865" w:type="dxa"/>
            <w:tcBorders>
              <w:top w:val="nil"/>
              <w:left w:val="nil"/>
              <w:bottom w:val="single" w:color="auto" w:sz="4" w:space="0"/>
              <w:right w:val="single" w:color="auto" w:sz="4" w:space="0"/>
            </w:tcBorders>
            <w:vAlign w:val="center"/>
          </w:tcPr>
          <w:p w14:paraId="3D86ED93">
            <w:pPr>
              <w:widowControl/>
              <w:jc w:val="center"/>
              <w:rPr>
                <w:rFonts w:ascii="宋体" w:hAnsi="宋体" w:cs="宋体"/>
                <w:color w:val="auto"/>
                <w:kern w:val="0"/>
                <w:sz w:val="24"/>
                <w:highlight w:val="none"/>
              </w:rPr>
            </w:pPr>
          </w:p>
        </w:tc>
      </w:tr>
    </w:tbl>
    <w:p w14:paraId="1F066D10">
      <w:pPr>
        <w:spacing w:line="360" w:lineRule="auto"/>
        <w:rPr>
          <w:rFonts w:ascii="仿宋_GB2312" w:hAnsi="宋体" w:eastAsia="仿宋_GB2312"/>
          <w:color w:val="auto"/>
          <w:szCs w:val="21"/>
          <w:highlight w:val="none"/>
          <w:u w:val="single"/>
        </w:rPr>
      </w:pPr>
      <w:r>
        <w:rPr>
          <w:rFonts w:hint="eastAsia" w:ascii="仿宋_GB2312" w:hAnsi="宋体" w:eastAsia="仿宋_GB2312"/>
          <w:color w:val="auto"/>
          <w:szCs w:val="21"/>
          <w:highlight w:val="none"/>
        </w:rPr>
        <w:t>法定代表人或委托代理人（签字）：</w:t>
      </w:r>
    </w:p>
    <w:p w14:paraId="67E41185">
      <w:pPr>
        <w:spacing w:line="360" w:lineRule="auto"/>
        <w:rPr>
          <w:rFonts w:ascii="仿宋_GB2312" w:hAnsi="宋体" w:eastAsia="仿宋_GB2312"/>
          <w:color w:val="auto"/>
          <w:szCs w:val="21"/>
          <w:highlight w:val="none"/>
        </w:rPr>
      </w:pPr>
      <w:r>
        <w:rPr>
          <w:rFonts w:hint="eastAsia" w:ascii="仿宋_GB2312" w:hAnsi="宋体" w:eastAsia="仿宋_GB2312"/>
          <w:color w:val="auto"/>
          <w:szCs w:val="21"/>
          <w:highlight w:val="none"/>
        </w:rPr>
        <w:t>报价方（盖章）：</w:t>
      </w:r>
    </w:p>
    <w:p w14:paraId="310124FC">
      <w:pPr>
        <w:spacing w:line="360" w:lineRule="auto"/>
        <w:rPr>
          <w:rFonts w:ascii="仿宋_GB2312" w:hAnsi="宋体" w:eastAsia="仿宋_GB2312"/>
          <w:color w:val="auto"/>
          <w:szCs w:val="21"/>
          <w:highlight w:val="none"/>
        </w:rPr>
      </w:pPr>
      <w:r>
        <w:rPr>
          <w:rFonts w:hint="eastAsia" w:ascii="仿宋_GB2312" w:hAnsi="宋体" w:eastAsia="仿宋_GB2312"/>
          <w:color w:val="auto"/>
          <w:szCs w:val="21"/>
          <w:highlight w:val="none"/>
        </w:rPr>
        <w:t>报价时间：     年    月   日</w:t>
      </w:r>
    </w:p>
    <w:p w14:paraId="5ADD1D2F">
      <w:pPr>
        <w:spacing w:line="240" w:lineRule="atLeast"/>
        <w:rPr>
          <w:rFonts w:ascii="仿宋_GB2312" w:hAnsi="仿宋" w:eastAsia="仿宋_GB2312"/>
          <w:color w:val="auto"/>
          <w:sz w:val="32"/>
          <w:szCs w:val="32"/>
          <w:highlight w:val="none"/>
        </w:rPr>
      </w:pPr>
    </w:p>
    <w:p w14:paraId="0A189192">
      <w:pPr>
        <w:widowControl/>
        <w:jc w:val="left"/>
        <w:rPr>
          <w:rFonts w:ascii="仿宋_GB2312" w:hAnsi="楷体" w:eastAsia="仿宋_GB2312"/>
          <w:b/>
          <w:color w:val="auto"/>
          <w:sz w:val="32"/>
          <w:szCs w:val="32"/>
          <w:highlight w:val="none"/>
        </w:rPr>
      </w:pPr>
    </w:p>
    <w:p w14:paraId="323120BB">
      <w:pPr>
        <w:widowControl/>
        <w:jc w:val="left"/>
        <w:rPr>
          <w:rFonts w:ascii="仿宋_GB2312" w:hAnsi="楷体" w:eastAsia="仿宋_GB2312"/>
          <w:b/>
          <w:color w:val="auto"/>
          <w:sz w:val="32"/>
          <w:szCs w:val="32"/>
          <w:highlight w:val="none"/>
        </w:rPr>
      </w:pPr>
    </w:p>
    <w:p w14:paraId="6CEB6210">
      <w:pPr>
        <w:widowControl/>
        <w:jc w:val="left"/>
        <w:rPr>
          <w:rFonts w:ascii="仿宋_GB2312" w:hAnsi="楷体" w:eastAsia="仿宋_GB2312"/>
          <w:b/>
          <w:color w:val="auto"/>
          <w:sz w:val="32"/>
          <w:szCs w:val="32"/>
          <w:highlight w:val="none"/>
        </w:rPr>
      </w:pPr>
    </w:p>
    <w:p w14:paraId="19C3010D">
      <w:pPr>
        <w:widowControl/>
        <w:jc w:val="left"/>
        <w:rPr>
          <w:rFonts w:ascii="仿宋_GB2312" w:hAnsi="楷体" w:eastAsia="仿宋_GB2312"/>
          <w:b/>
          <w:color w:val="auto"/>
          <w:sz w:val="32"/>
          <w:szCs w:val="32"/>
          <w:highlight w:val="none"/>
        </w:rPr>
      </w:pPr>
    </w:p>
    <w:p w14:paraId="3A57F4AD">
      <w:pPr>
        <w:widowControl/>
        <w:jc w:val="left"/>
        <w:rPr>
          <w:rFonts w:ascii="仿宋_GB2312" w:hAnsi="楷体" w:eastAsia="仿宋_GB2312"/>
          <w:b/>
          <w:color w:val="auto"/>
          <w:sz w:val="32"/>
          <w:szCs w:val="32"/>
          <w:highlight w:val="none"/>
        </w:rPr>
      </w:pPr>
    </w:p>
    <w:p w14:paraId="099A0043">
      <w:pPr>
        <w:widowControl/>
        <w:jc w:val="left"/>
        <w:rPr>
          <w:rFonts w:ascii="仿宋_GB2312" w:hAnsi="楷体" w:eastAsia="仿宋_GB2312"/>
          <w:b/>
          <w:color w:val="auto"/>
          <w:sz w:val="32"/>
          <w:szCs w:val="32"/>
          <w:highlight w:val="none"/>
        </w:rPr>
      </w:pPr>
    </w:p>
    <w:p w14:paraId="6E600CFB">
      <w:pPr>
        <w:widowControl/>
        <w:jc w:val="left"/>
        <w:rPr>
          <w:rFonts w:ascii="仿宋_GB2312" w:hAnsi="楷体" w:eastAsia="仿宋_GB2312"/>
          <w:b/>
          <w:color w:val="auto"/>
          <w:sz w:val="32"/>
          <w:szCs w:val="32"/>
          <w:highlight w:val="none"/>
        </w:rPr>
      </w:pPr>
    </w:p>
    <w:p w14:paraId="26224B1B">
      <w:pPr>
        <w:widowControl/>
        <w:jc w:val="left"/>
        <w:rPr>
          <w:rFonts w:ascii="仿宋_GB2312" w:hAnsi="楷体" w:eastAsia="仿宋_GB2312"/>
          <w:b/>
          <w:color w:val="auto"/>
          <w:sz w:val="32"/>
          <w:szCs w:val="32"/>
          <w:highlight w:val="none"/>
        </w:rPr>
      </w:pPr>
    </w:p>
    <w:p w14:paraId="10BCB9E2">
      <w:pPr>
        <w:widowControl/>
        <w:jc w:val="left"/>
        <w:rPr>
          <w:rFonts w:ascii="仿宋_GB2312" w:hAnsi="楷体" w:eastAsia="仿宋_GB2312"/>
          <w:b/>
          <w:color w:val="auto"/>
          <w:sz w:val="32"/>
          <w:szCs w:val="32"/>
          <w:highlight w:val="none"/>
        </w:rPr>
      </w:pPr>
    </w:p>
    <w:p w14:paraId="350BDBD3">
      <w:pPr>
        <w:widowControl/>
        <w:jc w:val="left"/>
        <w:rPr>
          <w:rFonts w:ascii="仿宋_GB2312" w:hAnsi="楷体" w:eastAsia="仿宋_GB2312"/>
          <w:b/>
          <w:color w:val="auto"/>
          <w:sz w:val="32"/>
          <w:szCs w:val="32"/>
          <w:highlight w:val="none"/>
        </w:rPr>
      </w:pPr>
    </w:p>
    <w:p w14:paraId="590331D0">
      <w:pPr>
        <w:widowControl/>
        <w:jc w:val="left"/>
        <w:rPr>
          <w:rFonts w:ascii="仿宋_GB2312" w:hAnsi="楷体" w:eastAsia="仿宋_GB2312"/>
          <w:b/>
          <w:color w:val="auto"/>
          <w:sz w:val="32"/>
          <w:szCs w:val="32"/>
          <w:highlight w:val="none"/>
        </w:rPr>
      </w:pPr>
    </w:p>
    <w:p w14:paraId="7FA36E19">
      <w:pPr>
        <w:widowControl/>
        <w:jc w:val="left"/>
        <w:rPr>
          <w:rFonts w:ascii="仿宋_GB2312" w:hAnsi="楷体" w:eastAsia="仿宋_GB2312"/>
          <w:b/>
          <w:color w:val="auto"/>
          <w:sz w:val="32"/>
          <w:szCs w:val="32"/>
          <w:highlight w:val="none"/>
        </w:rPr>
      </w:pPr>
    </w:p>
    <w:p w14:paraId="3B68F6E7">
      <w:pPr>
        <w:widowControl/>
        <w:jc w:val="left"/>
        <w:rPr>
          <w:rFonts w:ascii="仿宋_GB2312" w:hAnsi="楷体" w:eastAsia="仿宋_GB2312"/>
          <w:b/>
          <w:color w:val="auto"/>
          <w:sz w:val="32"/>
          <w:szCs w:val="32"/>
          <w:highlight w:val="none"/>
        </w:rPr>
      </w:pPr>
    </w:p>
    <w:p w14:paraId="445834D6">
      <w:pPr>
        <w:pStyle w:val="12"/>
        <w:ind w:firstLine="0" w:firstLineChars="0"/>
        <w:jc w:val="center"/>
        <w:rPr>
          <w:rFonts w:ascii="仿宋_GB2312" w:hAnsi="楷体" w:eastAsia="仿宋_GB2312"/>
          <w:b/>
          <w:color w:val="auto"/>
          <w:sz w:val="32"/>
          <w:szCs w:val="32"/>
          <w:highlight w:val="none"/>
        </w:rPr>
      </w:pPr>
      <w:r>
        <w:rPr>
          <w:rFonts w:hint="eastAsia" w:ascii="仿宋_GB2312" w:hAnsi="楷体" w:eastAsia="仿宋_GB2312"/>
          <w:b/>
          <w:color w:val="auto"/>
          <w:sz w:val="32"/>
          <w:szCs w:val="32"/>
          <w:highlight w:val="none"/>
        </w:rPr>
        <w:t>营业执照复印件</w:t>
      </w:r>
    </w:p>
    <w:p w14:paraId="7F63A945">
      <w:pPr>
        <w:pStyle w:val="12"/>
        <w:ind w:firstLine="0" w:firstLineChars="0"/>
        <w:jc w:val="center"/>
        <w:rPr>
          <w:rFonts w:ascii="仿宋_GB2312" w:hAnsi="宋体" w:eastAsia="仿宋_GB2312"/>
          <w:color w:val="auto"/>
          <w:sz w:val="28"/>
          <w:szCs w:val="28"/>
          <w:highlight w:val="none"/>
        </w:rPr>
      </w:pPr>
    </w:p>
    <w:p w14:paraId="47E1DA34">
      <w:pPr>
        <w:rPr>
          <w:rFonts w:ascii="仿宋_GB2312" w:hAnsi="楷体" w:eastAsia="仿宋_GB2312"/>
          <w:b/>
          <w:color w:val="auto"/>
          <w:sz w:val="32"/>
          <w:szCs w:val="32"/>
          <w:highlight w:val="none"/>
        </w:rPr>
      </w:pPr>
    </w:p>
    <w:p w14:paraId="2A3F1A93">
      <w:pPr>
        <w:widowControl/>
        <w:jc w:val="left"/>
        <w:rPr>
          <w:rFonts w:ascii="仿宋_GB2312" w:hAnsi="楷体" w:eastAsia="仿宋_GB2312"/>
          <w:b/>
          <w:color w:val="auto"/>
          <w:sz w:val="32"/>
          <w:szCs w:val="32"/>
          <w:highlight w:val="none"/>
        </w:rPr>
      </w:pPr>
      <w:r>
        <w:rPr>
          <w:rFonts w:hint="eastAsia" w:ascii="仿宋_GB2312" w:hAnsi="楷体" w:eastAsia="仿宋_GB2312"/>
          <w:b/>
          <w:color w:val="auto"/>
          <w:sz w:val="32"/>
          <w:szCs w:val="32"/>
          <w:highlight w:val="none"/>
        </w:rPr>
        <w:br w:type="page"/>
      </w:r>
    </w:p>
    <w:p w14:paraId="5793D17D">
      <w:pPr>
        <w:jc w:val="center"/>
        <w:rPr>
          <w:rFonts w:ascii="仿宋_GB2312" w:hAnsi="楷体" w:eastAsia="仿宋_GB2312"/>
          <w:b/>
          <w:color w:val="auto"/>
          <w:sz w:val="32"/>
          <w:szCs w:val="32"/>
          <w:highlight w:val="none"/>
        </w:rPr>
      </w:pPr>
      <w:r>
        <w:rPr>
          <w:rFonts w:hint="eastAsia" w:ascii="仿宋_GB2312" w:hAnsi="楷体" w:eastAsia="仿宋_GB2312"/>
          <w:b/>
          <w:color w:val="auto"/>
          <w:sz w:val="32"/>
          <w:szCs w:val="32"/>
          <w:highlight w:val="none"/>
        </w:rPr>
        <w:t>法定代表人授权书</w:t>
      </w:r>
    </w:p>
    <w:p w14:paraId="547C6E70">
      <w:pPr>
        <w:pStyle w:val="10"/>
        <w:spacing w:line="360" w:lineRule="auto"/>
        <w:rPr>
          <w:rFonts w:ascii="仿宋_GB2312" w:hAnsi="宋体" w:eastAsia="仿宋_GB2312"/>
          <w:color w:val="auto"/>
          <w:sz w:val="24"/>
          <w:highlight w:val="none"/>
        </w:rPr>
      </w:pPr>
    </w:p>
    <w:p w14:paraId="463EDF14">
      <w:pPr>
        <w:pStyle w:val="10"/>
        <w:spacing w:line="360" w:lineRule="auto"/>
        <w:rPr>
          <w:rFonts w:ascii="仿宋_GB2312" w:hAnsi="宋体" w:eastAsia="仿宋_GB2312"/>
          <w:color w:val="auto"/>
          <w:sz w:val="24"/>
          <w:highlight w:val="none"/>
        </w:rPr>
      </w:pPr>
      <w:r>
        <w:rPr>
          <w:rFonts w:hint="eastAsia" w:ascii="仿宋_GB2312" w:hAnsi="宋体" w:eastAsia="仿宋_GB2312"/>
          <w:color w:val="auto"/>
          <w:sz w:val="24"/>
          <w:highlight w:val="none"/>
        </w:rPr>
        <w:t>广西壮族自治区交通运输综合行政执法局：</w:t>
      </w:r>
    </w:p>
    <w:p w14:paraId="41018475">
      <w:pPr>
        <w:spacing w:line="360" w:lineRule="auto"/>
        <w:ind w:firstLine="480" w:firstLineChars="200"/>
        <w:rPr>
          <w:rFonts w:ascii="仿宋_GB2312" w:hAnsi="宋体" w:eastAsia="仿宋_GB2312" w:cs="宋体"/>
          <w:color w:val="auto"/>
          <w:kern w:val="0"/>
          <w:sz w:val="24"/>
          <w:highlight w:val="none"/>
        </w:rPr>
      </w:pPr>
      <w:r>
        <w:rPr>
          <w:rFonts w:hint="eastAsia" w:ascii="仿宋_GB2312" w:hAnsi="宋体" w:eastAsia="仿宋_GB2312"/>
          <w:color w:val="auto"/>
          <w:sz w:val="24"/>
          <w:highlight w:val="none"/>
        </w:rPr>
        <w:t>兹授权</w:t>
      </w:r>
      <w:r>
        <w:rPr>
          <w:rFonts w:hint="eastAsia" w:ascii="仿宋_GB2312" w:hAnsi="宋体" w:eastAsia="仿宋_GB2312"/>
          <w:color w:val="auto"/>
          <w:sz w:val="24"/>
          <w:highlight w:val="none"/>
          <w:u w:val="single"/>
        </w:rPr>
        <w:t xml:space="preserve">    </w:t>
      </w:r>
      <w:r>
        <w:rPr>
          <w:rFonts w:hint="eastAsia" w:ascii="仿宋_GB2312" w:hAnsi="宋体" w:eastAsia="仿宋_GB2312"/>
          <w:color w:val="auto"/>
          <w:sz w:val="24"/>
          <w:highlight w:val="none"/>
        </w:rPr>
        <w:t>同志为我公司参加贵单位组织的</w:t>
      </w:r>
      <w:r>
        <w:rPr>
          <w:rFonts w:hint="eastAsia" w:ascii="仿宋_GB2312" w:hAnsi="宋体" w:eastAsia="仿宋_GB2312"/>
          <w:color w:val="auto"/>
          <w:sz w:val="24"/>
          <w:highlight w:val="none"/>
          <w:u w:val="single"/>
        </w:rPr>
        <w:t>微信公众号运维</w:t>
      </w:r>
      <w:r>
        <w:rPr>
          <w:rFonts w:hint="eastAsia" w:ascii="仿宋_GB2312" w:hAnsi="宋体" w:eastAsia="仿宋_GB2312"/>
          <w:color w:val="auto"/>
          <w:sz w:val="24"/>
          <w:highlight w:val="none"/>
          <w:u w:val="single"/>
          <w:lang w:val="en-US" w:eastAsia="zh-CN"/>
        </w:rPr>
        <w:t>服务</w:t>
      </w:r>
      <w:r>
        <w:rPr>
          <w:rFonts w:hint="eastAsia" w:ascii="仿宋_GB2312" w:hAnsi="宋体" w:eastAsia="仿宋_GB2312"/>
          <w:color w:val="auto"/>
          <w:sz w:val="24"/>
          <w:highlight w:val="none"/>
          <w:u w:val="single"/>
        </w:rPr>
        <w:t>项目</w:t>
      </w:r>
      <w:r>
        <w:rPr>
          <w:rFonts w:hint="eastAsia" w:ascii="仿宋_GB2312" w:hAnsi="宋体" w:eastAsia="仿宋_GB2312" w:cs="仿宋_GB2312"/>
          <w:color w:val="auto"/>
          <w:sz w:val="24"/>
          <w:highlight w:val="none"/>
        </w:rPr>
        <w:t>采购</w:t>
      </w:r>
      <w:r>
        <w:rPr>
          <w:rFonts w:hint="eastAsia" w:ascii="仿宋_GB2312" w:hAnsi="宋体" w:eastAsia="仿宋_GB2312"/>
          <w:color w:val="auto"/>
          <w:sz w:val="24"/>
          <w:highlight w:val="none"/>
        </w:rPr>
        <w:t>活动的委托代理人，全权代表我公司处理在该项目活动中的一切事宜。代理期限从   年  月  日起至   年  月  日止。</w:t>
      </w:r>
    </w:p>
    <w:p w14:paraId="5F614E19">
      <w:pPr>
        <w:pStyle w:val="10"/>
        <w:spacing w:line="360" w:lineRule="auto"/>
        <w:ind w:firstLine="480"/>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授权单位（盖章）：</w:t>
      </w:r>
    </w:p>
    <w:p w14:paraId="5611E954">
      <w:pPr>
        <w:pStyle w:val="10"/>
        <w:spacing w:line="360" w:lineRule="auto"/>
        <w:ind w:firstLine="480"/>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法定代表人(签字或盖章)：</w:t>
      </w:r>
    </w:p>
    <w:p w14:paraId="65576CF0">
      <w:pPr>
        <w:pStyle w:val="10"/>
        <w:spacing w:line="360" w:lineRule="auto"/>
        <w:ind w:firstLine="480"/>
        <w:rPr>
          <w:rFonts w:ascii="仿宋_GB2312" w:hAnsi="宋体" w:eastAsia="仿宋_GB2312"/>
          <w:color w:val="auto"/>
          <w:sz w:val="24"/>
          <w:highlight w:val="none"/>
        </w:rPr>
      </w:pPr>
      <w:r>
        <w:rPr>
          <w:rFonts w:hint="eastAsia" w:ascii="仿宋_GB2312" w:hAnsi="宋体" w:eastAsia="仿宋_GB2312"/>
          <w:color w:val="auto"/>
          <w:sz w:val="24"/>
          <w:highlight w:val="none"/>
        </w:rPr>
        <w:t>签发日期：   年  月  日</w:t>
      </w:r>
    </w:p>
    <w:p w14:paraId="297266F0">
      <w:pPr>
        <w:pStyle w:val="10"/>
        <w:spacing w:line="360" w:lineRule="auto"/>
        <w:ind w:firstLine="480"/>
        <w:rPr>
          <w:rFonts w:ascii="仿宋_GB2312" w:hAnsi="宋体" w:eastAsia="仿宋_GB2312" w:cs="仿宋_GB2312"/>
          <w:color w:val="auto"/>
          <w:sz w:val="24"/>
          <w:highlight w:val="none"/>
          <w:u w:val="single"/>
        </w:rPr>
      </w:pPr>
      <w:r>
        <w:rPr>
          <w:rFonts w:hint="eastAsia" w:ascii="仿宋_GB2312" w:hAnsi="宋体" w:eastAsia="仿宋_GB2312"/>
          <w:color w:val="auto"/>
          <w:sz w:val="24"/>
          <w:highlight w:val="none"/>
        </w:rPr>
        <w:t>委托代理人工作单位：</w:t>
      </w:r>
    </w:p>
    <w:p w14:paraId="01B5D0E0">
      <w:pPr>
        <w:pStyle w:val="10"/>
        <w:spacing w:line="360" w:lineRule="auto"/>
        <w:ind w:firstLine="480"/>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职务：        性别：</w:t>
      </w:r>
    </w:p>
    <w:p w14:paraId="3CA3EEA8">
      <w:pPr>
        <w:pStyle w:val="10"/>
        <w:spacing w:line="360" w:lineRule="auto"/>
        <w:ind w:firstLine="480"/>
        <w:rPr>
          <w:rFonts w:ascii="仿宋_GB2312" w:hAnsi="宋体" w:eastAsia="仿宋_GB2312"/>
          <w:color w:val="auto"/>
          <w:sz w:val="24"/>
          <w:highlight w:val="none"/>
          <w:u w:val="single"/>
        </w:rPr>
      </w:pPr>
      <w:r>
        <w:rPr>
          <w:rFonts w:hint="eastAsia" w:ascii="仿宋_GB2312" w:hAnsi="宋体" w:eastAsia="仿宋_GB2312"/>
          <w:color w:val="auto"/>
          <w:sz w:val="24"/>
          <w:highlight w:val="none"/>
        </w:rPr>
        <w:t>身份证号码：</w:t>
      </w:r>
    </w:p>
    <w:p w14:paraId="091C2679">
      <w:pPr>
        <w:pStyle w:val="12"/>
        <w:ind w:firstLine="0" w:firstLineChars="0"/>
        <w:rPr>
          <w:rFonts w:ascii="仿宋_GB2312" w:hAnsi="宋体" w:eastAsia="仿宋_GB2312"/>
          <w:color w:val="auto"/>
          <w:sz w:val="24"/>
          <w:szCs w:val="24"/>
          <w:highlight w:val="none"/>
        </w:rPr>
      </w:pPr>
    </w:p>
    <w:p w14:paraId="5A8C3127">
      <w:pPr>
        <w:rPr>
          <w:rFonts w:ascii="仿宋_GB2312" w:hAnsi="宋体" w:eastAsia="仿宋_GB2312"/>
          <w:color w:val="auto"/>
          <w:sz w:val="24"/>
          <w:highlight w:val="none"/>
        </w:rPr>
      </w:pPr>
      <w:r>
        <w:rPr>
          <w:rFonts w:hint="eastAsia" w:ascii="仿宋_GB2312" w:hAnsi="宋体" w:eastAsia="仿宋_GB2312"/>
          <w:color w:val="auto"/>
          <w:sz w:val="24"/>
          <w:highlight w:val="none"/>
        </w:rPr>
        <w:t>附：法定代表人身份证复印件、委托代理人身份证复印件</w:t>
      </w:r>
    </w:p>
    <w:p w14:paraId="61134A5F">
      <w:pPr>
        <w:pStyle w:val="12"/>
        <w:ind w:firstLine="0" w:firstLineChars="0"/>
        <w:rPr>
          <w:rFonts w:ascii="仿宋_GB2312" w:hAnsi="宋体" w:eastAsia="仿宋_GB2312"/>
          <w:color w:val="auto"/>
          <w:sz w:val="28"/>
          <w:szCs w:val="36"/>
          <w:highlight w:val="none"/>
        </w:rPr>
      </w:pPr>
    </w:p>
    <w:p w14:paraId="06309604">
      <w:pPr>
        <w:rPr>
          <w:rFonts w:ascii="仿宋_GB2312" w:eastAsia="仿宋_GB2312"/>
          <w:color w:val="auto"/>
          <w:sz w:val="28"/>
          <w:szCs w:val="28"/>
          <w:highlight w:val="none"/>
        </w:rPr>
      </w:pPr>
    </w:p>
    <w:p w14:paraId="4CBCEFF1">
      <w:pPr>
        <w:rPr>
          <w:rFonts w:ascii="仿宋_GB2312" w:eastAsia="仿宋_GB2312"/>
          <w:color w:val="auto"/>
          <w:sz w:val="28"/>
          <w:szCs w:val="28"/>
          <w:highlight w:val="none"/>
        </w:rPr>
      </w:pPr>
    </w:p>
    <w:p w14:paraId="7CB34ED3">
      <w:pPr>
        <w:rPr>
          <w:rFonts w:ascii="仿宋_GB2312" w:eastAsia="仿宋_GB2312"/>
          <w:color w:val="auto"/>
          <w:sz w:val="28"/>
          <w:szCs w:val="28"/>
          <w:highlight w:val="none"/>
        </w:rPr>
      </w:pPr>
    </w:p>
    <w:p w14:paraId="33FEB96B">
      <w:pPr>
        <w:rPr>
          <w:rFonts w:ascii="仿宋_GB2312" w:eastAsia="仿宋_GB2312"/>
          <w:color w:val="auto"/>
          <w:sz w:val="28"/>
          <w:szCs w:val="28"/>
          <w:highlight w:val="none"/>
        </w:rPr>
      </w:pPr>
    </w:p>
    <w:p w14:paraId="471DAD35">
      <w:pPr>
        <w:rPr>
          <w:rFonts w:ascii="仿宋_GB2312" w:eastAsia="仿宋_GB2312"/>
          <w:color w:val="auto"/>
          <w:sz w:val="28"/>
          <w:szCs w:val="28"/>
          <w:highlight w:val="none"/>
        </w:rPr>
      </w:pPr>
    </w:p>
    <w:p w14:paraId="7E369168">
      <w:pPr>
        <w:rPr>
          <w:rFonts w:ascii="仿宋_GB2312" w:eastAsia="仿宋_GB2312"/>
          <w:color w:val="auto"/>
          <w:sz w:val="28"/>
          <w:szCs w:val="28"/>
          <w:highlight w:val="none"/>
        </w:rPr>
      </w:pPr>
    </w:p>
    <w:p w14:paraId="40BF3F43">
      <w:pPr>
        <w:rPr>
          <w:rFonts w:ascii="仿宋_GB2312" w:eastAsia="仿宋_GB2312"/>
          <w:color w:val="auto"/>
          <w:sz w:val="28"/>
          <w:szCs w:val="28"/>
          <w:highlight w:val="none"/>
        </w:rPr>
      </w:pPr>
    </w:p>
    <w:p w14:paraId="071A2F0A">
      <w:pPr>
        <w:rPr>
          <w:rFonts w:ascii="仿宋_GB2312" w:eastAsia="仿宋_GB2312"/>
          <w:color w:val="auto"/>
          <w:sz w:val="28"/>
          <w:szCs w:val="28"/>
          <w:highlight w:val="none"/>
        </w:rPr>
      </w:pPr>
    </w:p>
    <w:p w14:paraId="2A1FED5B">
      <w:pPr>
        <w:rPr>
          <w:rFonts w:ascii="仿宋_GB2312" w:eastAsia="仿宋_GB2312"/>
          <w:color w:val="auto"/>
          <w:sz w:val="28"/>
          <w:szCs w:val="28"/>
          <w:highlight w:val="none"/>
        </w:rPr>
      </w:pPr>
    </w:p>
    <w:p w14:paraId="2041E715">
      <w:pPr>
        <w:rPr>
          <w:rFonts w:ascii="仿宋_GB2312" w:eastAsia="仿宋_GB2312"/>
          <w:color w:val="auto"/>
          <w:sz w:val="28"/>
          <w:szCs w:val="28"/>
          <w:highlight w:val="none"/>
        </w:rPr>
      </w:pPr>
    </w:p>
    <w:p w14:paraId="26033285">
      <w:pPr>
        <w:rPr>
          <w:rFonts w:ascii="仿宋_GB2312" w:eastAsia="仿宋_GB2312"/>
          <w:color w:val="auto"/>
          <w:sz w:val="28"/>
          <w:szCs w:val="28"/>
          <w:highlight w:val="none"/>
        </w:rPr>
      </w:pPr>
    </w:p>
    <w:p w14:paraId="1D9F15CA">
      <w:pPr>
        <w:jc w:val="center"/>
        <w:rPr>
          <w:rFonts w:ascii="仿宋_GB2312" w:eastAsia="仿宋_GB2312"/>
          <w:color w:val="auto"/>
          <w:sz w:val="28"/>
          <w:szCs w:val="28"/>
          <w:highlight w:val="none"/>
        </w:rPr>
      </w:pPr>
      <w:r>
        <w:rPr>
          <w:rFonts w:hint="eastAsia" w:ascii="仿宋_GB2312" w:hAnsi="宋体" w:eastAsia="仿宋_GB2312"/>
          <w:b/>
          <w:color w:val="auto"/>
          <w:sz w:val="28"/>
          <w:szCs w:val="21"/>
          <w:highlight w:val="none"/>
        </w:rPr>
        <w:t>相关业绩证明材料（成交通知书、项目合同等）</w:t>
      </w:r>
    </w:p>
    <w:p w14:paraId="5340E131">
      <w:pPr>
        <w:jc w:val="center"/>
        <w:rPr>
          <w:rFonts w:ascii="仿宋_GB2312" w:hAnsi="宋体" w:eastAsia="仿宋_GB2312"/>
          <w:b/>
          <w:color w:val="auto"/>
          <w:sz w:val="28"/>
          <w:szCs w:val="21"/>
          <w:highlight w:val="none"/>
        </w:rPr>
      </w:pPr>
    </w:p>
    <w:p w14:paraId="039AEED3">
      <w:pPr>
        <w:jc w:val="center"/>
        <w:rPr>
          <w:rFonts w:ascii="仿宋_GB2312" w:hAnsi="宋体" w:eastAsia="仿宋_GB2312"/>
          <w:b/>
          <w:color w:val="auto"/>
          <w:sz w:val="28"/>
          <w:szCs w:val="21"/>
          <w:highlight w:val="none"/>
        </w:rPr>
      </w:pPr>
    </w:p>
    <w:p w14:paraId="57442887">
      <w:pPr>
        <w:jc w:val="center"/>
        <w:rPr>
          <w:rFonts w:ascii="仿宋_GB2312" w:hAnsi="宋体" w:eastAsia="仿宋_GB2312"/>
          <w:b/>
          <w:color w:val="auto"/>
          <w:sz w:val="28"/>
          <w:szCs w:val="21"/>
          <w:highlight w:val="none"/>
        </w:rPr>
      </w:pPr>
    </w:p>
    <w:p w14:paraId="26CF4248">
      <w:pPr>
        <w:jc w:val="center"/>
        <w:rPr>
          <w:rFonts w:ascii="仿宋_GB2312" w:hAnsi="宋体" w:eastAsia="仿宋_GB2312"/>
          <w:b/>
          <w:color w:val="auto"/>
          <w:sz w:val="28"/>
          <w:szCs w:val="21"/>
          <w:highlight w:val="none"/>
        </w:rPr>
      </w:pPr>
    </w:p>
    <w:p w14:paraId="5E79EBAD">
      <w:pPr>
        <w:jc w:val="center"/>
        <w:rPr>
          <w:rFonts w:ascii="仿宋_GB2312" w:hAnsi="宋体" w:eastAsia="仿宋_GB2312"/>
          <w:b/>
          <w:color w:val="auto"/>
          <w:sz w:val="28"/>
          <w:szCs w:val="21"/>
          <w:highlight w:val="none"/>
        </w:rPr>
      </w:pPr>
    </w:p>
    <w:p w14:paraId="301B9774">
      <w:pPr>
        <w:jc w:val="center"/>
        <w:rPr>
          <w:rFonts w:ascii="仿宋_GB2312" w:hAnsi="宋体" w:eastAsia="仿宋_GB2312"/>
          <w:b/>
          <w:color w:val="auto"/>
          <w:sz w:val="28"/>
          <w:szCs w:val="21"/>
          <w:highlight w:val="none"/>
        </w:rPr>
      </w:pPr>
    </w:p>
    <w:p w14:paraId="1C67CCB7">
      <w:pPr>
        <w:jc w:val="center"/>
        <w:rPr>
          <w:rFonts w:ascii="仿宋_GB2312" w:hAnsi="宋体" w:eastAsia="仿宋_GB2312"/>
          <w:b/>
          <w:color w:val="auto"/>
          <w:sz w:val="28"/>
          <w:szCs w:val="21"/>
          <w:highlight w:val="none"/>
        </w:rPr>
      </w:pPr>
    </w:p>
    <w:p w14:paraId="0C7B88F8">
      <w:pPr>
        <w:jc w:val="center"/>
        <w:rPr>
          <w:rFonts w:ascii="仿宋_GB2312" w:hAnsi="宋体" w:eastAsia="仿宋_GB2312"/>
          <w:b/>
          <w:color w:val="auto"/>
          <w:sz w:val="28"/>
          <w:szCs w:val="21"/>
          <w:highlight w:val="none"/>
        </w:rPr>
      </w:pPr>
    </w:p>
    <w:p w14:paraId="63CD6BB6">
      <w:pPr>
        <w:jc w:val="center"/>
        <w:rPr>
          <w:rFonts w:ascii="仿宋_GB2312" w:hAnsi="宋体" w:eastAsia="仿宋_GB2312"/>
          <w:b/>
          <w:color w:val="auto"/>
          <w:sz w:val="28"/>
          <w:szCs w:val="21"/>
          <w:highlight w:val="none"/>
        </w:rPr>
      </w:pPr>
    </w:p>
    <w:p w14:paraId="63306EFB">
      <w:pPr>
        <w:jc w:val="center"/>
        <w:rPr>
          <w:rFonts w:ascii="仿宋_GB2312" w:hAnsi="宋体" w:eastAsia="仿宋_GB2312"/>
          <w:b/>
          <w:color w:val="auto"/>
          <w:sz w:val="28"/>
          <w:szCs w:val="21"/>
          <w:highlight w:val="none"/>
        </w:rPr>
      </w:pPr>
    </w:p>
    <w:p w14:paraId="29943617">
      <w:pPr>
        <w:jc w:val="center"/>
        <w:rPr>
          <w:rFonts w:ascii="仿宋_GB2312" w:hAnsi="宋体" w:eastAsia="仿宋_GB2312"/>
          <w:b/>
          <w:color w:val="auto"/>
          <w:sz w:val="28"/>
          <w:szCs w:val="21"/>
          <w:highlight w:val="none"/>
        </w:rPr>
      </w:pPr>
    </w:p>
    <w:p w14:paraId="0407141A">
      <w:pPr>
        <w:jc w:val="center"/>
        <w:rPr>
          <w:rFonts w:ascii="仿宋_GB2312" w:hAnsi="宋体" w:eastAsia="仿宋_GB2312"/>
          <w:b/>
          <w:color w:val="auto"/>
          <w:sz w:val="28"/>
          <w:szCs w:val="21"/>
          <w:highlight w:val="none"/>
        </w:rPr>
      </w:pPr>
    </w:p>
    <w:p w14:paraId="3DE00ABB">
      <w:pPr>
        <w:jc w:val="center"/>
        <w:rPr>
          <w:rFonts w:ascii="仿宋_GB2312" w:hAnsi="宋体" w:eastAsia="仿宋_GB2312"/>
          <w:b/>
          <w:color w:val="auto"/>
          <w:sz w:val="28"/>
          <w:szCs w:val="21"/>
          <w:highlight w:val="none"/>
        </w:rPr>
      </w:pPr>
    </w:p>
    <w:p w14:paraId="12AC92DE">
      <w:pPr>
        <w:jc w:val="center"/>
        <w:rPr>
          <w:rFonts w:ascii="仿宋_GB2312" w:hAnsi="宋体" w:eastAsia="仿宋_GB2312"/>
          <w:b/>
          <w:color w:val="auto"/>
          <w:sz w:val="28"/>
          <w:szCs w:val="21"/>
          <w:highlight w:val="none"/>
        </w:rPr>
      </w:pPr>
    </w:p>
    <w:p w14:paraId="73C4F151">
      <w:pPr>
        <w:jc w:val="center"/>
        <w:rPr>
          <w:rFonts w:ascii="仿宋_GB2312" w:hAnsi="宋体" w:eastAsia="仿宋_GB2312"/>
          <w:b/>
          <w:color w:val="auto"/>
          <w:sz w:val="28"/>
          <w:szCs w:val="21"/>
          <w:highlight w:val="none"/>
        </w:rPr>
      </w:pPr>
    </w:p>
    <w:p w14:paraId="5D2401AE">
      <w:pPr>
        <w:jc w:val="center"/>
        <w:rPr>
          <w:rFonts w:ascii="仿宋_GB2312" w:hAnsi="宋体" w:eastAsia="仿宋_GB2312"/>
          <w:b/>
          <w:color w:val="auto"/>
          <w:sz w:val="28"/>
          <w:szCs w:val="21"/>
          <w:highlight w:val="none"/>
        </w:rPr>
      </w:pPr>
    </w:p>
    <w:p w14:paraId="3EC956E5">
      <w:pPr>
        <w:jc w:val="center"/>
        <w:rPr>
          <w:rFonts w:ascii="仿宋_GB2312" w:hAnsi="宋体" w:eastAsia="仿宋_GB2312"/>
          <w:b/>
          <w:color w:val="auto"/>
          <w:sz w:val="28"/>
          <w:szCs w:val="21"/>
          <w:highlight w:val="none"/>
        </w:rPr>
      </w:pPr>
    </w:p>
    <w:p w14:paraId="3608388A">
      <w:pPr>
        <w:jc w:val="center"/>
        <w:rPr>
          <w:rFonts w:ascii="仿宋_GB2312" w:hAnsi="宋体" w:eastAsia="仿宋_GB2312"/>
          <w:b/>
          <w:color w:val="auto"/>
          <w:sz w:val="28"/>
          <w:szCs w:val="21"/>
          <w:highlight w:val="none"/>
        </w:rPr>
      </w:pPr>
    </w:p>
    <w:p w14:paraId="25FDD86C">
      <w:pPr>
        <w:jc w:val="center"/>
        <w:rPr>
          <w:rFonts w:ascii="仿宋_GB2312" w:hAnsi="宋体" w:eastAsia="仿宋_GB2312"/>
          <w:b/>
          <w:color w:val="auto"/>
          <w:sz w:val="28"/>
          <w:szCs w:val="21"/>
          <w:highlight w:val="none"/>
        </w:rPr>
      </w:pPr>
    </w:p>
    <w:p w14:paraId="66BF2657">
      <w:pPr>
        <w:jc w:val="center"/>
        <w:rPr>
          <w:rFonts w:ascii="仿宋_GB2312" w:hAnsi="宋体" w:eastAsia="仿宋_GB2312"/>
          <w:b/>
          <w:color w:val="auto"/>
          <w:sz w:val="28"/>
          <w:szCs w:val="21"/>
          <w:highlight w:val="none"/>
        </w:rPr>
      </w:pPr>
    </w:p>
    <w:p w14:paraId="213CA371">
      <w:pPr>
        <w:jc w:val="center"/>
        <w:rPr>
          <w:rFonts w:ascii="仿宋_GB2312" w:hAnsi="宋体" w:eastAsia="仿宋_GB2312"/>
          <w:b/>
          <w:color w:val="auto"/>
          <w:sz w:val="28"/>
          <w:szCs w:val="21"/>
          <w:highlight w:val="none"/>
        </w:rPr>
      </w:pPr>
    </w:p>
    <w:p w14:paraId="2BC6589F">
      <w:pPr>
        <w:jc w:val="center"/>
        <w:rPr>
          <w:rFonts w:ascii="仿宋_GB2312" w:eastAsia="仿宋_GB2312"/>
          <w:color w:val="auto"/>
          <w:sz w:val="28"/>
          <w:szCs w:val="28"/>
          <w:highlight w:val="none"/>
        </w:rPr>
      </w:pPr>
      <w:r>
        <w:rPr>
          <w:rFonts w:hint="eastAsia" w:ascii="仿宋_GB2312" w:hAnsi="宋体" w:eastAsia="仿宋_GB2312"/>
          <w:b/>
          <w:color w:val="auto"/>
          <w:sz w:val="28"/>
          <w:szCs w:val="21"/>
          <w:highlight w:val="none"/>
        </w:rPr>
        <w:t>其他需要提供的材料</w:t>
      </w:r>
    </w:p>
    <w:p w14:paraId="3547BBE4">
      <w:pPr>
        <w:rPr>
          <w:rFonts w:ascii="仿宋_GB2312" w:hAnsi="宋体" w:eastAsia="仿宋_GB2312"/>
          <w:b/>
          <w:color w:val="auto"/>
          <w:sz w:val="28"/>
          <w:szCs w:val="21"/>
          <w:highlight w:val="none"/>
        </w:rPr>
      </w:pPr>
    </w:p>
    <w:p w14:paraId="3E1DCE45">
      <w:pPr>
        <w:pStyle w:val="2"/>
        <w:spacing w:before="0" w:after="0"/>
        <w:ind w:firstLine="960" w:firstLineChars="200"/>
        <w:rPr>
          <w:color w:val="auto"/>
          <w:highlight w:val="none"/>
        </w:rPr>
      </w:pPr>
    </w:p>
    <w:p w14:paraId="0AB375E8">
      <w:pPr>
        <w:rPr>
          <w:color w:val="auto"/>
          <w:highlight w:val="none"/>
        </w:rPr>
      </w:pPr>
    </w:p>
    <w:p w14:paraId="77CCAC85">
      <w:pPr>
        <w:rPr>
          <w:color w:val="auto"/>
          <w:highlight w:val="none"/>
        </w:rPr>
      </w:pPr>
      <w:bookmarkStart w:id="4" w:name="_GoBack"/>
      <w:bookmarkEnd w:id="4"/>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0000000000000000000"/>
    <w:charset w:val="86"/>
    <w:family w:val="auto"/>
    <w:pitch w:val="default"/>
    <w:sig w:usb0="00000000" w:usb1="0000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AD9B3">
    <w:pPr>
      <w:pStyle w:val="4"/>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4AB5013">
                <w:pPr>
                  <w:pStyle w:val="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43AC0C"/>
    <w:multiLevelType w:val="singleLevel"/>
    <w:tmpl w:val="8C43AC0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130D2"/>
    <w:rsid w:val="000130D2"/>
    <w:rsid w:val="00026B81"/>
    <w:rsid w:val="00061FC8"/>
    <w:rsid w:val="000E0FBE"/>
    <w:rsid w:val="001864FC"/>
    <w:rsid w:val="00186D95"/>
    <w:rsid w:val="001F7923"/>
    <w:rsid w:val="00290B2F"/>
    <w:rsid w:val="0029139D"/>
    <w:rsid w:val="002B14B9"/>
    <w:rsid w:val="002B5B09"/>
    <w:rsid w:val="00353927"/>
    <w:rsid w:val="00386306"/>
    <w:rsid w:val="00395568"/>
    <w:rsid w:val="00442594"/>
    <w:rsid w:val="00523550"/>
    <w:rsid w:val="00525527"/>
    <w:rsid w:val="00595FD8"/>
    <w:rsid w:val="006127B1"/>
    <w:rsid w:val="006472E2"/>
    <w:rsid w:val="00655833"/>
    <w:rsid w:val="00674BFC"/>
    <w:rsid w:val="00682C8B"/>
    <w:rsid w:val="007C19AD"/>
    <w:rsid w:val="007F2816"/>
    <w:rsid w:val="00815E90"/>
    <w:rsid w:val="00822521"/>
    <w:rsid w:val="008720E6"/>
    <w:rsid w:val="008B1EFA"/>
    <w:rsid w:val="00912780"/>
    <w:rsid w:val="009F137D"/>
    <w:rsid w:val="009F7E31"/>
    <w:rsid w:val="00A14A5E"/>
    <w:rsid w:val="00A16E56"/>
    <w:rsid w:val="00A17188"/>
    <w:rsid w:val="00AD0163"/>
    <w:rsid w:val="00B25ED0"/>
    <w:rsid w:val="00B65F1A"/>
    <w:rsid w:val="00C00380"/>
    <w:rsid w:val="00CC7013"/>
    <w:rsid w:val="00FD54A4"/>
    <w:rsid w:val="0894747D"/>
    <w:rsid w:val="0A6F13C5"/>
    <w:rsid w:val="166932E0"/>
    <w:rsid w:val="21983DB1"/>
    <w:rsid w:val="562E3E33"/>
    <w:rsid w:val="5A6C5F0A"/>
    <w:rsid w:val="645F5FF4"/>
    <w:rsid w:val="7E410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qFormat/>
    <w:uiPriority w:val="9"/>
    <w:pPr>
      <w:keepNext/>
      <w:keepLines/>
      <w:spacing w:before="480" w:after="80"/>
      <w:outlineLvl w:val="0"/>
    </w:pPr>
    <w:rPr>
      <w:rFonts w:ascii="Cambria" w:hAnsi="Cambria" w:cs="宋体"/>
      <w:color w:val="365F91"/>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link w:val="9"/>
    <w:semiHidden/>
    <w:unhideWhenUsed/>
    <w:qFormat/>
    <w:uiPriority w:val="0"/>
    <w:rPr>
      <w:rFonts w:ascii="宋体" w:hAnsi="Courier New"/>
      <w:szCs w:val="20"/>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标题 1 Char"/>
    <w:basedOn w:val="7"/>
    <w:link w:val="2"/>
    <w:qFormat/>
    <w:uiPriority w:val="9"/>
    <w:rPr>
      <w:rFonts w:ascii="Cambria" w:hAnsi="Cambria" w:eastAsia="宋体" w:cs="宋体"/>
      <w:color w:val="365F91"/>
      <w:sz w:val="48"/>
      <w:szCs w:val="48"/>
    </w:rPr>
  </w:style>
  <w:style w:type="character" w:customStyle="1" w:styleId="9">
    <w:name w:val="纯文本 Char"/>
    <w:basedOn w:val="7"/>
    <w:link w:val="3"/>
    <w:semiHidden/>
    <w:qFormat/>
    <w:uiPriority w:val="0"/>
    <w:rPr>
      <w:rFonts w:ascii="宋体" w:hAnsi="Courier New" w:eastAsia="宋体" w:cs="Times New Roman"/>
      <w:szCs w:val="20"/>
    </w:rPr>
  </w:style>
  <w:style w:type="paragraph" w:styleId="10">
    <w:name w:val="List Paragraph"/>
    <w:basedOn w:val="1"/>
    <w:qFormat/>
    <w:uiPriority w:val="34"/>
    <w:pPr>
      <w:ind w:left="720"/>
      <w:contextualSpacing/>
    </w:pPr>
  </w:style>
  <w:style w:type="paragraph" w:customStyle="1" w:styleId="11">
    <w:name w:val="Body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customStyle="1" w:styleId="12">
    <w:name w:val="_Style 1"/>
    <w:basedOn w:val="1"/>
    <w:qFormat/>
    <w:uiPriority w:val="34"/>
    <w:pPr>
      <w:ind w:firstLine="420" w:firstLineChars="200"/>
    </w:pPr>
    <w:rPr>
      <w:rFonts w:ascii="Calibri" w:hAnsi="Calibri"/>
      <w:szCs w:val="22"/>
    </w:rPr>
  </w:style>
  <w:style w:type="character" w:customStyle="1" w:styleId="13">
    <w:name w:val="页眉 Char"/>
    <w:basedOn w:val="7"/>
    <w:link w:val="5"/>
    <w:qFormat/>
    <w:uiPriority w:val="99"/>
    <w:rPr>
      <w:rFonts w:ascii="Times New Roman" w:hAnsi="Times New Roman" w:eastAsia="宋体" w:cs="Times New Roman"/>
      <w:sz w:val="18"/>
      <w:szCs w:val="18"/>
    </w:rPr>
  </w:style>
  <w:style w:type="character" w:customStyle="1" w:styleId="14">
    <w:name w:val="页脚 Char"/>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5978</Words>
  <Characters>6117</Characters>
  <Lines>48</Lines>
  <Paragraphs>13</Paragraphs>
  <TotalTime>1197</TotalTime>
  <ScaleCrop>false</ScaleCrop>
  <LinksUpToDate>false</LinksUpToDate>
  <CharactersWithSpaces>6304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2026-01-28T08:48:00Z</dcterms:created>
  <dc:creator>admin</dc:creator>
  <cp:lastModifiedBy>上邪</cp:lastModifiedBy>
  <cp:lastPrinted>2026-03-17T01:40:56Z</cp:lastPrinted>
  <dcterms:modified xsi:type="dcterms:W3CDTF">2026-03-17T01:41:02Z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eyJoZGlkIjoiYjJjOTQxYzhjODMyMDAzZmE0MDJkMWFkNmJlNDkwYTUiLCJ1c2VySWQiOiI0MzI4NDczNDUifQ==</vt:lpwstr>
  </property>
  <property fmtid="{D5CDD505-2E9C-101B-9397-08002B2CF9AE}" pid="3" name="KSOProductBuildVer">
    <vt:lpwstr>2052-12.1.0.25225</vt:lpwstr>
  </property>
  <property fmtid="{D5CDD505-2E9C-101B-9397-08002B2CF9AE}" pid="4" name="ICV">
    <vt:lpwstr>1756720416D2482488BCEB0B67B1A09F_12</vt:lpwstr>
  </property>
</Properties>
</file>