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09169">
      <w:pPr>
        <w:ind w:firstLine="3253"/>
        <w:rPr>
          <w:highlight w:val="none"/>
        </w:rPr>
      </w:pPr>
    </w:p>
    <w:p w14:paraId="2D8CD759">
      <w:pPr>
        <w:widowControl w:val="0"/>
        <w:spacing w:line="560" w:lineRule="exact"/>
        <w:ind w:firstLine="6480"/>
        <w:jc w:val="center"/>
        <w:textAlignment w:val="auto"/>
        <w:rPr>
          <w:rFonts w:ascii="方正小标宋简体" w:hAnsi="黑体" w:eastAsia="方正小标宋简体"/>
          <w:sz w:val="48"/>
          <w:szCs w:val="44"/>
          <w:highlight w:val="none"/>
        </w:rPr>
      </w:pPr>
    </w:p>
    <w:p w14:paraId="4EC46AC5">
      <w:pPr>
        <w:widowControl w:val="0"/>
        <w:spacing w:line="560" w:lineRule="exact"/>
        <w:jc w:val="center"/>
        <w:textAlignment w:val="auto"/>
        <w:rPr>
          <w:rFonts w:ascii="方正小标宋_GBK" w:hAnsi="黑体" w:eastAsia="方正小标宋_GBK"/>
          <w:spacing w:val="-10"/>
          <w:sz w:val="48"/>
          <w:szCs w:val="44"/>
          <w:highlight w:val="none"/>
        </w:rPr>
      </w:pPr>
      <w:r>
        <w:rPr>
          <w:rFonts w:hint="eastAsia" w:ascii="方正小标宋_GBK" w:hAnsi="黑体" w:eastAsia="方正小标宋_GBK"/>
          <w:spacing w:val="-10"/>
          <w:sz w:val="48"/>
          <w:szCs w:val="44"/>
          <w:highlight w:val="none"/>
        </w:rPr>
        <w:t>广西壮族自治区交通运输综合行政执法局网络机房运维服务项目</w:t>
      </w:r>
    </w:p>
    <w:p w14:paraId="0665BD20">
      <w:pPr>
        <w:widowControl w:val="0"/>
        <w:spacing w:line="560" w:lineRule="exact"/>
        <w:jc w:val="center"/>
        <w:textAlignment w:val="auto"/>
        <w:rPr>
          <w:rFonts w:ascii="方正小标宋_GBK" w:hAnsi="黑体" w:eastAsia="方正小标宋_GBK"/>
          <w:spacing w:val="-10"/>
          <w:sz w:val="48"/>
          <w:szCs w:val="44"/>
          <w:highlight w:val="none"/>
        </w:rPr>
      </w:pPr>
      <w:r>
        <w:rPr>
          <w:rFonts w:hint="eastAsia" w:ascii="方正小标宋_GBK" w:hAnsi="黑体" w:eastAsia="方正小标宋_GBK"/>
          <w:spacing w:val="-10"/>
          <w:sz w:val="48"/>
          <w:szCs w:val="44"/>
          <w:highlight w:val="none"/>
        </w:rPr>
        <w:t>询价采购文件</w:t>
      </w:r>
    </w:p>
    <w:p w14:paraId="7566A538">
      <w:pPr>
        <w:widowControl w:val="0"/>
        <w:spacing w:line="560" w:lineRule="exact"/>
        <w:ind w:firstLine="6480"/>
        <w:jc w:val="center"/>
        <w:textAlignment w:val="auto"/>
        <w:rPr>
          <w:rFonts w:ascii="方正小标宋简体" w:hAnsi="黑体" w:eastAsia="方正小标宋简体"/>
          <w:sz w:val="48"/>
          <w:szCs w:val="44"/>
          <w:highlight w:val="none"/>
        </w:rPr>
      </w:pPr>
    </w:p>
    <w:p w14:paraId="1B44B27B">
      <w:pPr>
        <w:widowControl w:val="0"/>
        <w:spacing w:line="560" w:lineRule="exact"/>
        <w:ind w:firstLine="6480"/>
        <w:jc w:val="center"/>
        <w:textAlignment w:val="auto"/>
        <w:rPr>
          <w:rFonts w:ascii="方正小标宋简体" w:hAnsi="黑体" w:eastAsia="方正小标宋简体"/>
          <w:sz w:val="48"/>
          <w:szCs w:val="44"/>
          <w:highlight w:val="none"/>
        </w:rPr>
      </w:pPr>
    </w:p>
    <w:p w14:paraId="35F80084">
      <w:pPr>
        <w:widowControl w:val="0"/>
        <w:spacing w:line="560" w:lineRule="exact"/>
        <w:ind w:firstLine="6480"/>
        <w:jc w:val="center"/>
        <w:textAlignment w:val="auto"/>
        <w:rPr>
          <w:rFonts w:ascii="方正小标宋简体" w:hAnsi="黑体" w:eastAsia="方正小标宋简体"/>
          <w:sz w:val="48"/>
          <w:szCs w:val="44"/>
          <w:highlight w:val="none"/>
        </w:rPr>
      </w:pPr>
    </w:p>
    <w:p w14:paraId="22816BAF">
      <w:pPr>
        <w:widowControl w:val="0"/>
        <w:spacing w:line="560" w:lineRule="exact"/>
        <w:ind w:firstLine="6480"/>
        <w:jc w:val="center"/>
        <w:textAlignment w:val="auto"/>
        <w:rPr>
          <w:rFonts w:ascii="方正小标宋简体" w:hAnsi="黑体" w:eastAsia="方正小标宋简体"/>
          <w:sz w:val="48"/>
          <w:szCs w:val="44"/>
          <w:highlight w:val="none"/>
        </w:rPr>
      </w:pPr>
    </w:p>
    <w:p w14:paraId="50016370">
      <w:pPr>
        <w:widowControl w:val="0"/>
        <w:spacing w:line="560" w:lineRule="exact"/>
        <w:textAlignment w:val="auto"/>
        <w:rPr>
          <w:rFonts w:ascii="方正小标宋简体" w:hAnsi="黑体" w:eastAsia="方正小标宋简体"/>
          <w:sz w:val="48"/>
          <w:szCs w:val="44"/>
          <w:highlight w:val="none"/>
        </w:rPr>
      </w:pPr>
    </w:p>
    <w:p w14:paraId="495D1729">
      <w:pPr>
        <w:widowControl w:val="0"/>
        <w:spacing w:line="560" w:lineRule="exact"/>
        <w:ind w:firstLine="6480"/>
        <w:jc w:val="center"/>
        <w:textAlignment w:val="auto"/>
        <w:rPr>
          <w:rFonts w:ascii="方正小标宋简体" w:hAnsi="黑体" w:eastAsia="方正小标宋简体"/>
          <w:sz w:val="48"/>
          <w:szCs w:val="44"/>
          <w:highlight w:val="none"/>
        </w:rPr>
      </w:pPr>
    </w:p>
    <w:p w14:paraId="3C55C7B6">
      <w:pPr>
        <w:widowControl w:val="0"/>
        <w:spacing w:line="560" w:lineRule="exact"/>
        <w:ind w:firstLine="6480"/>
        <w:jc w:val="center"/>
        <w:textAlignment w:val="auto"/>
        <w:rPr>
          <w:rFonts w:ascii="方正小标宋简体" w:hAnsi="黑体" w:eastAsia="方正小标宋简体"/>
          <w:sz w:val="48"/>
          <w:szCs w:val="44"/>
          <w:highlight w:val="none"/>
        </w:rPr>
      </w:pPr>
    </w:p>
    <w:p w14:paraId="7834DA15">
      <w:pPr>
        <w:widowControl w:val="0"/>
        <w:spacing w:line="560" w:lineRule="exact"/>
        <w:ind w:firstLine="6480"/>
        <w:jc w:val="center"/>
        <w:textAlignment w:val="auto"/>
        <w:rPr>
          <w:rFonts w:ascii="方正小标宋简体" w:hAnsi="黑体" w:eastAsia="方正小标宋简体"/>
          <w:sz w:val="48"/>
          <w:szCs w:val="44"/>
          <w:highlight w:val="none"/>
        </w:rPr>
      </w:pPr>
    </w:p>
    <w:p w14:paraId="46889F35">
      <w:pPr>
        <w:widowControl w:val="0"/>
        <w:spacing w:line="560" w:lineRule="exact"/>
        <w:ind w:firstLine="6480"/>
        <w:jc w:val="center"/>
        <w:textAlignment w:val="auto"/>
        <w:rPr>
          <w:rFonts w:ascii="方正小标宋简体" w:hAnsi="黑体" w:eastAsia="方正小标宋简体"/>
          <w:sz w:val="48"/>
          <w:szCs w:val="44"/>
          <w:highlight w:val="none"/>
        </w:rPr>
      </w:pPr>
    </w:p>
    <w:p w14:paraId="26947CD0">
      <w:pPr>
        <w:widowControl w:val="0"/>
        <w:spacing w:line="560" w:lineRule="exact"/>
        <w:textAlignment w:val="auto"/>
        <w:rPr>
          <w:rFonts w:ascii="方正小标宋简体" w:hAnsi="黑体" w:eastAsia="方正小标宋简体"/>
          <w:sz w:val="48"/>
          <w:szCs w:val="44"/>
          <w:highlight w:val="none"/>
        </w:rPr>
      </w:pPr>
    </w:p>
    <w:p w14:paraId="7D3C2957">
      <w:pPr>
        <w:widowControl w:val="0"/>
        <w:spacing w:line="560" w:lineRule="exact"/>
        <w:ind w:firstLine="6480"/>
        <w:jc w:val="center"/>
        <w:textAlignment w:val="auto"/>
        <w:rPr>
          <w:rFonts w:ascii="方正小标宋简体" w:hAnsi="黑体" w:eastAsia="方正小标宋简体"/>
          <w:sz w:val="48"/>
          <w:szCs w:val="44"/>
          <w:highlight w:val="none"/>
        </w:rPr>
      </w:pPr>
    </w:p>
    <w:p w14:paraId="31F22DA7">
      <w:pPr>
        <w:widowControl w:val="0"/>
        <w:spacing w:line="560" w:lineRule="exact"/>
        <w:ind w:firstLine="6480"/>
        <w:jc w:val="center"/>
        <w:textAlignment w:val="auto"/>
        <w:rPr>
          <w:rFonts w:ascii="方正小标宋简体" w:hAnsi="黑体" w:eastAsia="方正小标宋简体"/>
          <w:sz w:val="48"/>
          <w:szCs w:val="44"/>
          <w:highlight w:val="none"/>
        </w:rPr>
      </w:pPr>
    </w:p>
    <w:p w14:paraId="3C3FA024">
      <w:pPr>
        <w:widowControl w:val="0"/>
        <w:spacing w:line="560" w:lineRule="exact"/>
        <w:ind w:firstLine="6480"/>
        <w:jc w:val="center"/>
        <w:textAlignment w:val="auto"/>
        <w:rPr>
          <w:rFonts w:ascii="方正小标宋简体" w:hAnsi="黑体" w:eastAsia="方正小标宋简体"/>
          <w:sz w:val="48"/>
          <w:szCs w:val="44"/>
          <w:highlight w:val="none"/>
        </w:rPr>
      </w:pPr>
    </w:p>
    <w:p w14:paraId="76649283">
      <w:pPr>
        <w:widowControl w:val="0"/>
        <w:spacing w:line="560" w:lineRule="exact"/>
        <w:ind w:firstLine="6480"/>
        <w:jc w:val="both"/>
        <w:textAlignment w:val="auto"/>
        <w:rPr>
          <w:rFonts w:ascii="方正小标宋简体" w:hAnsi="黑体" w:eastAsia="方正小标宋简体"/>
          <w:sz w:val="48"/>
          <w:szCs w:val="44"/>
          <w:highlight w:val="none"/>
        </w:rPr>
      </w:pPr>
    </w:p>
    <w:p w14:paraId="5858E7EB">
      <w:pPr>
        <w:widowControl w:val="0"/>
        <w:spacing w:line="560" w:lineRule="exact"/>
        <w:ind w:firstLine="4860"/>
        <w:jc w:val="both"/>
        <w:textAlignment w:val="auto"/>
        <w:rPr>
          <w:rFonts w:ascii="仿宋_GB2312" w:eastAsia="仿宋_GB2312"/>
          <w:b/>
          <w:sz w:val="36"/>
          <w:szCs w:val="36"/>
          <w:highlight w:val="none"/>
        </w:rPr>
      </w:pPr>
    </w:p>
    <w:p w14:paraId="79CB31AB">
      <w:pPr>
        <w:widowControl w:val="0"/>
        <w:spacing w:line="560" w:lineRule="exact"/>
        <w:jc w:val="both"/>
        <w:textAlignment w:val="auto"/>
        <w:rPr>
          <w:rFonts w:ascii="仿宋_GB2312" w:eastAsia="仿宋_GB2312"/>
          <w:b/>
          <w:sz w:val="36"/>
          <w:szCs w:val="36"/>
          <w:highlight w:val="none"/>
        </w:rPr>
      </w:pPr>
      <w:r>
        <w:rPr>
          <w:rFonts w:ascii="仿宋_GB2312" w:eastAsia="仿宋_GB2312"/>
          <w:b/>
          <w:sz w:val="36"/>
          <w:szCs w:val="36"/>
          <w:highlight w:val="none"/>
        </w:rPr>
        <w:t>采购单位：广西壮族自治区交通运输综合行政执法局</w:t>
      </w:r>
    </w:p>
    <w:p w14:paraId="136988B1">
      <w:pPr>
        <w:widowControl w:val="0"/>
        <w:spacing w:line="560" w:lineRule="exact"/>
        <w:jc w:val="both"/>
        <w:textAlignment w:val="auto"/>
        <w:rPr>
          <w:rFonts w:ascii="仿宋_GB2312" w:eastAsia="仿宋_GB2312"/>
          <w:b/>
          <w:sz w:val="36"/>
          <w:szCs w:val="36"/>
          <w:highlight w:val="none"/>
        </w:rPr>
      </w:pPr>
      <w:r>
        <w:rPr>
          <w:rFonts w:ascii="仿宋_GB2312" w:eastAsia="仿宋_GB2312"/>
          <w:b/>
          <w:sz w:val="36"/>
          <w:szCs w:val="36"/>
          <w:highlight w:val="none"/>
        </w:rPr>
        <w:t>日    期：        202</w:t>
      </w:r>
      <w:r>
        <w:rPr>
          <w:rFonts w:hint="eastAsia" w:ascii="仿宋_GB2312" w:eastAsia="仿宋_GB2312"/>
          <w:b/>
          <w:sz w:val="36"/>
          <w:szCs w:val="36"/>
          <w:highlight w:val="none"/>
          <w:lang w:val="en-US" w:eastAsia="zh-CN"/>
        </w:rPr>
        <w:t>6</w:t>
      </w:r>
      <w:r>
        <w:rPr>
          <w:rFonts w:ascii="仿宋_GB2312" w:eastAsia="仿宋_GB2312"/>
          <w:b/>
          <w:sz w:val="36"/>
          <w:szCs w:val="36"/>
          <w:highlight w:val="none"/>
        </w:rPr>
        <w:t>年</w:t>
      </w:r>
      <w:r>
        <w:rPr>
          <w:rFonts w:hint="eastAsia" w:ascii="仿宋_GB2312" w:eastAsia="仿宋_GB2312"/>
          <w:b/>
          <w:sz w:val="36"/>
          <w:szCs w:val="36"/>
          <w:highlight w:val="none"/>
          <w:lang w:val="en-US" w:eastAsia="zh-CN"/>
        </w:rPr>
        <w:t>3</w:t>
      </w:r>
      <w:r>
        <w:rPr>
          <w:rFonts w:hint="eastAsia" w:ascii="仿宋_GB2312" w:eastAsia="仿宋_GB2312"/>
          <w:b/>
          <w:sz w:val="36"/>
          <w:szCs w:val="36"/>
          <w:highlight w:val="none"/>
        </w:rPr>
        <w:t xml:space="preserve"> </w:t>
      </w:r>
      <w:r>
        <w:rPr>
          <w:rFonts w:ascii="仿宋_GB2312" w:eastAsia="仿宋_GB2312"/>
          <w:b/>
          <w:sz w:val="36"/>
          <w:szCs w:val="36"/>
          <w:highlight w:val="none"/>
        </w:rPr>
        <w:t>月</w:t>
      </w:r>
      <w:r>
        <w:rPr>
          <w:rFonts w:hint="eastAsia" w:ascii="仿宋_GB2312" w:eastAsia="仿宋_GB2312"/>
          <w:b/>
          <w:sz w:val="36"/>
          <w:szCs w:val="36"/>
          <w:highlight w:val="none"/>
          <w:lang w:val="en-US" w:eastAsia="zh-CN"/>
        </w:rPr>
        <w:t>17</w:t>
      </w:r>
      <w:r>
        <w:rPr>
          <w:rFonts w:ascii="仿宋_GB2312" w:eastAsia="仿宋_GB2312"/>
          <w:b/>
          <w:sz w:val="36"/>
          <w:szCs w:val="36"/>
          <w:highlight w:val="none"/>
        </w:rPr>
        <w:t>日</w:t>
      </w:r>
    </w:p>
    <w:p w14:paraId="7E7E0A9B">
      <w:pPr>
        <w:widowControl w:val="0"/>
        <w:spacing w:line="560" w:lineRule="exact"/>
        <w:ind w:firstLine="6480"/>
        <w:jc w:val="center"/>
        <w:textAlignment w:val="auto"/>
        <w:rPr>
          <w:rFonts w:ascii="方正小标宋简体" w:hAnsi="黑体" w:eastAsia="方正小标宋简体"/>
          <w:sz w:val="48"/>
          <w:szCs w:val="44"/>
          <w:highlight w:val="none"/>
        </w:rPr>
      </w:pPr>
    </w:p>
    <w:p w14:paraId="0B9B6A57">
      <w:pPr>
        <w:ind w:firstLine="3253"/>
        <w:rPr>
          <w:highlight w:val="none"/>
        </w:rPr>
      </w:pPr>
    </w:p>
    <w:p w14:paraId="3C912395">
      <w:pPr>
        <w:pStyle w:val="2"/>
        <w:rPr>
          <w:highlight w:val="none"/>
        </w:rPr>
      </w:pPr>
    </w:p>
    <w:p w14:paraId="557B5CF0">
      <w:pPr>
        <w:ind w:firstLine="3253"/>
        <w:rPr>
          <w:highlight w:val="none"/>
        </w:rPr>
      </w:pPr>
    </w:p>
    <w:p w14:paraId="7B91D114">
      <w:pPr>
        <w:widowControl w:val="0"/>
        <w:spacing w:line="560" w:lineRule="exact"/>
        <w:jc w:val="center"/>
        <w:textAlignment w:val="auto"/>
        <w:rPr>
          <w:rFonts w:ascii="方正小标宋_GBK" w:hAnsi="华文中宋" w:eastAsia="方正小标宋_GBK"/>
          <w:sz w:val="44"/>
          <w:szCs w:val="44"/>
          <w:highlight w:val="none"/>
        </w:rPr>
      </w:pPr>
      <w:r>
        <w:rPr>
          <w:rFonts w:hint="eastAsia" w:ascii="方正小标宋_GBK" w:hAnsi="华文中宋" w:eastAsia="方正小标宋_GBK"/>
          <w:sz w:val="44"/>
          <w:szCs w:val="44"/>
          <w:highlight w:val="none"/>
        </w:rPr>
        <w:t>广西壮族自治区交通运输综合行政执法局</w:t>
      </w:r>
      <w:r>
        <w:rPr>
          <w:rFonts w:hint="eastAsia" w:ascii="方正小标宋_GBK" w:hAnsi="黑体" w:eastAsia="方正小标宋_GBK"/>
          <w:spacing w:val="-10"/>
          <w:sz w:val="48"/>
          <w:szCs w:val="44"/>
          <w:highlight w:val="none"/>
        </w:rPr>
        <w:t>网络机房运维服务</w:t>
      </w:r>
      <w:r>
        <w:rPr>
          <w:rFonts w:hint="eastAsia" w:ascii="方正小标宋_GBK" w:hAnsi="华文中宋" w:eastAsia="方正小标宋_GBK"/>
          <w:sz w:val="44"/>
          <w:szCs w:val="44"/>
          <w:highlight w:val="none"/>
        </w:rPr>
        <w:t>项目</w:t>
      </w:r>
    </w:p>
    <w:p w14:paraId="7D3DFE07">
      <w:pPr>
        <w:widowControl w:val="0"/>
        <w:spacing w:line="560" w:lineRule="exact"/>
        <w:jc w:val="center"/>
        <w:textAlignment w:val="auto"/>
        <w:rPr>
          <w:rFonts w:ascii="方正小标宋_GBK" w:hAnsi="华文中宋" w:eastAsia="方正小标宋_GBK"/>
          <w:sz w:val="44"/>
          <w:szCs w:val="44"/>
          <w:highlight w:val="none"/>
        </w:rPr>
      </w:pPr>
      <w:r>
        <w:rPr>
          <w:rFonts w:hint="eastAsia" w:ascii="方正小标宋_GBK" w:hAnsi="华文中宋" w:eastAsia="方正小标宋_GBK"/>
          <w:sz w:val="44"/>
          <w:szCs w:val="44"/>
          <w:highlight w:val="none"/>
        </w:rPr>
        <w:t>采购报价供应商需知</w:t>
      </w:r>
    </w:p>
    <w:p w14:paraId="4E178DC5">
      <w:pPr>
        <w:widowControl w:val="0"/>
        <w:ind w:firstLine="560" w:firstLineChars="200"/>
        <w:jc w:val="both"/>
        <w:textAlignment w:val="auto"/>
        <w:rPr>
          <w:rFonts w:ascii="仿宋_GB2312" w:eastAsia="仿宋_GB2312"/>
          <w:sz w:val="28"/>
          <w:szCs w:val="28"/>
          <w:highlight w:val="none"/>
        </w:rPr>
      </w:pPr>
    </w:p>
    <w:p w14:paraId="26CAC702">
      <w:pPr>
        <w:widowControl w:val="0"/>
        <w:ind w:firstLine="562" w:firstLineChars="200"/>
        <w:jc w:val="both"/>
        <w:textAlignment w:val="auto"/>
        <w:rPr>
          <w:rFonts w:ascii="仿宋_GB2312" w:eastAsia="仿宋_GB2312"/>
          <w:b/>
          <w:bCs/>
          <w:sz w:val="28"/>
          <w:szCs w:val="28"/>
          <w:highlight w:val="none"/>
        </w:rPr>
      </w:pPr>
      <w:r>
        <w:rPr>
          <w:rFonts w:ascii="仿宋_GB2312" w:eastAsia="仿宋_GB2312"/>
          <w:b/>
          <w:bCs/>
          <w:sz w:val="28"/>
          <w:szCs w:val="28"/>
          <w:highlight w:val="none"/>
        </w:rPr>
        <w:t>一、报价的准备和报价</w:t>
      </w:r>
    </w:p>
    <w:p w14:paraId="5A1FDD66">
      <w:pPr>
        <w:widowControl w:val="0"/>
        <w:ind w:firstLine="560" w:firstLineChars="200"/>
        <w:jc w:val="both"/>
        <w:textAlignment w:val="auto"/>
        <w:rPr>
          <w:rFonts w:ascii="仿宋_GB2312" w:eastAsia="仿宋_GB2312"/>
          <w:sz w:val="28"/>
          <w:szCs w:val="28"/>
          <w:highlight w:val="none"/>
        </w:rPr>
      </w:pPr>
      <w:r>
        <w:rPr>
          <w:rFonts w:ascii="仿宋_GB2312" w:eastAsia="仿宋_GB2312"/>
          <w:sz w:val="28"/>
          <w:szCs w:val="28"/>
          <w:highlight w:val="none"/>
        </w:rPr>
        <w:t>（一）报价方应认真审阅本询价采购文件，并按本文件的规定，提交完整的报价文件。</w:t>
      </w:r>
      <w:bookmarkStart w:id="3" w:name="_GoBack"/>
      <w:bookmarkEnd w:id="3"/>
    </w:p>
    <w:p w14:paraId="1483C98E">
      <w:pPr>
        <w:widowControl w:val="0"/>
        <w:ind w:firstLine="560" w:firstLineChars="200"/>
        <w:jc w:val="both"/>
        <w:textAlignment w:val="auto"/>
        <w:rPr>
          <w:rFonts w:ascii="仿宋_GB2312" w:eastAsia="仿宋_GB2312"/>
          <w:sz w:val="28"/>
          <w:szCs w:val="28"/>
          <w:highlight w:val="none"/>
        </w:rPr>
      </w:pPr>
      <w:r>
        <w:rPr>
          <w:rFonts w:ascii="仿宋_GB2312" w:eastAsia="仿宋_GB2312"/>
          <w:sz w:val="28"/>
          <w:szCs w:val="28"/>
          <w:highlight w:val="none"/>
        </w:rPr>
        <w:t>（二）报价方应用人民币作报价。</w:t>
      </w:r>
    </w:p>
    <w:p w14:paraId="39810F9C">
      <w:pPr>
        <w:widowControl w:val="0"/>
        <w:ind w:firstLine="560" w:firstLineChars="200"/>
        <w:jc w:val="both"/>
        <w:textAlignment w:val="auto"/>
        <w:rPr>
          <w:rFonts w:ascii="仿宋_GB2312" w:eastAsia="仿宋_GB2312"/>
          <w:sz w:val="28"/>
          <w:szCs w:val="28"/>
          <w:highlight w:val="none"/>
        </w:rPr>
      </w:pPr>
      <w:r>
        <w:rPr>
          <w:rFonts w:ascii="仿宋_GB2312" w:eastAsia="仿宋_GB2312"/>
          <w:sz w:val="28"/>
          <w:szCs w:val="28"/>
          <w:highlight w:val="none"/>
        </w:rPr>
        <w:t>（三）报价文件</w:t>
      </w:r>
    </w:p>
    <w:p w14:paraId="33778B9C">
      <w:pPr>
        <w:widowControl w:val="0"/>
        <w:ind w:firstLine="560" w:firstLineChars="200"/>
        <w:jc w:val="both"/>
        <w:textAlignment w:val="auto"/>
        <w:rPr>
          <w:rFonts w:ascii="仿宋_GB2312" w:eastAsia="仿宋_GB2312"/>
          <w:sz w:val="28"/>
          <w:szCs w:val="28"/>
          <w:highlight w:val="none"/>
        </w:rPr>
      </w:pPr>
      <w:r>
        <w:rPr>
          <w:rFonts w:ascii="仿宋_GB2312" w:eastAsia="仿宋_GB2312"/>
          <w:sz w:val="28"/>
          <w:szCs w:val="28"/>
          <w:highlight w:val="none"/>
        </w:rPr>
        <w:t>1.报价文件应由报价方法定代表签署，如由代理人签字应有法定代表人的授权书，授权书必须有法定代表人的签字并盖章方可生效。报价文件不得涂改，否则报价文件作废。</w:t>
      </w:r>
    </w:p>
    <w:p w14:paraId="3B44A672">
      <w:pPr>
        <w:widowControl w:val="0"/>
        <w:ind w:firstLine="560" w:firstLineChars="200"/>
        <w:jc w:val="both"/>
        <w:textAlignment w:val="auto"/>
        <w:rPr>
          <w:rFonts w:ascii="仿宋_GB2312" w:eastAsia="仿宋_GB2312"/>
          <w:sz w:val="28"/>
          <w:szCs w:val="28"/>
          <w:highlight w:val="none"/>
        </w:rPr>
      </w:pPr>
      <w:r>
        <w:rPr>
          <w:rFonts w:ascii="仿宋_GB2312" w:eastAsia="仿宋_GB2312"/>
          <w:sz w:val="28"/>
          <w:szCs w:val="28"/>
          <w:highlight w:val="none"/>
        </w:rPr>
        <w:t>2.报价方资格证明文件视为报价文件不可分割的一部分。</w:t>
      </w:r>
    </w:p>
    <w:p w14:paraId="43D19532">
      <w:pPr>
        <w:widowControl w:val="0"/>
        <w:ind w:firstLine="560" w:firstLineChars="200"/>
        <w:jc w:val="both"/>
        <w:textAlignment w:val="auto"/>
        <w:rPr>
          <w:rFonts w:ascii="仿宋_GB2312" w:eastAsia="仿宋_GB2312"/>
          <w:sz w:val="28"/>
          <w:szCs w:val="28"/>
          <w:highlight w:val="none"/>
        </w:rPr>
      </w:pPr>
      <w:r>
        <w:rPr>
          <w:rFonts w:ascii="仿宋_GB2312" w:eastAsia="仿宋_GB2312"/>
          <w:sz w:val="28"/>
          <w:szCs w:val="28"/>
          <w:highlight w:val="none"/>
        </w:rPr>
        <w:t>3.报价方应将报价文件用信封密封，信封封口处应加贴密封条，密封条应加盖公章或密封章。</w:t>
      </w:r>
    </w:p>
    <w:p w14:paraId="58B987D3">
      <w:pPr>
        <w:widowControl w:val="0"/>
        <w:ind w:firstLine="560" w:firstLineChars="200"/>
        <w:jc w:val="both"/>
        <w:textAlignment w:val="auto"/>
        <w:rPr>
          <w:rFonts w:ascii="仿宋_GB2312" w:eastAsia="仿宋_GB2312"/>
          <w:sz w:val="28"/>
          <w:szCs w:val="28"/>
          <w:highlight w:val="none"/>
        </w:rPr>
      </w:pPr>
      <w:r>
        <w:rPr>
          <w:rFonts w:ascii="仿宋_GB2312" w:eastAsia="仿宋_GB2312"/>
          <w:sz w:val="28"/>
          <w:szCs w:val="28"/>
          <w:highlight w:val="none"/>
        </w:rPr>
        <w:t>4.报价方应对报价文件仔细核对和检查，报价后采购方不接收修改报价文件的意见，除非采购方对采购文件某部分内容进行澄清，所有报价方应在规定的时间内书面答复。</w:t>
      </w:r>
    </w:p>
    <w:p w14:paraId="78F94A89">
      <w:pPr>
        <w:widowControl w:val="0"/>
        <w:ind w:firstLine="560" w:firstLineChars="200"/>
        <w:jc w:val="both"/>
        <w:textAlignment w:val="auto"/>
        <w:rPr>
          <w:rFonts w:ascii="仿宋_GB2312" w:eastAsia="仿宋_GB2312"/>
          <w:sz w:val="28"/>
          <w:szCs w:val="28"/>
          <w:highlight w:val="none"/>
        </w:rPr>
      </w:pPr>
      <w:r>
        <w:rPr>
          <w:rFonts w:ascii="仿宋_GB2312" w:eastAsia="仿宋_GB2312"/>
          <w:sz w:val="28"/>
          <w:szCs w:val="28"/>
          <w:highlight w:val="none"/>
        </w:rPr>
        <w:t>5.报价时间及地点：报价方请于202</w:t>
      </w:r>
      <w:r>
        <w:rPr>
          <w:rFonts w:hint="eastAsia" w:ascii="仿宋_GB2312" w:eastAsia="仿宋_GB2312"/>
          <w:sz w:val="28"/>
          <w:szCs w:val="28"/>
          <w:highlight w:val="none"/>
        </w:rPr>
        <w:t>5</w:t>
      </w:r>
      <w:r>
        <w:rPr>
          <w:rFonts w:ascii="仿宋_GB2312" w:eastAsia="仿宋_GB2312"/>
          <w:sz w:val="28"/>
          <w:szCs w:val="28"/>
          <w:highlight w:val="none"/>
        </w:rPr>
        <w:t>年</w:t>
      </w:r>
      <w:r>
        <w:rPr>
          <w:rFonts w:hint="eastAsia" w:ascii="仿宋_GB2312" w:eastAsia="仿宋_GB2312"/>
          <w:sz w:val="28"/>
          <w:szCs w:val="28"/>
          <w:highlight w:val="none"/>
          <w:lang w:val="en-US" w:eastAsia="zh-CN"/>
        </w:rPr>
        <w:t>3</w:t>
      </w:r>
      <w:r>
        <w:rPr>
          <w:rFonts w:ascii="仿宋_GB2312" w:eastAsia="仿宋_GB2312"/>
          <w:sz w:val="28"/>
          <w:szCs w:val="28"/>
          <w:highlight w:val="none"/>
        </w:rPr>
        <w:t>月</w:t>
      </w:r>
      <w:r>
        <w:rPr>
          <w:rFonts w:hint="eastAsia" w:ascii="仿宋_GB2312" w:eastAsia="仿宋_GB2312"/>
          <w:sz w:val="28"/>
          <w:szCs w:val="28"/>
          <w:highlight w:val="none"/>
          <w:lang w:val="en-US" w:eastAsia="zh-CN"/>
        </w:rPr>
        <w:t>23</w:t>
      </w:r>
      <w:r>
        <w:rPr>
          <w:rFonts w:ascii="仿宋_GB2312" w:eastAsia="仿宋_GB2312"/>
          <w:sz w:val="28"/>
          <w:szCs w:val="28"/>
          <w:highlight w:val="none"/>
        </w:rPr>
        <w:t>日中午12点前将装订成册的报价文件（一式</w:t>
      </w:r>
      <w:r>
        <w:rPr>
          <w:rFonts w:hint="eastAsia" w:ascii="仿宋_GB2312" w:eastAsia="仿宋_GB2312"/>
          <w:sz w:val="28"/>
          <w:szCs w:val="28"/>
          <w:highlight w:val="none"/>
        </w:rPr>
        <w:t>三</w:t>
      </w:r>
      <w:r>
        <w:rPr>
          <w:rFonts w:ascii="仿宋_GB2312" w:eastAsia="仿宋_GB2312"/>
          <w:sz w:val="28"/>
          <w:szCs w:val="28"/>
          <w:highlight w:val="none"/>
        </w:rPr>
        <w:t>份）以信封密封好，送至我局财务科（南宁市滨湖路66号公路大厦808室）。如需邮寄送达，请用信封密封好并在邮寄封面注明投标资料和投标单位，联系人：张微，联系电话：0771-2115929。逾期将拒绝接收报价文件。</w:t>
      </w:r>
    </w:p>
    <w:p w14:paraId="63BCA1EF">
      <w:pPr>
        <w:widowControl w:val="0"/>
        <w:ind w:firstLine="560" w:firstLineChars="200"/>
        <w:jc w:val="both"/>
        <w:textAlignment w:val="auto"/>
        <w:rPr>
          <w:rFonts w:ascii="仿宋_GB2312" w:eastAsia="仿宋_GB2312"/>
          <w:sz w:val="28"/>
          <w:szCs w:val="28"/>
          <w:highlight w:val="none"/>
        </w:rPr>
      </w:pPr>
      <w:r>
        <w:rPr>
          <w:rFonts w:ascii="仿宋_GB2312" w:eastAsia="仿宋_GB2312"/>
          <w:sz w:val="28"/>
          <w:szCs w:val="28"/>
          <w:highlight w:val="none"/>
        </w:rPr>
        <w:t>（四）签订合同</w:t>
      </w:r>
    </w:p>
    <w:p w14:paraId="04CF2C6C">
      <w:pPr>
        <w:widowControl w:val="0"/>
        <w:ind w:firstLine="560" w:firstLineChars="200"/>
        <w:jc w:val="both"/>
        <w:textAlignment w:val="auto"/>
        <w:rPr>
          <w:rFonts w:ascii="仿宋_GB2312" w:eastAsia="仿宋_GB2312"/>
          <w:sz w:val="28"/>
          <w:szCs w:val="28"/>
          <w:highlight w:val="none"/>
        </w:rPr>
      </w:pPr>
      <w:r>
        <w:rPr>
          <w:rFonts w:ascii="仿宋_GB2312" w:eastAsia="仿宋_GB2312"/>
          <w:sz w:val="28"/>
          <w:szCs w:val="28"/>
          <w:highlight w:val="none"/>
        </w:rPr>
        <w:t>1.成交方应在成交通知书规定的时间内，由法定代表人或委托代理人到采购单位签订合同。</w:t>
      </w:r>
    </w:p>
    <w:p w14:paraId="1E4FC5A6">
      <w:pPr>
        <w:widowControl w:val="0"/>
        <w:ind w:firstLine="560" w:firstLineChars="200"/>
        <w:jc w:val="both"/>
        <w:textAlignment w:val="auto"/>
        <w:rPr>
          <w:rFonts w:ascii="仿宋_GB2312" w:eastAsia="仿宋_GB2312"/>
          <w:sz w:val="28"/>
          <w:szCs w:val="28"/>
          <w:highlight w:val="none"/>
        </w:rPr>
      </w:pPr>
      <w:r>
        <w:rPr>
          <w:rFonts w:ascii="仿宋_GB2312" w:eastAsia="仿宋_GB2312"/>
          <w:sz w:val="28"/>
          <w:szCs w:val="28"/>
          <w:highlight w:val="none"/>
        </w:rPr>
        <w:t>2.成交通知书、本询价采购文件和成交方的报价文件是双方签订合同的依据，合同文本应符合国家相关政策要求。成交方在签订合同时对上述文件有异议，不愿遵照执行，将视情节取消成交方的成交资格，以及赔偿采购方的经济损失。</w:t>
      </w:r>
    </w:p>
    <w:p w14:paraId="1844347E">
      <w:pPr>
        <w:widowControl w:val="0"/>
        <w:ind w:firstLine="562" w:firstLineChars="200"/>
        <w:jc w:val="both"/>
        <w:textAlignment w:val="auto"/>
        <w:rPr>
          <w:rFonts w:ascii="仿宋_GB2312" w:eastAsia="仿宋_GB2312"/>
          <w:b/>
          <w:bCs/>
          <w:sz w:val="28"/>
          <w:szCs w:val="28"/>
          <w:highlight w:val="none"/>
        </w:rPr>
      </w:pPr>
      <w:bookmarkStart w:id="0" w:name="_Toc453359044"/>
      <w:r>
        <w:rPr>
          <w:rFonts w:ascii="仿宋_GB2312" w:eastAsia="仿宋_GB2312"/>
          <w:b/>
          <w:bCs/>
          <w:sz w:val="28"/>
          <w:szCs w:val="28"/>
          <w:highlight w:val="none"/>
        </w:rPr>
        <w:t>二、</w:t>
      </w:r>
      <w:bookmarkEnd w:id="0"/>
      <w:r>
        <w:rPr>
          <w:rFonts w:ascii="仿宋_GB2312" w:eastAsia="仿宋_GB2312"/>
          <w:b/>
          <w:bCs/>
          <w:sz w:val="28"/>
          <w:szCs w:val="28"/>
          <w:highlight w:val="none"/>
        </w:rPr>
        <w:t>采购需求内容</w:t>
      </w:r>
    </w:p>
    <w:p w14:paraId="4206D805">
      <w:pPr>
        <w:widowControl w:val="0"/>
        <w:ind w:firstLine="560" w:firstLineChars="200"/>
        <w:jc w:val="both"/>
        <w:textAlignment w:val="auto"/>
        <w:rPr>
          <w:rFonts w:hint="eastAsia" w:ascii="仿宋" w:hAnsi="仿宋" w:eastAsia="仿宋"/>
          <w:sz w:val="28"/>
          <w:szCs w:val="32"/>
          <w:highlight w:val="none"/>
          <w:lang w:val="en-US" w:eastAsia="zh-CN"/>
        </w:rPr>
      </w:pPr>
      <w:r>
        <w:rPr>
          <w:rFonts w:hint="eastAsia" w:ascii="仿宋" w:hAnsi="仿宋" w:eastAsia="仿宋"/>
          <w:sz w:val="28"/>
          <w:szCs w:val="32"/>
          <w:highlight w:val="none"/>
        </w:rPr>
        <w:t>（一）采购项目名称：</w:t>
      </w:r>
      <w:r>
        <w:rPr>
          <w:rFonts w:hint="eastAsia" w:ascii="仿宋" w:hAnsi="仿宋" w:eastAsia="仿宋"/>
          <w:sz w:val="28"/>
          <w:szCs w:val="32"/>
          <w:highlight w:val="none"/>
          <w:lang w:val="en-US" w:eastAsia="zh-CN"/>
        </w:rPr>
        <w:t>网络机房运维服务</w:t>
      </w:r>
    </w:p>
    <w:p w14:paraId="2572CA20">
      <w:pPr>
        <w:widowControl w:val="0"/>
        <w:ind w:firstLine="560" w:firstLineChars="200"/>
        <w:jc w:val="both"/>
        <w:textAlignment w:val="auto"/>
        <w:rPr>
          <w:rFonts w:ascii="仿宋" w:hAnsi="仿宋" w:eastAsia="仿宋"/>
          <w:sz w:val="28"/>
          <w:szCs w:val="32"/>
          <w:highlight w:val="none"/>
        </w:rPr>
      </w:pPr>
      <w:r>
        <w:rPr>
          <w:rFonts w:hint="eastAsia" w:ascii="仿宋" w:hAnsi="仿宋" w:eastAsia="仿宋"/>
          <w:sz w:val="28"/>
          <w:szCs w:val="32"/>
          <w:highlight w:val="none"/>
        </w:rPr>
        <w:t>（二）采购项目最高限价金额（人民币）</w:t>
      </w:r>
      <w:r>
        <w:rPr>
          <w:rFonts w:hint="eastAsia" w:ascii="仿宋" w:hAnsi="仿宋" w:eastAsia="仿宋"/>
          <w:sz w:val="28"/>
          <w:szCs w:val="32"/>
          <w:highlight w:val="none"/>
          <w:lang w:val="en-US" w:eastAsia="zh-CN"/>
        </w:rPr>
        <w:t>9.9</w:t>
      </w:r>
      <w:r>
        <w:rPr>
          <w:rFonts w:hint="eastAsia" w:ascii="仿宋" w:hAnsi="仿宋" w:eastAsia="仿宋"/>
          <w:sz w:val="28"/>
          <w:szCs w:val="32"/>
          <w:highlight w:val="none"/>
        </w:rPr>
        <w:t>万元。</w:t>
      </w:r>
    </w:p>
    <w:p w14:paraId="66C68551">
      <w:pPr>
        <w:widowControl w:val="0"/>
        <w:ind w:firstLine="560" w:firstLineChars="200"/>
        <w:jc w:val="both"/>
        <w:textAlignment w:val="auto"/>
        <w:rPr>
          <w:rFonts w:ascii="仿宋" w:hAnsi="仿宋" w:eastAsia="仿宋"/>
          <w:sz w:val="28"/>
          <w:szCs w:val="32"/>
          <w:highlight w:val="none"/>
        </w:rPr>
      </w:pPr>
      <w:r>
        <w:rPr>
          <w:rFonts w:hint="eastAsia" w:ascii="仿宋" w:hAnsi="仿宋" w:eastAsia="仿宋"/>
          <w:sz w:val="28"/>
          <w:szCs w:val="32"/>
          <w:highlight w:val="none"/>
        </w:rPr>
        <w:t>（三）</w:t>
      </w:r>
      <w:bookmarkStart w:id="1" w:name="OLE_LINK1"/>
      <w:r>
        <w:rPr>
          <w:rFonts w:hint="eastAsia" w:ascii="仿宋" w:hAnsi="仿宋" w:eastAsia="仿宋"/>
          <w:sz w:val="28"/>
          <w:szCs w:val="32"/>
          <w:highlight w:val="none"/>
        </w:rPr>
        <w:t>采购项目内容</w:t>
      </w:r>
      <w:bookmarkEnd w:id="1"/>
      <w:r>
        <w:rPr>
          <w:rFonts w:hint="eastAsia" w:ascii="仿宋" w:hAnsi="仿宋" w:eastAsia="仿宋"/>
          <w:sz w:val="28"/>
          <w:szCs w:val="32"/>
          <w:highlight w:val="none"/>
        </w:rPr>
        <w:t>：</w:t>
      </w:r>
    </w:p>
    <w:p w14:paraId="16CA009F">
      <w:pPr>
        <w:widowControl w:val="0"/>
        <w:ind w:firstLine="560" w:firstLineChars="200"/>
        <w:jc w:val="both"/>
        <w:textAlignment w:val="auto"/>
        <w:rPr>
          <w:rFonts w:ascii="仿宋" w:hAnsi="仿宋" w:eastAsia="仿宋"/>
          <w:sz w:val="28"/>
          <w:szCs w:val="32"/>
          <w:highlight w:val="none"/>
        </w:rPr>
      </w:pPr>
      <w:r>
        <w:rPr>
          <w:rFonts w:hint="eastAsia" w:ascii="仿宋" w:hAnsi="仿宋" w:eastAsia="仿宋"/>
          <w:sz w:val="28"/>
          <w:szCs w:val="32"/>
          <w:highlight w:val="none"/>
        </w:rPr>
        <w:t>提供局机关机房</w:t>
      </w:r>
      <w:r>
        <w:rPr>
          <w:rFonts w:hint="eastAsia" w:ascii="仿宋" w:hAnsi="仿宋" w:eastAsia="仿宋"/>
          <w:sz w:val="28"/>
          <w:szCs w:val="32"/>
          <w:highlight w:val="none"/>
          <w:lang w:val="en-US" w:eastAsia="zh-CN"/>
        </w:rPr>
        <w:t>设备设施运行</w:t>
      </w:r>
      <w:r>
        <w:rPr>
          <w:rFonts w:hint="eastAsia" w:ascii="仿宋" w:hAnsi="仿宋" w:eastAsia="仿宋"/>
          <w:sz w:val="28"/>
          <w:szCs w:val="32"/>
          <w:highlight w:val="none"/>
        </w:rPr>
        <w:t>维护及</w:t>
      </w:r>
      <w:r>
        <w:rPr>
          <w:rFonts w:hint="eastAsia" w:ascii="仿宋" w:hAnsi="仿宋" w:eastAsia="仿宋"/>
          <w:sz w:val="28"/>
          <w:szCs w:val="32"/>
          <w:highlight w:val="none"/>
          <w:lang w:val="en-US" w:eastAsia="zh-CN"/>
        </w:rPr>
        <w:t>网络安全</w:t>
      </w:r>
      <w:r>
        <w:rPr>
          <w:rFonts w:hint="eastAsia" w:ascii="仿宋" w:hAnsi="仿宋" w:eastAsia="仿宋"/>
          <w:sz w:val="28"/>
          <w:szCs w:val="32"/>
          <w:highlight w:val="none"/>
        </w:rPr>
        <w:t>运维</w:t>
      </w:r>
      <w:r>
        <w:rPr>
          <w:rFonts w:hint="eastAsia" w:ascii="仿宋" w:hAnsi="仿宋" w:eastAsia="仿宋"/>
          <w:sz w:val="28"/>
          <w:szCs w:val="32"/>
          <w:highlight w:val="none"/>
          <w:lang w:val="en-US" w:eastAsia="zh-CN"/>
        </w:rPr>
        <w:t>服务</w:t>
      </w:r>
      <w:r>
        <w:rPr>
          <w:rFonts w:hint="eastAsia" w:ascii="仿宋" w:hAnsi="仿宋" w:eastAsia="仿宋"/>
          <w:sz w:val="28"/>
          <w:szCs w:val="32"/>
          <w:highlight w:val="none"/>
        </w:rPr>
        <w:t>，服务期一年。本次项目具体采购内容如下：</w:t>
      </w:r>
    </w:p>
    <w:p w14:paraId="01064634">
      <w:pPr>
        <w:textAlignment w:val="auto"/>
        <w:rPr>
          <w:rFonts w:ascii="仿宋" w:hAnsi="仿宋" w:eastAsia="仿宋"/>
          <w:sz w:val="28"/>
          <w:szCs w:val="32"/>
          <w:highlight w:val="none"/>
        </w:rPr>
      </w:pPr>
    </w:p>
    <w:p w14:paraId="002254BF">
      <w:pPr>
        <w:rPr>
          <w:highlight w:val="none"/>
        </w:rPr>
      </w:pPr>
      <w:r>
        <w:rPr>
          <w:highlight w:val="none"/>
        </w:rPr>
        <w:br w:type="page"/>
      </w:r>
    </w:p>
    <w:p w14:paraId="427AE244">
      <w:pPr>
        <w:pStyle w:val="2"/>
        <w:rPr>
          <w:highlight w:val="none"/>
        </w:rPr>
        <w:sectPr>
          <w:footerReference r:id="rId3" w:type="default"/>
          <w:pgSz w:w="11906" w:h="16838"/>
          <w:pgMar w:top="1440" w:right="1800" w:bottom="1440" w:left="1800" w:header="851" w:footer="992" w:gutter="0"/>
          <w:cols w:space="720" w:num="1"/>
          <w:docGrid w:type="lines" w:linePitch="312" w:charSpace="0"/>
        </w:sectPr>
      </w:pPr>
    </w:p>
    <w:tbl>
      <w:tblPr>
        <w:tblStyle w:val="13"/>
        <w:tblW w:w="13033" w:type="dxa"/>
        <w:tblInd w:w="-34" w:type="dxa"/>
        <w:tblLayout w:type="fixed"/>
        <w:tblCellMar>
          <w:top w:w="0" w:type="dxa"/>
          <w:left w:w="108" w:type="dxa"/>
          <w:bottom w:w="0" w:type="dxa"/>
          <w:right w:w="108" w:type="dxa"/>
        </w:tblCellMar>
      </w:tblPr>
      <w:tblGrid>
        <w:gridCol w:w="938"/>
        <w:gridCol w:w="943"/>
        <w:gridCol w:w="7650"/>
        <w:gridCol w:w="809"/>
        <w:gridCol w:w="634"/>
        <w:gridCol w:w="1257"/>
        <w:gridCol w:w="802"/>
      </w:tblGrid>
      <w:tr w14:paraId="54B59AAF">
        <w:tblPrEx>
          <w:tblCellMar>
            <w:top w:w="0" w:type="dxa"/>
            <w:left w:w="108" w:type="dxa"/>
            <w:bottom w:w="0" w:type="dxa"/>
            <w:right w:w="108" w:type="dxa"/>
          </w:tblCellMar>
        </w:tblPrEx>
        <w:trPr>
          <w:trHeight w:val="1039" w:hRule="atLeast"/>
        </w:trPr>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68B5F2AD">
            <w:pPr>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943" w:type="dxa"/>
            <w:tcBorders>
              <w:top w:val="single" w:color="000000" w:sz="4" w:space="0"/>
              <w:left w:val="single" w:color="000000" w:sz="4" w:space="0"/>
              <w:bottom w:val="single" w:color="auto" w:sz="4" w:space="0"/>
              <w:right w:val="single" w:color="000000" w:sz="4" w:space="0"/>
            </w:tcBorders>
            <w:shd w:val="clear" w:color="auto" w:fill="auto"/>
            <w:vAlign w:val="center"/>
          </w:tcPr>
          <w:p w14:paraId="6611CD89">
            <w:pPr>
              <w:jc w:val="center"/>
              <w:rPr>
                <w:rFonts w:ascii="宋体" w:hAnsi="宋体" w:cs="宋体"/>
                <w:b/>
                <w:bCs/>
                <w:kern w:val="0"/>
                <w:sz w:val="20"/>
                <w:szCs w:val="20"/>
                <w:highlight w:val="none"/>
              </w:rPr>
            </w:pPr>
            <w:r>
              <w:rPr>
                <w:rFonts w:hint="eastAsia" w:ascii="宋体" w:hAnsi="宋体" w:cs="宋体"/>
                <w:b/>
                <w:bCs/>
                <w:kern w:val="0"/>
                <w:sz w:val="20"/>
                <w:szCs w:val="20"/>
                <w:highlight w:val="none"/>
              </w:rPr>
              <w:t>项目</w:t>
            </w:r>
          </w:p>
        </w:tc>
        <w:tc>
          <w:tcPr>
            <w:tcW w:w="76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6CC6CAE">
            <w:pPr>
              <w:jc w:val="center"/>
              <w:rPr>
                <w:rFonts w:ascii="宋体" w:hAnsi="宋体" w:cs="宋体"/>
                <w:b/>
                <w:bCs/>
                <w:kern w:val="0"/>
                <w:sz w:val="20"/>
                <w:szCs w:val="20"/>
                <w:highlight w:val="none"/>
              </w:rPr>
            </w:pPr>
            <w:r>
              <w:rPr>
                <w:rFonts w:hint="eastAsia" w:ascii="宋体" w:hAnsi="宋体" w:cs="宋体"/>
                <w:b/>
                <w:bCs/>
                <w:kern w:val="0"/>
                <w:sz w:val="20"/>
                <w:szCs w:val="20"/>
                <w:highlight w:val="none"/>
              </w:rPr>
              <w:t>采购需求说明</w:t>
            </w:r>
          </w:p>
        </w:tc>
        <w:tc>
          <w:tcPr>
            <w:tcW w:w="8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2D005BF">
            <w:pPr>
              <w:jc w:val="center"/>
              <w:rPr>
                <w:rFonts w:ascii="宋体" w:hAnsi="宋体" w:cs="宋体"/>
                <w:b/>
                <w:bCs/>
                <w:kern w:val="0"/>
                <w:sz w:val="20"/>
                <w:szCs w:val="20"/>
                <w:highlight w:val="none"/>
              </w:rPr>
            </w:pPr>
            <w:r>
              <w:rPr>
                <w:rFonts w:hint="eastAsia" w:ascii="宋体" w:hAnsi="宋体" w:cs="宋体"/>
                <w:b/>
                <w:bCs/>
                <w:kern w:val="0"/>
                <w:sz w:val="20"/>
                <w:szCs w:val="20"/>
                <w:highlight w:val="none"/>
              </w:rPr>
              <w:t>数量</w:t>
            </w:r>
          </w:p>
        </w:tc>
        <w:tc>
          <w:tcPr>
            <w:tcW w:w="6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1BF689C">
            <w:pPr>
              <w:jc w:val="center"/>
              <w:rPr>
                <w:rFonts w:ascii="宋体" w:hAnsi="宋体" w:cs="宋体"/>
                <w:b/>
                <w:bCs/>
                <w:kern w:val="0"/>
                <w:sz w:val="20"/>
                <w:szCs w:val="20"/>
                <w:highlight w:val="none"/>
              </w:rPr>
            </w:pPr>
            <w:r>
              <w:rPr>
                <w:rFonts w:hint="eastAsia" w:ascii="宋体" w:hAnsi="宋体" w:cs="宋体"/>
                <w:b/>
                <w:bCs/>
                <w:kern w:val="0"/>
                <w:sz w:val="20"/>
                <w:szCs w:val="20"/>
                <w:highlight w:val="none"/>
              </w:rPr>
              <w:t>单位</w:t>
            </w:r>
          </w:p>
        </w:tc>
        <w:tc>
          <w:tcPr>
            <w:tcW w:w="12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0F69432">
            <w:pPr>
              <w:jc w:val="center"/>
              <w:rPr>
                <w:rFonts w:ascii="宋体" w:hAnsi="宋体" w:cs="宋体"/>
                <w:b/>
                <w:bCs/>
                <w:kern w:val="0"/>
                <w:sz w:val="20"/>
                <w:szCs w:val="20"/>
                <w:highlight w:val="none"/>
              </w:rPr>
            </w:pPr>
            <w:r>
              <w:rPr>
                <w:rFonts w:hint="eastAsia" w:ascii="宋体" w:hAnsi="宋体" w:cs="宋体"/>
                <w:b/>
                <w:bCs/>
                <w:kern w:val="0"/>
                <w:sz w:val="20"/>
                <w:szCs w:val="20"/>
                <w:highlight w:val="none"/>
              </w:rPr>
              <w:t>报价</w:t>
            </w:r>
          </w:p>
          <w:p w14:paraId="1B526BDE">
            <w:pPr>
              <w:jc w:val="center"/>
              <w:rPr>
                <w:rFonts w:ascii="宋体" w:hAnsi="宋体" w:cs="宋体"/>
                <w:b/>
                <w:bCs/>
                <w:kern w:val="0"/>
                <w:sz w:val="20"/>
                <w:szCs w:val="20"/>
                <w:highlight w:val="none"/>
              </w:rPr>
            </w:pPr>
            <w:r>
              <w:rPr>
                <w:rFonts w:hint="eastAsia" w:ascii="宋体" w:hAnsi="宋体" w:cs="宋体"/>
                <w:b/>
                <w:bCs/>
                <w:kern w:val="0"/>
                <w:sz w:val="20"/>
                <w:szCs w:val="20"/>
                <w:highlight w:val="none"/>
              </w:rPr>
              <w:t>（万元）</w:t>
            </w:r>
          </w:p>
        </w:tc>
        <w:tc>
          <w:tcPr>
            <w:tcW w:w="80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A576CE">
            <w:pPr>
              <w:jc w:val="center"/>
              <w:rPr>
                <w:rFonts w:ascii="宋体" w:hAnsi="宋体" w:cs="宋体"/>
                <w:b/>
                <w:bCs/>
                <w:kern w:val="0"/>
                <w:sz w:val="20"/>
                <w:szCs w:val="20"/>
                <w:highlight w:val="none"/>
              </w:rPr>
            </w:pPr>
            <w:r>
              <w:rPr>
                <w:rFonts w:hint="eastAsia" w:ascii="宋体" w:hAnsi="宋体" w:cs="宋体"/>
                <w:b/>
                <w:bCs/>
                <w:kern w:val="0"/>
                <w:sz w:val="20"/>
                <w:szCs w:val="20"/>
                <w:highlight w:val="none"/>
              </w:rPr>
              <w:t>响应情况</w:t>
            </w:r>
          </w:p>
        </w:tc>
      </w:tr>
      <w:tr w14:paraId="5B7F413A">
        <w:tblPrEx>
          <w:tblCellMar>
            <w:top w:w="0" w:type="dxa"/>
            <w:left w:w="108" w:type="dxa"/>
            <w:bottom w:w="0" w:type="dxa"/>
            <w:right w:w="108" w:type="dxa"/>
          </w:tblCellMar>
        </w:tblPrEx>
        <w:trPr>
          <w:trHeight w:val="6585" w:hRule="atLeast"/>
        </w:trPr>
        <w:tc>
          <w:tcPr>
            <w:tcW w:w="938" w:type="dxa"/>
            <w:tcBorders>
              <w:top w:val="single" w:color="auto" w:sz="4" w:space="0"/>
              <w:left w:val="single" w:color="000000" w:sz="4" w:space="0"/>
              <w:bottom w:val="single" w:color="auto" w:sz="4" w:space="0"/>
              <w:right w:val="single" w:color="000000" w:sz="4" w:space="0"/>
            </w:tcBorders>
            <w:shd w:val="clear" w:color="auto" w:fill="auto"/>
            <w:vAlign w:val="center"/>
          </w:tcPr>
          <w:p w14:paraId="54C3975D">
            <w:pPr>
              <w:rPr>
                <w:highlight w:val="none"/>
              </w:rPr>
            </w:pPr>
            <w:r>
              <w:rPr>
                <w:rFonts w:hint="eastAsia"/>
                <w:highlight w:val="none"/>
              </w:rPr>
              <w:t>1</w:t>
            </w:r>
          </w:p>
        </w:tc>
        <w:tc>
          <w:tcPr>
            <w:tcW w:w="943" w:type="dxa"/>
            <w:tcBorders>
              <w:top w:val="single" w:color="auto" w:sz="4" w:space="0"/>
              <w:left w:val="single" w:color="000000" w:sz="4" w:space="0"/>
              <w:bottom w:val="single" w:color="auto" w:sz="4" w:space="0"/>
              <w:right w:val="single" w:color="000000" w:sz="4" w:space="0"/>
            </w:tcBorders>
            <w:shd w:val="clear" w:color="auto" w:fill="auto"/>
            <w:vAlign w:val="center"/>
          </w:tcPr>
          <w:p w14:paraId="13C5855C">
            <w:pPr>
              <w:widowControl w:val="0"/>
              <w:rPr>
                <w:color w:val="000000"/>
                <w:sz w:val="22"/>
                <w:highlight w:val="none"/>
              </w:rPr>
            </w:pPr>
            <w:r>
              <w:rPr>
                <w:rFonts w:hint="eastAsia" w:ascii="宋体" w:hAnsi="宋体" w:cs="宋体"/>
                <w:sz w:val="24"/>
                <w:szCs w:val="22"/>
                <w:highlight w:val="none"/>
              </w:rPr>
              <w:t>网络机房运维服务</w:t>
            </w:r>
          </w:p>
        </w:tc>
        <w:tc>
          <w:tcPr>
            <w:tcW w:w="7650" w:type="dxa"/>
            <w:tcBorders>
              <w:top w:val="single" w:color="auto" w:sz="4" w:space="0"/>
              <w:left w:val="single" w:color="000000" w:sz="4" w:space="0"/>
              <w:bottom w:val="single" w:color="auto" w:sz="4" w:space="0"/>
              <w:right w:val="single" w:color="000000" w:sz="4" w:space="0"/>
            </w:tcBorders>
            <w:shd w:val="clear" w:color="auto" w:fill="auto"/>
          </w:tcPr>
          <w:p w14:paraId="50AA99B4">
            <w:pPr>
              <w:pStyle w:val="24"/>
              <w:widowControl w:val="0"/>
              <w:numPr>
                <w:ilvl w:val="255"/>
                <w:numId w:val="0"/>
              </w:numPr>
              <w:spacing w:line="300" w:lineRule="exact"/>
              <w:ind w:firstLine="480" w:firstLineChars="200"/>
              <w:textAlignment w:val="auto"/>
              <w:rPr>
                <w:rFonts w:ascii="宋体" w:hAnsi="宋体" w:cs="宋体"/>
                <w:sz w:val="24"/>
                <w:highlight w:val="none"/>
              </w:rPr>
            </w:pPr>
            <w:r>
              <w:rPr>
                <w:rFonts w:hint="eastAsia" w:ascii="宋体" w:hAnsi="宋体" w:cs="宋体"/>
                <w:sz w:val="24"/>
                <w:highlight w:val="none"/>
              </w:rPr>
              <w:t>一、日常运维服务</w:t>
            </w:r>
          </w:p>
          <w:p w14:paraId="1C7E5420">
            <w:pPr>
              <w:pStyle w:val="24"/>
              <w:widowControl w:val="0"/>
              <w:numPr>
                <w:ilvl w:val="255"/>
                <w:numId w:val="0"/>
              </w:numPr>
              <w:spacing w:line="300" w:lineRule="exact"/>
              <w:ind w:firstLine="480" w:firstLineChars="200"/>
              <w:textAlignment w:val="auto"/>
              <w:rPr>
                <w:rFonts w:ascii="宋体" w:hAnsi="宋体" w:cs="宋体"/>
                <w:sz w:val="24"/>
                <w:highlight w:val="none"/>
              </w:rPr>
            </w:pPr>
            <w:r>
              <w:rPr>
                <w:rFonts w:hint="eastAsia" w:ascii="宋体" w:hAnsi="宋体" w:cs="宋体"/>
                <w:sz w:val="24"/>
                <w:highlight w:val="none"/>
              </w:rPr>
              <w:t>（一）网络设备（包括无线网络设备）运行状态、故障情况排除记录；</w:t>
            </w:r>
          </w:p>
          <w:p w14:paraId="5F198AF2">
            <w:pPr>
              <w:pStyle w:val="24"/>
              <w:widowControl w:val="0"/>
              <w:numPr>
                <w:ilvl w:val="255"/>
                <w:numId w:val="0"/>
              </w:numPr>
              <w:spacing w:line="300" w:lineRule="exact"/>
              <w:ind w:firstLine="480" w:firstLineChars="200"/>
              <w:textAlignment w:val="auto"/>
              <w:rPr>
                <w:rFonts w:ascii="宋体" w:hAnsi="宋体" w:cs="宋体"/>
                <w:sz w:val="24"/>
                <w:highlight w:val="none"/>
              </w:rPr>
            </w:pPr>
            <w:r>
              <w:rPr>
                <w:rFonts w:hint="eastAsia" w:ascii="宋体" w:hAnsi="宋体" w:cs="宋体"/>
                <w:sz w:val="24"/>
                <w:highlight w:val="none"/>
              </w:rPr>
              <w:t>（二）网络设备配置信息保存及分析；</w:t>
            </w:r>
          </w:p>
          <w:p w14:paraId="343AA985">
            <w:pPr>
              <w:pStyle w:val="24"/>
              <w:widowControl w:val="0"/>
              <w:numPr>
                <w:ilvl w:val="255"/>
                <w:numId w:val="0"/>
              </w:numPr>
              <w:spacing w:line="300" w:lineRule="exact"/>
              <w:ind w:firstLine="480" w:firstLineChars="200"/>
              <w:textAlignment w:val="auto"/>
              <w:rPr>
                <w:rFonts w:ascii="宋体" w:hAnsi="宋体" w:cs="宋体"/>
                <w:sz w:val="24"/>
                <w:highlight w:val="none"/>
              </w:rPr>
            </w:pPr>
            <w:r>
              <w:rPr>
                <w:rFonts w:hint="eastAsia" w:ascii="宋体" w:hAnsi="宋体" w:cs="宋体"/>
                <w:sz w:val="24"/>
                <w:highlight w:val="none"/>
              </w:rPr>
              <w:t>（三）网络设备可用性情况及健康状况性能指标等；</w:t>
            </w:r>
          </w:p>
          <w:p w14:paraId="2E776BF5">
            <w:pPr>
              <w:pStyle w:val="24"/>
              <w:widowControl w:val="0"/>
              <w:numPr>
                <w:ilvl w:val="255"/>
                <w:numId w:val="0"/>
              </w:numPr>
              <w:spacing w:line="300" w:lineRule="exact"/>
              <w:ind w:firstLine="480" w:firstLineChars="200"/>
              <w:textAlignment w:val="auto"/>
              <w:rPr>
                <w:rFonts w:ascii="宋体" w:hAnsi="宋体" w:cs="宋体"/>
                <w:sz w:val="24"/>
                <w:highlight w:val="none"/>
              </w:rPr>
            </w:pPr>
            <w:r>
              <w:rPr>
                <w:rFonts w:hint="eastAsia" w:ascii="宋体" w:hAnsi="宋体" w:cs="宋体"/>
                <w:sz w:val="24"/>
                <w:highlight w:val="none"/>
              </w:rPr>
              <w:t>（四）机房设备定期巡检和维护；</w:t>
            </w:r>
          </w:p>
          <w:p w14:paraId="2ADDB273">
            <w:pPr>
              <w:pStyle w:val="24"/>
              <w:widowControl w:val="0"/>
              <w:numPr>
                <w:ilvl w:val="255"/>
                <w:numId w:val="0"/>
              </w:numPr>
              <w:spacing w:line="300" w:lineRule="exact"/>
              <w:ind w:firstLine="480" w:firstLineChars="200"/>
              <w:textAlignment w:val="auto"/>
              <w:rPr>
                <w:rFonts w:ascii="宋体" w:hAnsi="宋体" w:cs="宋体"/>
                <w:sz w:val="24"/>
                <w:highlight w:val="none"/>
              </w:rPr>
            </w:pPr>
            <w:r>
              <w:rPr>
                <w:rFonts w:hint="eastAsia" w:ascii="宋体" w:hAnsi="宋体" w:cs="宋体"/>
                <w:sz w:val="24"/>
                <w:highlight w:val="none"/>
              </w:rPr>
              <w:t>（五）机房网络设备、安全设备定期更新系统补丁及病毒特征库等；</w:t>
            </w:r>
          </w:p>
          <w:p w14:paraId="3596F0B3">
            <w:pPr>
              <w:pStyle w:val="24"/>
              <w:widowControl w:val="0"/>
              <w:numPr>
                <w:ilvl w:val="255"/>
                <w:numId w:val="0"/>
              </w:numPr>
              <w:spacing w:line="300" w:lineRule="exact"/>
              <w:ind w:firstLine="480" w:firstLineChars="200"/>
              <w:textAlignment w:val="auto"/>
              <w:rPr>
                <w:rFonts w:ascii="宋体" w:hAnsi="宋体" w:cs="宋体"/>
                <w:sz w:val="24"/>
                <w:highlight w:val="none"/>
              </w:rPr>
            </w:pPr>
            <w:r>
              <w:rPr>
                <w:rFonts w:hint="eastAsia" w:ascii="宋体" w:hAnsi="宋体" w:cs="宋体"/>
                <w:sz w:val="24"/>
                <w:highlight w:val="none"/>
              </w:rPr>
              <w:t>（六）IT设备资产统计，硬件设备型号数量版本等信息记录；</w:t>
            </w:r>
          </w:p>
          <w:p w14:paraId="1AA1720D">
            <w:pPr>
              <w:pStyle w:val="24"/>
              <w:widowControl w:val="0"/>
              <w:numPr>
                <w:ilvl w:val="255"/>
                <w:numId w:val="0"/>
              </w:numPr>
              <w:spacing w:line="300" w:lineRule="exact"/>
              <w:ind w:firstLine="480" w:firstLineChars="200"/>
              <w:textAlignment w:val="auto"/>
              <w:rPr>
                <w:rFonts w:ascii="宋体" w:hAnsi="宋体" w:cs="宋体"/>
                <w:sz w:val="24"/>
                <w:highlight w:val="none"/>
              </w:rPr>
            </w:pPr>
            <w:r>
              <w:rPr>
                <w:rFonts w:hint="eastAsia" w:ascii="宋体" w:hAnsi="宋体" w:cs="宋体"/>
                <w:sz w:val="24"/>
                <w:highlight w:val="none"/>
              </w:rPr>
              <w:t>（七）网络结构及拓扑更新。</w:t>
            </w:r>
          </w:p>
          <w:p w14:paraId="39B697E5">
            <w:pPr>
              <w:pStyle w:val="24"/>
              <w:numPr>
                <w:ilvl w:val="255"/>
                <w:numId w:val="0"/>
              </w:numPr>
              <w:spacing w:line="3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（八）</w:t>
            </w:r>
            <w:r>
              <w:rPr>
                <w:rFonts w:hint="eastAsia" w:ascii="宋体" w:hAnsi="宋体" w:cs="宋体"/>
                <w:sz w:val="24"/>
                <w:highlight w:val="none"/>
                <w:lang w:val="en-US" w:eastAsia="zh-CN"/>
              </w:rPr>
              <w:t>为</w:t>
            </w:r>
            <w:r>
              <w:rPr>
                <w:rFonts w:hint="eastAsia" w:ascii="宋体" w:hAnsi="宋体" w:cs="宋体"/>
                <w:sz w:val="24"/>
                <w:highlight w:val="none"/>
              </w:rPr>
              <w:t>执法局机关提供远程及驻场办公硬件设备及软件的故障排查及维护。</w:t>
            </w:r>
          </w:p>
          <w:p w14:paraId="23BD8551">
            <w:pPr>
              <w:pStyle w:val="24"/>
              <w:widowControl w:val="0"/>
              <w:numPr>
                <w:ilvl w:val="255"/>
                <w:numId w:val="0"/>
              </w:numPr>
              <w:spacing w:line="300" w:lineRule="exact"/>
              <w:ind w:firstLine="48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（九）配合完成特殊时段机房和网络安全值守工作。</w:t>
            </w:r>
          </w:p>
          <w:p w14:paraId="072D0068">
            <w:pPr>
              <w:pStyle w:val="24"/>
              <w:widowControl w:val="0"/>
              <w:numPr>
                <w:ilvl w:val="255"/>
                <w:numId w:val="0"/>
              </w:numPr>
              <w:spacing w:line="300" w:lineRule="exact"/>
              <w:ind w:firstLine="480"/>
              <w:textAlignment w:val="auto"/>
              <w:rPr>
                <w:rFonts w:ascii="宋体" w:hAnsi="宋体" w:cs="宋体"/>
                <w:sz w:val="24"/>
                <w:highlight w:val="none"/>
              </w:rPr>
            </w:pPr>
            <w:r>
              <w:rPr>
                <w:rFonts w:hint="eastAsia" w:ascii="宋体" w:hAnsi="宋体" w:cs="宋体"/>
                <w:sz w:val="24"/>
                <w:highlight w:val="none"/>
              </w:rPr>
              <w:t>二、定期巡检</w:t>
            </w:r>
          </w:p>
          <w:p w14:paraId="79D64BD2">
            <w:pPr>
              <w:pStyle w:val="24"/>
              <w:widowControl w:val="0"/>
              <w:numPr>
                <w:ilvl w:val="255"/>
                <w:numId w:val="0"/>
              </w:numPr>
              <w:spacing w:line="300" w:lineRule="exact"/>
              <w:ind w:firstLine="480" w:firstLineChars="200"/>
              <w:textAlignment w:val="auto"/>
              <w:rPr>
                <w:rFonts w:ascii="宋体" w:hAnsi="宋体" w:cs="宋体"/>
                <w:sz w:val="24"/>
                <w:highlight w:val="none"/>
              </w:rPr>
            </w:pPr>
            <w:r>
              <w:rPr>
                <w:rFonts w:hint="eastAsia" w:ascii="宋体" w:hAnsi="宋体" w:cs="宋体"/>
                <w:sz w:val="24"/>
                <w:highlight w:val="none"/>
              </w:rPr>
              <w:t>（一）每周巡检机房内所有网络设备、网络安全设备、服务器、存储设备，记录各台设备运行状态，运行日志，机房环境温度，及时发现设备隐患，排除故障并生成巡检记录和故障处理报告；</w:t>
            </w:r>
          </w:p>
          <w:p w14:paraId="0120AE7D">
            <w:pPr>
              <w:pStyle w:val="24"/>
              <w:widowControl w:val="0"/>
              <w:numPr>
                <w:ilvl w:val="255"/>
                <w:numId w:val="0"/>
              </w:numPr>
              <w:spacing w:line="300" w:lineRule="exact"/>
              <w:ind w:firstLine="480" w:firstLineChars="200"/>
              <w:textAlignment w:val="auto"/>
              <w:rPr>
                <w:rFonts w:ascii="宋体" w:hAnsi="宋体" w:cs="宋体"/>
                <w:sz w:val="24"/>
                <w:highlight w:val="none"/>
              </w:rPr>
            </w:pPr>
            <w:r>
              <w:rPr>
                <w:rFonts w:hint="eastAsia" w:ascii="宋体" w:hAnsi="宋体" w:cs="宋体"/>
                <w:sz w:val="24"/>
                <w:highlight w:val="none"/>
              </w:rPr>
              <w:t>（二）保障机房设备正常运转，保障机房网络设备至楼层线路通畅正常，突发网络故障1小时内快速响应；</w:t>
            </w:r>
          </w:p>
          <w:p w14:paraId="1AB92DE0">
            <w:pPr>
              <w:pStyle w:val="24"/>
              <w:widowControl w:val="0"/>
              <w:numPr>
                <w:ilvl w:val="255"/>
                <w:numId w:val="0"/>
              </w:numPr>
              <w:spacing w:line="300" w:lineRule="exact"/>
              <w:ind w:firstLine="480" w:firstLineChars="200"/>
              <w:textAlignment w:val="auto"/>
              <w:rPr>
                <w:rFonts w:ascii="宋体" w:hAnsi="宋体" w:cs="宋体"/>
                <w:sz w:val="24"/>
                <w:highlight w:val="none"/>
              </w:rPr>
            </w:pPr>
            <w:r>
              <w:rPr>
                <w:rFonts w:hint="eastAsia" w:ascii="宋体" w:hAnsi="宋体" w:cs="宋体"/>
                <w:sz w:val="24"/>
                <w:highlight w:val="none"/>
              </w:rPr>
              <w:t>（三）每月检查更新网络安全设备病毒科、特征库、安全策略等，并生成巡检记录；</w:t>
            </w:r>
          </w:p>
          <w:p w14:paraId="6CF3DB49">
            <w:pPr>
              <w:pStyle w:val="24"/>
              <w:widowControl w:val="0"/>
              <w:numPr>
                <w:ilvl w:val="255"/>
                <w:numId w:val="0"/>
              </w:numPr>
              <w:spacing w:line="300" w:lineRule="exact"/>
              <w:ind w:firstLine="480" w:firstLineChars="200"/>
              <w:textAlignment w:val="auto"/>
              <w:rPr>
                <w:rFonts w:ascii="宋体" w:hAnsi="宋体" w:cs="宋体"/>
                <w:sz w:val="24"/>
                <w:highlight w:val="none"/>
              </w:rPr>
            </w:pPr>
            <w:r>
              <w:rPr>
                <w:rFonts w:hint="eastAsia" w:ascii="宋体" w:hAnsi="宋体" w:cs="宋体"/>
                <w:sz w:val="24"/>
                <w:highlight w:val="none"/>
              </w:rPr>
              <w:t>（四）巡检网络安全设备（局机关防火墙、日志审计系统及各支队防火墙等）：需提供原厂工程师巡检服务，每季度1次，服务包含：对设备的运行状态进行检测，检测设备日志，并对未处理的告警进行处置及给出合理的建议（要求出具巡检报告原件，报告应具有安全设备原厂盖章或相应授权）。</w:t>
            </w:r>
          </w:p>
          <w:p w14:paraId="17272F0D">
            <w:pPr>
              <w:pStyle w:val="24"/>
              <w:widowControl w:val="0"/>
              <w:numPr>
                <w:ilvl w:val="255"/>
                <w:numId w:val="0"/>
              </w:numPr>
              <w:spacing w:line="300" w:lineRule="exact"/>
              <w:ind w:firstLine="480"/>
              <w:textAlignment w:val="auto"/>
              <w:rPr>
                <w:rFonts w:ascii="宋体" w:hAnsi="宋体" w:cs="宋体"/>
                <w:sz w:val="24"/>
                <w:highlight w:val="none"/>
              </w:rPr>
            </w:pPr>
            <w:r>
              <w:rPr>
                <w:rFonts w:hint="eastAsia" w:ascii="宋体" w:hAnsi="宋体" w:cs="宋体"/>
                <w:sz w:val="24"/>
                <w:highlight w:val="none"/>
              </w:rPr>
              <w:t>三、定期驻场服务。</w:t>
            </w:r>
          </w:p>
          <w:p w14:paraId="272F9D27">
            <w:pPr>
              <w:pStyle w:val="24"/>
              <w:widowControl w:val="0"/>
              <w:numPr>
                <w:ilvl w:val="255"/>
                <w:numId w:val="0"/>
              </w:numPr>
              <w:spacing w:line="300" w:lineRule="exact"/>
              <w:ind w:firstLine="480"/>
              <w:textAlignment w:val="auto"/>
              <w:rPr>
                <w:rFonts w:ascii="宋体" w:hAnsi="宋体" w:cs="宋体"/>
                <w:sz w:val="24"/>
                <w:highlight w:val="none"/>
              </w:rPr>
            </w:pPr>
            <w:r>
              <w:rPr>
                <w:rFonts w:hint="eastAsia" w:ascii="宋体" w:hAnsi="宋体" w:cs="宋体"/>
                <w:sz w:val="24"/>
                <w:highlight w:val="none"/>
              </w:rPr>
              <w:t>供应商需定期安排不少于1名的技术人员提供驻场服务，要求驻场服务时间每周不少于3个工作日。</w:t>
            </w:r>
          </w:p>
          <w:p w14:paraId="06A64304">
            <w:pPr>
              <w:pStyle w:val="24"/>
              <w:widowControl w:val="0"/>
              <w:numPr>
                <w:ilvl w:val="255"/>
                <w:numId w:val="0"/>
              </w:numPr>
              <w:spacing w:line="300" w:lineRule="exact"/>
              <w:ind w:firstLine="480"/>
              <w:textAlignment w:val="auto"/>
              <w:rPr>
                <w:rFonts w:ascii="宋体" w:hAnsi="宋体" w:cs="宋体"/>
                <w:sz w:val="24"/>
                <w:highlight w:val="none"/>
              </w:rPr>
            </w:pPr>
            <w:r>
              <w:rPr>
                <w:rFonts w:hint="eastAsia" w:ascii="宋体" w:hAnsi="宋体" w:cs="宋体"/>
                <w:sz w:val="24"/>
                <w:highlight w:val="none"/>
              </w:rPr>
              <w:t>四、预防性维护</w:t>
            </w:r>
          </w:p>
          <w:p w14:paraId="7C8EB49A">
            <w:pPr>
              <w:pStyle w:val="24"/>
              <w:widowControl w:val="0"/>
              <w:numPr>
                <w:ilvl w:val="255"/>
                <w:numId w:val="0"/>
              </w:numPr>
              <w:spacing w:line="300" w:lineRule="exact"/>
              <w:ind w:firstLine="480"/>
              <w:textAlignment w:val="auto"/>
              <w:rPr>
                <w:rFonts w:ascii="宋体" w:hAnsi="宋体" w:cs="宋体"/>
                <w:sz w:val="24"/>
                <w:highlight w:val="none"/>
              </w:rPr>
            </w:pPr>
            <w:r>
              <w:rPr>
                <w:rFonts w:hint="eastAsia" w:ascii="宋体" w:hAnsi="宋体" w:cs="宋体"/>
                <w:sz w:val="24"/>
                <w:highlight w:val="none"/>
              </w:rPr>
              <w:t>供应商要定期对采购方的网络进行全面测试，确认网络运行状态，检查安全信息设备系统错误记录，排除隐患故障并进行设备保养工作，具体要求：</w:t>
            </w:r>
          </w:p>
          <w:p w14:paraId="66528D79">
            <w:pPr>
              <w:pStyle w:val="24"/>
              <w:widowControl w:val="0"/>
              <w:numPr>
                <w:ilvl w:val="255"/>
                <w:numId w:val="0"/>
              </w:numPr>
              <w:spacing w:line="300" w:lineRule="exact"/>
              <w:ind w:firstLine="480" w:firstLineChars="200"/>
              <w:textAlignment w:val="auto"/>
              <w:rPr>
                <w:rFonts w:ascii="宋体" w:hAnsi="宋体" w:cs="宋体"/>
                <w:sz w:val="24"/>
                <w:highlight w:val="none"/>
              </w:rPr>
            </w:pPr>
            <w:r>
              <w:rPr>
                <w:rFonts w:hint="eastAsia" w:ascii="宋体" w:hAnsi="宋体" w:cs="宋体"/>
                <w:sz w:val="24"/>
                <w:highlight w:val="none"/>
              </w:rPr>
              <w:t>（一）对网络路由及交换设备的配置资料备份、漏洞检测和修复、定期日志检查和分析查看网管系统的日志，排除潜在故障及隐患。</w:t>
            </w:r>
          </w:p>
          <w:p w14:paraId="592E2326">
            <w:pPr>
              <w:pStyle w:val="24"/>
              <w:widowControl w:val="0"/>
              <w:numPr>
                <w:ilvl w:val="255"/>
                <w:numId w:val="0"/>
              </w:numPr>
              <w:spacing w:line="300" w:lineRule="exact"/>
              <w:ind w:firstLine="480"/>
              <w:textAlignment w:val="auto"/>
              <w:rPr>
                <w:rFonts w:ascii="宋体" w:hAnsi="宋体" w:cs="宋体"/>
                <w:sz w:val="24"/>
                <w:highlight w:val="none"/>
              </w:rPr>
            </w:pPr>
            <w:r>
              <w:rPr>
                <w:rFonts w:hint="eastAsia" w:ascii="宋体" w:hAnsi="宋体" w:cs="宋体"/>
                <w:sz w:val="24"/>
                <w:highlight w:val="none"/>
              </w:rPr>
              <w:t>（二）对网络设备、安全设备进行安全加固、策略配置、漏洞检测和修复、定期日志检查和分析以及安全风险评估，以保证整个业务系统的正常运行。</w:t>
            </w:r>
          </w:p>
          <w:p w14:paraId="139B07DE">
            <w:pPr>
              <w:pStyle w:val="24"/>
              <w:widowControl w:val="0"/>
              <w:numPr>
                <w:ilvl w:val="255"/>
                <w:numId w:val="0"/>
              </w:numPr>
              <w:spacing w:line="300" w:lineRule="exact"/>
              <w:ind w:firstLine="480"/>
              <w:textAlignment w:val="auto"/>
              <w:rPr>
                <w:rFonts w:ascii="宋体" w:hAnsi="宋体" w:cs="宋体"/>
                <w:sz w:val="24"/>
                <w:highlight w:val="none"/>
              </w:rPr>
            </w:pPr>
            <w:r>
              <w:rPr>
                <w:rFonts w:hint="eastAsia" w:ascii="宋体" w:hAnsi="宋体" w:cs="宋体"/>
                <w:sz w:val="24"/>
                <w:highlight w:val="none"/>
              </w:rPr>
              <w:t>（三）登记、汇总变更网络设备资料，使资料与实际情况一致。</w:t>
            </w:r>
          </w:p>
          <w:p w14:paraId="116A8067">
            <w:pPr>
              <w:pStyle w:val="24"/>
              <w:widowControl w:val="0"/>
              <w:numPr>
                <w:ilvl w:val="255"/>
                <w:numId w:val="0"/>
              </w:numPr>
              <w:spacing w:line="300" w:lineRule="exact"/>
              <w:ind w:firstLine="480"/>
              <w:textAlignment w:val="auto"/>
              <w:rPr>
                <w:rFonts w:ascii="宋体" w:hAnsi="宋体" w:cs="宋体"/>
                <w:sz w:val="24"/>
                <w:highlight w:val="none"/>
              </w:rPr>
            </w:pPr>
            <w:r>
              <w:rPr>
                <w:rFonts w:hint="eastAsia" w:ascii="宋体" w:hAnsi="宋体" w:cs="宋体"/>
                <w:sz w:val="24"/>
                <w:highlight w:val="none"/>
              </w:rPr>
              <w:t>（四）检查设备CPU负载率、内存使用，各端口的可靠性、负载率、错误包及CRC等。</w:t>
            </w:r>
          </w:p>
          <w:p w14:paraId="4837C8CB">
            <w:pPr>
              <w:pStyle w:val="24"/>
              <w:widowControl w:val="0"/>
              <w:numPr>
                <w:ilvl w:val="255"/>
                <w:numId w:val="0"/>
              </w:numPr>
              <w:spacing w:line="300" w:lineRule="exact"/>
              <w:ind w:firstLine="480"/>
              <w:textAlignment w:val="auto"/>
              <w:rPr>
                <w:rFonts w:ascii="宋体" w:hAnsi="宋体" w:cs="宋体"/>
                <w:sz w:val="24"/>
                <w:highlight w:val="none"/>
              </w:rPr>
            </w:pPr>
            <w:r>
              <w:rPr>
                <w:rFonts w:hint="eastAsia" w:ascii="宋体" w:hAnsi="宋体" w:cs="宋体"/>
                <w:sz w:val="24"/>
                <w:highlight w:val="none"/>
              </w:rPr>
              <w:t>（五）清理在用设备上的灰尘及杂物，保持清洁工作环境。</w:t>
            </w:r>
          </w:p>
          <w:p w14:paraId="3A536C23">
            <w:pPr>
              <w:pStyle w:val="24"/>
              <w:numPr>
                <w:ilvl w:val="255"/>
                <w:numId w:val="0"/>
              </w:numPr>
              <w:spacing w:line="300" w:lineRule="exact"/>
              <w:ind w:firstLine="480"/>
              <w:textAlignment w:val="auto"/>
              <w:rPr>
                <w:rFonts w:ascii="宋体" w:hAnsi="宋体" w:cs="宋体"/>
                <w:sz w:val="24"/>
                <w:highlight w:val="none"/>
              </w:rPr>
            </w:pPr>
            <w:r>
              <w:rPr>
                <w:rFonts w:hint="eastAsia" w:ascii="宋体" w:hAnsi="宋体" w:cs="宋体"/>
                <w:sz w:val="24"/>
                <w:highlight w:val="none"/>
              </w:rPr>
              <w:t>五、</w:t>
            </w:r>
            <w:r>
              <w:rPr>
                <w:rFonts w:hint="eastAsia" w:ascii="宋体" w:hAnsi="宋体" w:cs="宋体"/>
                <w:sz w:val="24"/>
                <w:highlight w:val="none"/>
                <w:lang w:val="en-US" w:eastAsia="zh-CN"/>
              </w:rPr>
              <w:t>设施</w:t>
            </w:r>
            <w:r>
              <w:rPr>
                <w:rFonts w:hint="eastAsia" w:ascii="宋体" w:hAnsi="宋体" w:cs="宋体"/>
                <w:sz w:val="24"/>
                <w:highlight w:val="none"/>
              </w:rPr>
              <w:t>维护。</w:t>
            </w:r>
          </w:p>
          <w:p w14:paraId="368B3D00">
            <w:pPr>
              <w:pStyle w:val="24"/>
              <w:numPr>
                <w:ilvl w:val="255"/>
                <w:numId w:val="0"/>
              </w:numPr>
              <w:spacing w:line="300" w:lineRule="exact"/>
              <w:ind w:firstLine="480"/>
              <w:textAlignment w:val="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提供机房精密空调定期巡检及维护，要求一年内不少于2次巡检维护，包括但不限于空调除尘、排水管清洗、冷却液补充等，确保精密空调稳定运行。</w:t>
            </w:r>
          </w:p>
          <w:p w14:paraId="040A85C5">
            <w:pPr>
              <w:pStyle w:val="24"/>
              <w:numPr>
                <w:ilvl w:val="255"/>
                <w:numId w:val="0"/>
              </w:numPr>
              <w:spacing w:line="300" w:lineRule="exact"/>
              <w:ind w:firstLine="480"/>
              <w:textAlignment w:val="auto"/>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lang w:val="en-US" w:eastAsia="zh-CN"/>
              </w:rPr>
              <w:t>服务期间，提供机房气体消防系统检修和充气服务1次。</w:t>
            </w:r>
          </w:p>
        </w:tc>
        <w:tc>
          <w:tcPr>
            <w:tcW w:w="80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88C4D9A">
            <w:pPr>
              <w:rPr>
                <w:highlight w:val="none"/>
              </w:rPr>
            </w:pPr>
            <w:r>
              <w:rPr>
                <w:rFonts w:hint="eastAsia"/>
                <w:highlight w:val="none"/>
              </w:rPr>
              <w:t>1</w:t>
            </w:r>
          </w:p>
        </w:tc>
        <w:tc>
          <w:tcPr>
            <w:tcW w:w="634" w:type="dxa"/>
            <w:tcBorders>
              <w:top w:val="single" w:color="auto" w:sz="4" w:space="0"/>
              <w:left w:val="single" w:color="000000" w:sz="4" w:space="0"/>
              <w:bottom w:val="single" w:color="auto" w:sz="4" w:space="0"/>
              <w:right w:val="single" w:color="000000" w:sz="4" w:space="0"/>
            </w:tcBorders>
            <w:shd w:val="clear" w:color="auto" w:fill="auto"/>
            <w:vAlign w:val="center"/>
          </w:tcPr>
          <w:p w14:paraId="6BC9E0BE">
            <w:pPr>
              <w:widowControl w:val="0"/>
              <w:rPr>
                <w:highlight w:val="none"/>
              </w:rPr>
            </w:pPr>
            <w:r>
              <w:rPr>
                <w:rFonts w:hint="eastAsia"/>
                <w:highlight w:val="none"/>
              </w:rPr>
              <w:t>项</w:t>
            </w:r>
          </w:p>
        </w:tc>
        <w:tc>
          <w:tcPr>
            <w:tcW w:w="125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3FED5C6">
            <w:pPr>
              <w:widowControl w:val="0"/>
              <w:rPr>
                <w:highlight w:val="none"/>
              </w:rPr>
            </w:pPr>
          </w:p>
        </w:tc>
        <w:tc>
          <w:tcPr>
            <w:tcW w:w="80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680ACD4">
            <w:pPr>
              <w:widowControl w:val="0"/>
              <w:rPr>
                <w:highlight w:val="none"/>
              </w:rPr>
            </w:pPr>
          </w:p>
        </w:tc>
      </w:tr>
      <w:tr w14:paraId="7BECB7B8">
        <w:tblPrEx>
          <w:tblCellMar>
            <w:top w:w="0" w:type="dxa"/>
            <w:left w:w="108" w:type="dxa"/>
            <w:bottom w:w="0" w:type="dxa"/>
            <w:right w:w="108" w:type="dxa"/>
          </w:tblCellMar>
        </w:tblPrEx>
        <w:trPr>
          <w:gridAfter w:val="1"/>
          <w:wAfter w:w="802" w:type="dxa"/>
          <w:trHeight w:val="3587" w:hRule="atLeast"/>
        </w:trPr>
        <w:tc>
          <w:tcPr>
            <w:tcW w:w="188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28B0CFBA">
            <w:pPr>
              <w:widowControl w:val="0"/>
              <w:jc w:val="center"/>
              <w:rPr>
                <w:highlight w:val="none"/>
              </w:rPr>
            </w:pPr>
            <w:r>
              <w:rPr>
                <w:rFonts w:hint="eastAsia" w:ascii="宋体" w:hAnsi="宋体" w:cs="宋体"/>
                <w:sz w:val="24"/>
                <w:szCs w:val="22"/>
                <w:highlight w:val="none"/>
              </w:rPr>
              <w:t>商务要求</w:t>
            </w:r>
          </w:p>
        </w:tc>
        <w:tc>
          <w:tcPr>
            <w:tcW w:w="10350"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2790A1C4">
            <w:pPr>
              <w:rPr>
                <w:rFonts w:ascii="宋体" w:hAnsi="宋体" w:cs="宋体"/>
                <w:sz w:val="24"/>
                <w:szCs w:val="22"/>
              </w:rPr>
            </w:pPr>
            <w:r>
              <w:rPr>
                <w:rFonts w:hint="eastAsia" w:ascii="宋体" w:hAnsi="宋体" w:cs="宋体"/>
                <w:sz w:val="24"/>
                <w:szCs w:val="22"/>
              </w:rPr>
              <w:t>一、报价人必须在报价文件中提供完整的技术方案、实施方案及售后服务方案。</w:t>
            </w:r>
          </w:p>
          <w:p w14:paraId="09122BCD">
            <w:pPr>
              <w:rPr>
                <w:rFonts w:ascii="宋体" w:hAnsi="宋体" w:cs="宋体"/>
                <w:sz w:val="24"/>
                <w:szCs w:val="22"/>
              </w:rPr>
            </w:pPr>
            <w:r>
              <w:rPr>
                <w:rFonts w:hint="eastAsia" w:ascii="宋体" w:hAnsi="宋体" w:cs="宋体"/>
                <w:sz w:val="24"/>
                <w:szCs w:val="22"/>
              </w:rPr>
              <w:t>二、服务地点：广西南宁市内采购方指定地点。</w:t>
            </w:r>
          </w:p>
          <w:p w14:paraId="34F69802">
            <w:pPr>
              <w:rPr>
                <w:rFonts w:ascii="宋体" w:hAnsi="宋体" w:cs="宋体"/>
                <w:sz w:val="24"/>
                <w:szCs w:val="22"/>
              </w:rPr>
            </w:pPr>
            <w:r>
              <w:rPr>
                <w:rFonts w:hint="eastAsia" w:ascii="宋体" w:hAnsi="宋体" w:cs="宋体"/>
                <w:sz w:val="24"/>
                <w:szCs w:val="22"/>
              </w:rPr>
              <w:t>三、响应要求</w:t>
            </w:r>
          </w:p>
          <w:p w14:paraId="72D03CD4">
            <w:pPr>
              <w:rPr>
                <w:rFonts w:ascii="宋体" w:hAnsi="宋体" w:cs="宋体"/>
                <w:sz w:val="24"/>
                <w:szCs w:val="22"/>
              </w:rPr>
            </w:pPr>
            <w:r>
              <w:rPr>
                <w:rFonts w:hint="eastAsia" w:ascii="宋体" w:hAnsi="宋体" w:cs="宋体"/>
                <w:sz w:val="24"/>
                <w:szCs w:val="22"/>
              </w:rPr>
              <w:t>1.报价方应承诺投入本项目实施团队不少于5人。</w:t>
            </w:r>
          </w:p>
          <w:p w14:paraId="5C59CCB2">
            <w:pPr>
              <w:rPr>
                <w:rFonts w:hint="eastAsia" w:ascii="宋体" w:hAnsi="宋体" w:cs="宋体"/>
                <w:sz w:val="24"/>
                <w:szCs w:val="22"/>
              </w:rPr>
            </w:pPr>
            <w:r>
              <w:rPr>
                <w:rFonts w:hint="eastAsia" w:ascii="宋体" w:hAnsi="宋体" w:cs="宋体"/>
                <w:sz w:val="24"/>
                <w:szCs w:val="22"/>
              </w:rPr>
              <w:t>2.</w:t>
            </w:r>
            <w:r>
              <w:rPr>
                <w:rFonts w:hint="eastAsia" w:ascii="宋体" w:hAnsi="宋体" w:cs="宋体"/>
                <w:sz w:val="24"/>
                <w:szCs w:val="22"/>
                <w:lang w:val="en-US" w:eastAsia="zh-CN"/>
              </w:rPr>
              <w:t>服务期：</w:t>
            </w:r>
            <w:r>
              <w:rPr>
                <w:rFonts w:hint="eastAsia" w:ascii="宋体" w:hAnsi="宋体" w:cs="宋体"/>
                <w:sz w:val="24"/>
                <w:szCs w:val="22"/>
              </w:rPr>
              <w:t>1年，自合同签订后，采购方通知入场服务之日起计算。</w:t>
            </w:r>
          </w:p>
          <w:p w14:paraId="0769E8FB">
            <w:pPr>
              <w:rPr>
                <w:rFonts w:ascii="宋体" w:hAnsi="宋体" w:cs="宋体"/>
                <w:sz w:val="24"/>
                <w:szCs w:val="22"/>
              </w:rPr>
            </w:pPr>
            <w:r>
              <w:rPr>
                <w:rFonts w:hint="eastAsia" w:ascii="宋体" w:hAnsi="宋体" w:cs="宋体"/>
                <w:sz w:val="24"/>
                <w:szCs w:val="22"/>
                <w:lang w:val="en-US" w:eastAsia="zh-CN"/>
              </w:rPr>
              <w:t>3</w:t>
            </w:r>
            <w:r>
              <w:rPr>
                <w:rFonts w:hint="eastAsia" w:ascii="宋体" w:hAnsi="宋体" w:cs="宋体"/>
                <w:sz w:val="24"/>
                <w:szCs w:val="22"/>
              </w:rPr>
              <w:t xml:space="preserve">.服务期内，成交方在接到采购方故障报修后，1小时内实质响应（含远程响应），4小时内到场排查故障。  </w:t>
            </w:r>
          </w:p>
          <w:p w14:paraId="7E1DBBD2">
            <w:pPr>
              <w:rPr>
                <w:rFonts w:ascii="宋体" w:hAnsi="宋体" w:cs="宋体"/>
                <w:sz w:val="24"/>
                <w:szCs w:val="22"/>
              </w:rPr>
            </w:pPr>
            <w:r>
              <w:rPr>
                <w:rFonts w:hint="eastAsia" w:ascii="宋体" w:hAnsi="宋体" w:cs="宋体"/>
                <w:sz w:val="24"/>
                <w:szCs w:val="22"/>
                <w:lang w:val="en-US" w:eastAsia="zh-CN"/>
              </w:rPr>
              <w:t>4</w:t>
            </w:r>
            <w:r>
              <w:rPr>
                <w:rFonts w:hint="eastAsia" w:ascii="宋体" w:hAnsi="宋体" w:cs="宋体"/>
                <w:sz w:val="24"/>
                <w:szCs w:val="22"/>
              </w:rPr>
              <w:t>.报价人在报价书中必须明确承诺达到用户的服务响应要求。</w:t>
            </w:r>
          </w:p>
          <w:p w14:paraId="5FE54947">
            <w:pPr>
              <w:rPr>
                <w:rFonts w:hint="eastAsia" w:ascii="宋体" w:hAnsi="宋体" w:cs="宋体"/>
                <w:sz w:val="24"/>
                <w:szCs w:val="22"/>
              </w:rPr>
            </w:pPr>
            <w:r>
              <w:rPr>
                <w:rFonts w:hint="eastAsia" w:ascii="宋体" w:hAnsi="宋体" w:cs="宋体"/>
                <w:sz w:val="24"/>
                <w:szCs w:val="22"/>
                <w:lang w:val="en-US" w:eastAsia="zh-CN"/>
              </w:rPr>
              <w:t>5</w:t>
            </w:r>
            <w:r>
              <w:rPr>
                <w:rFonts w:hint="eastAsia" w:ascii="宋体" w:hAnsi="宋体" w:cs="宋体"/>
                <w:sz w:val="24"/>
                <w:szCs w:val="22"/>
              </w:rPr>
              <w:t>.因成交方的原因，采购方系统出现安全事故，由成交方承担造成的所有损失。</w:t>
            </w:r>
          </w:p>
          <w:p w14:paraId="26FAC5FF">
            <w:pPr>
              <w:pStyle w:val="24"/>
              <w:numPr>
                <w:ilvl w:val="255"/>
                <w:numId w:val="0"/>
              </w:numPr>
              <w:spacing w:line="300" w:lineRule="exact"/>
              <w:rPr>
                <w:rFonts w:hint="default" w:eastAsia="宋体"/>
                <w:lang w:val="en-US" w:eastAsia="zh-CN"/>
              </w:rPr>
            </w:pPr>
            <w:r>
              <w:rPr>
                <w:rFonts w:hint="eastAsia" w:ascii="宋体" w:hAnsi="宋体" w:cs="宋体"/>
                <w:sz w:val="24"/>
                <w:szCs w:val="22"/>
                <w:lang w:val="en-US" w:eastAsia="zh-CN"/>
              </w:rPr>
              <w:t>6.</w:t>
            </w:r>
            <w:r>
              <w:rPr>
                <w:rFonts w:hint="eastAsia" w:ascii="宋体" w:hAnsi="宋体" w:cs="宋体"/>
                <w:sz w:val="24"/>
              </w:rPr>
              <w:t>成交方必须签署相关保密协议，严格遵守协议及有关保密要求。</w:t>
            </w:r>
          </w:p>
          <w:p w14:paraId="2EDE7644">
            <w:pPr>
              <w:widowControl w:val="0"/>
              <w:rPr>
                <w:highlight w:val="none"/>
              </w:rPr>
            </w:pPr>
            <w:r>
              <w:rPr>
                <w:rFonts w:hint="eastAsia" w:ascii="宋体" w:hAnsi="宋体" w:cs="宋体"/>
                <w:b/>
                <w:bCs/>
                <w:sz w:val="24"/>
                <w:szCs w:val="22"/>
              </w:rPr>
              <w:t>四、报价人在报价书中必须明确响应本项目所有商务和技术要求，性能技术参数达到或优于需求说明，否则报价无效。</w:t>
            </w:r>
          </w:p>
        </w:tc>
      </w:tr>
    </w:tbl>
    <w:p w14:paraId="0AA82A9A">
      <w:pPr>
        <w:textAlignment w:val="auto"/>
        <w:rPr>
          <w:rFonts w:ascii="仿宋" w:hAnsi="仿宋" w:eastAsia="仿宋"/>
          <w:sz w:val="28"/>
          <w:szCs w:val="32"/>
          <w:highlight w:val="none"/>
        </w:rPr>
      </w:pPr>
    </w:p>
    <w:p w14:paraId="0F9F04D1">
      <w:pPr>
        <w:rPr>
          <w:highlight w:val="none"/>
        </w:rPr>
        <w:sectPr>
          <w:pgSz w:w="16838" w:h="11906" w:orient="landscape"/>
          <w:pgMar w:top="1797" w:right="1440" w:bottom="1797" w:left="1440" w:header="851" w:footer="992" w:gutter="0"/>
          <w:cols w:space="720" w:num="1"/>
          <w:docGrid w:type="linesAndChars" w:linePitch="312" w:charSpace="0"/>
        </w:sectPr>
      </w:pPr>
    </w:p>
    <w:p w14:paraId="571F7113">
      <w:pPr>
        <w:widowControl w:val="0"/>
        <w:ind w:firstLine="562" w:firstLineChars="200"/>
        <w:jc w:val="both"/>
        <w:textAlignment w:val="auto"/>
        <w:rPr>
          <w:rFonts w:ascii="仿宋_GB2312" w:eastAsia="仿宋_GB2312"/>
          <w:b/>
          <w:bCs/>
          <w:sz w:val="28"/>
          <w:szCs w:val="28"/>
          <w:highlight w:val="none"/>
        </w:rPr>
      </w:pPr>
      <w:r>
        <w:rPr>
          <w:rFonts w:ascii="仿宋_GB2312" w:eastAsia="仿宋_GB2312"/>
          <w:b/>
          <w:bCs/>
          <w:sz w:val="28"/>
          <w:szCs w:val="28"/>
          <w:highlight w:val="none"/>
        </w:rPr>
        <w:t>三、商务条款</w:t>
      </w:r>
    </w:p>
    <w:p w14:paraId="4633A422">
      <w:pPr>
        <w:widowControl w:val="0"/>
        <w:ind w:firstLine="560" w:firstLineChars="200"/>
        <w:jc w:val="both"/>
        <w:textAlignment w:val="auto"/>
        <w:rPr>
          <w:rFonts w:ascii="仿宋" w:hAnsi="仿宋" w:eastAsia="仿宋"/>
          <w:sz w:val="28"/>
          <w:szCs w:val="28"/>
          <w:highlight w:val="none"/>
        </w:rPr>
      </w:pPr>
      <w:r>
        <w:rPr>
          <w:rFonts w:ascii="仿宋" w:hAnsi="仿宋" w:eastAsia="仿宋"/>
          <w:sz w:val="28"/>
          <w:szCs w:val="28"/>
          <w:highlight w:val="none"/>
        </w:rPr>
        <w:t>（一）报价方须有合法的经营资格，必须提供下列有效证照材料：营业执照、法人身份证（复印件）以及报价方认为需要提供的资料,相关复印件需签“与原件相符”并盖单位公章（下同）。</w:t>
      </w:r>
    </w:p>
    <w:p w14:paraId="495BE477">
      <w:pPr>
        <w:widowControl w:val="0"/>
        <w:ind w:firstLine="560" w:firstLineChars="200"/>
        <w:jc w:val="both"/>
        <w:textAlignment w:val="auto"/>
        <w:rPr>
          <w:rFonts w:ascii="仿宋" w:hAnsi="仿宋" w:eastAsia="仿宋"/>
          <w:sz w:val="28"/>
          <w:szCs w:val="28"/>
          <w:highlight w:val="none"/>
        </w:rPr>
      </w:pPr>
      <w:r>
        <w:rPr>
          <w:rFonts w:ascii="仿宋" w:hAnsi="仿宋" w:eastAsia="仿宋"/>
          <w:sz w:val="28"/>
          <w:szCs w:val="28"/>
          <w:highlight w:val="none"/>
        </w:rPr>
        <w:t>（二）</w:t>
      </w:r>
      <w:r>
        <w:rPr>
          <w:rFonts w:hint="eastAsia" w:ascii="仿宋" w:hAnsi="仿宋" w:eastAsia="仿宋"/>
          <w:sz w:val="28"/>
          <w:szCs w:val="28"/>
          <w:highlight w:val="none"/>
        </w:rPr>
        <w:t>报价方未被“信用中国”（www.creditchina.gov.cn）、中国政府采购网（www.ccgp.gov.cn）列入失信被执行人、重大税收违法案件当事人名单、政府采购严重违法失信行为记录名单。供应商需提供相关网页资料打印件等材料。</w:t>
      </w:r>
    </w:p>
    <w:p w14:paraId="2775B77E">
      <w:pPr>
        <w:widowControl w:val="0"/>
        <w:ind w:firstLine="560" w:firstLineChars="200"/>
        <w:jc w:val="both"/>
        <w:textAlignment w:val="auto"/>
        <w:rPr>
          <w:rFonts w:ascii="仿宋" w:hAnsi="仿宋" w:eastAsia="仿宋"/>
          <w:sz w:val="28"/>
          <w:szCs w:val="28"/>
          <w:highlight w:val="none"/>
        </w:rPr>
      </w:pPr>
      <w:r>
        <w:rPr>
          <w:rFonts w:hint="eastAsia" w:ascii="仿宋" w:hAnsi="仿宋" w:eastAsia="仿宋"/>
          <w:sz w:val="28"/>
          <w:szCs w:val="28"/>
          <w:highlight w:val="none"/>
        </w:rPr>
        <w:t>（三）</w:t>
      </w:r>
      <w:r>
        <w:rPr>
          <w:rFonts w:ascii="仿宋" w:hAnsi="仿宋" w:eastAsia="仿宋"/>
          <w:sz w:val="28"/>
          <w:szCs w:val="28"/>
          <w:highlight w:val="none"/>
        </w:rPr>
        <w:t>报价方必须至少提供3份自202</w:t>
      </w:r>
      <w:r>
        <w:rPr>
          <w:rFonts w:hint="eastAsia" w:ascii="仿宋" w:hAnsi="仿宋" w:eastAsia="仿宋"/>
          <w:sz w:val="28"/>
          <w:szCs w:val="28"/>
          <w:highlight w:val="none"/>
          <w:lang w:val="en-US" w:eastAsia="zh-CN"/>
        </w:rPr>
        <w:t>4</w:t>
      </w:r>
      <w:r>
        <w:rPr>
          <w:rFonts w:ascii="仿宋" w:hAnsi="仿宋" w:eastAsia="仿宋"/>
          <w:sz w:val="28"/>
          <w:szCs w:val="28"/>
          <w:highlight w:val="none"/>
        </w:rPr>
        <w:t>年（含）以来具有同类项目或服务内容的业绩证明，以成交通知书或合同复印件关键页为准（提供合同复印件，原件备查）。</w:t>
      </w:r>
    </w:p>
    <w:p w14:paraId="4D24045F">
      <w:pPr>
        <w:widowControl w:val="0"/>
        <w:ind w:firstLine="560" w:firstLineChars="200"/>
        <w:jc w:val="both"/>
        <w:textAlignment w:val="auto"/>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rPr>
        <w:t>四</w:t>
      </w:r>
      <w:r>
        <w:rPr>
          <w:rFonts w:ascii="仿宋" w:hAnsi="仿宋" w:eastAsia="仿宋"/>
          <w:sz w:val="28"/>
          <w:szCs w:val="28"/>
          <w:highlight w:val="none"/>
        </w:rPr>
        <w:t>）不可抗力：如因不可抗力问题导致无法或延迟履行合同的，应在不可抗力事件发生后三天内通知对方，并协商寻求减少损失的办法或对双方都公正合理的另外安排。</w:t>
      </w:r>
    </w:p>
    <w:p w14:paraId="163C46E8">
      <w:pPr>
        <w:widowControl w:val="0"/>
        <w:ind w:firstLine="562" w:firstLineChars="200"/>
        <w:jc w:val="both"/>
        <w:textAlignment w:val="auto"/>
        <w:rPr>
          <w:rFonts w:ascii="仿宋_GB2312" w:eastAsia="仿宋_GB2312"/>
          <w:b/>
          <w:bCs/>
          <w:sz w:val="28"/>
          <w:szCs w:val="28"/>
          <w:highlight w:val="none"/>
        </w:rPr>
      </w:pPr>
      <w:r>
        <w:rPr>
          <w:rFonts w:ascii="仿宋_GB2312" w:eastAsia="仿宋_GB2312"/>
          <w:b/>
          <w:bCs/>
          <w:sz w:val="28"/>
          <w:szCs w:val="28"/>
          <w:highlight w:val="none"/>
        </w:rPr>
        <w:t>四、验收标准</w:t>
      </w:r>
    </w:p>
    <w:p w14:paraId="0EC38478">
      <w:pPr>
        <w:widowControl w:val="0"/>
        <w:ind w:firstLine="560" w:firstLineChars="200"/>
        <w:jc w:val="both"/>
        <w:textAlignment w:val="auto"/>
        <w:rPr>
          <w:rFonts w:ascii="仿宋" w:hAnsi="仿宋" w:eastAsia="仿宋"/>
          <w:sz w:val="28"/>
          <w:szCs w:val="28"/>
          <w:highlight w:val="none"/>
        </w:rPr>
      </w:pPr>
      <w:r>
        <w:rPr>
          <w:rFonts w:hint="eastAsia" w:ascii="仿宋" w:hAnsi="仿宋" w:eastAsia="仿宋"/>
          <w:sz w:val="28"/>
          <w:szCs w:val="28"/>
          <w:highlight w:val="none"/>
        </w:rPr>
        <w:t>成交方按合同要求</w:t>
      </w:r>
      <w:r>
        <w:rPr>
          <w:rFonts w:hint="eastAsia" w:ascii="仿宋" w:hAnsi="仿宋" w:eastAsia="仿宋"/>
          <w:sz w:val="28"/>
          <w:szCs w:val="28"/>
          <w:highlight w:val="none"/>
          <w:lang w:val="en-US" w:eastAsia="zh-CN"/>
        </w:rPr>
        <w:t>提供</w:t>
      </w:r>
      <w:r>
        <w:rPr>
          <w:rFonts w:hint="eastAsia" w:ascii="仿宋" w:hAnsi="仿宋" w:eastAsia="仿宋"/>
          <w:sz w:val="28"/>
          <w:szCs w:val="28"/>
          <w:highlight w:val="none"/>
        </w:rPr>
        <w:t>机房设备设施运行维护及网络安全运维服务</w:t>
      </w:r>
      <w:r>
        <w:rPr>
          <w:rFonts w:hint="eastAsia" w:ascii="仿宋" w:hAnsi="仿宋" w:eastAsia="仿宋"/>
          <w:sz w:val="28"/>
          <w:szCs w:val="28"/>
          <w:highlight w:val="none"/>
          <w:lang w:eastAsia="zh-CN"/>
        </w:rPr>
        <w:t>，</w:t>
      </w:r>
      <w:r>
        <w:rPr>
          <w:rFonts w:hint="eastAsia" w:ascii="仿宋" w:hAnsi="仿宋" w:eastAsia="仿宋"/>
          <w:sz w:val="28"/>
          <w:szCs w:val="28"/>
          <w:highlight w:val="none"/>
        </w:rPr>
        <w:t>验收通过。</w:t>
      </w:r>
    </w:p>
    <w:p w14:paraId="44065CC5">
      <w:pPr>
        <w:widowControl w:val="0"/>
        <w:ind w:firstLine="562" w:firstLineChars="200"/>
        <w:jc w:val="both"/>
        <w:textAlignment w:val="auto"/>
        <w:rPr>
          <w:rFonts w:ascii="仿宋_GB2312" w:eastAsia="仿宋_GB2312"/>
          <w:b/>
          <w:bCs/>
          <w:sz w:val="28"/>
          <w:szCs w:val="28"/>
          <w:highlight w:val="none"/>
        </w:rPr>
      </w:pPr>
      <w:r>
        <w:rPr>
          <w:rFonts w:ascii="仿宋_GB2312" w:eastAsia="仿宋_GB2312"/>
          <w:b/>
          <w:bCs/>
          <w:sz w:val="28"/>
          <w:szCs w:val="28"/>
          <w:highlight w:val="none"/>
        </w:rPr>
        <w:t>五、付款方式</w:t>
      </w:r>
    </w:p>
    <w:p w14:paraId="788F18EE">
      <w:pPr>
        <w:widowControl w:val="0"/>
        <w:ind w:firstLine="560" w:firstLineChars="200"/>
        <w:jc w:val="both"/>
        <w:textAlignment w:val="auto"/>
        <w:rPr>
          <w:rFonts w:ascii="仿宋" w:hAnsi="仿宋" w:eastAsia="仿宋"/>
          <w:sz w:val="28"/>
          <w:szCs w:val="28"/>
          <w:highlight w:val="none"/>
        </w:rPr>
      </w:pPr>
      <w:r>
        <w:rPr>
          <w:rFonts w:hint="eastAsia" w:ascii="仿宋" w:hAnsi="仿宋" w:eastAsia="仿宋"/>
          <w:sz w:val="28"/>
          <w:szCs w:val="28"/>
          <w:highlight w:val="none"/>
        </w:rPr>
        <w:t>（一）履约保证金：成交方在签订合同</w:t>
      </w:r>
      <w:r>
        <w:rPr>
          <w:rFonts w:hint="eastAsia" w:ascii="仿宋" w:hAnsi="仿宋" w:eastAsia="仿宋"/>
          <w:sz w:val="28"/>
          <w:szCs w:val="28"/>
          <w:highlight w:val="none"/>
          <w:lang w:val="en-US" w:eastAsia="zh-CN"/>
        </w:rPr>
        <w:t>后</w:t>
      </w:r>
      <w:r>
        <w:rPr>
          <w:rFonts w:hint="eastAsia" w:ascii="仿宋" w:hAnsi="仿宋" w:eastAsia="仿宋"/>
          <w:sz w:val="28"/>
          <w:szCs w:val="28"/>
          <w:highlight w:val="none"/>
        </w:rPr>
        <w:t>按合同金额的5%（小微企业按合同金额的2%）向采购方支付履约保证金，服务期到期并履约验收</w:t>
      </w:r>
      <w:r>
        <w:rPr>
          <w:rFonts w:hint="eastAsia" w:ascii="仿宋" w:hAnsi="仿宋" w:eastAsia="仿宋"/>
          <w:sz w:val="28"/>
          <w:szCs w:val="28"/>
          <w:highlight w:val="none"/>
          <w:lang w:val="en-US" w:eastAsia="zh-CN"/>
        </w:rPr>
        <w:t>合格</w:t>
      </w:r>
      <w:r>
        <w:rPr>
          <w:rFonts w:hint="eastAsia" w:ascii="仿宋" w:hAnsi="仿宋" w:eastAsia="仿宋"/>
          <w:sz w:val="28"/>
          <w:szCs w:val="28"/>
          <w:highlight w:val="none"/>
        </w:rPr>
        <w:t>后</w:t>
      </w:r>
      <w:r>
        <w:rPr>
          <w:rFonts w:hint="eastAsia" w:ascii="仿宋" w:hAnsi="仿宋" w:eastAsia="仿宋"/>
          <w:sz w:val="28"/>
          <w:szCs w:val="28"/>
          <w:highlight w:val="none"/>
          <w:lang w:eastAsia="zh-CN"/>
        </w:rPr>
        <w:t>，</w:t>
      </w:r>
      <w:r>
        <w:rPr>
          <w:rFonts w:hint="eastAsia" w:ascii="仿宋" w:hAnsi="仿宋" w:eastAsia="仿宋"/>
          <w:sz w:val="28"/>
          <w:szCs w:val="28"/>
          <w:highlight w:val="none"/>
        </w:rPr>
        <w:t>采购方接成交方来函15个工作日内，采购方无息退还成交方。</w:t>
      </w:r>
    </w:p>
    <w:p w14:paraId="321031E4">
      <w:pPr>
        <w:widowControl w:val="0"/>
        <w:ind w:firstLine="560" w:firstLineChars="200"/>
        <w:jc w:val="both"/>
        <w:textAlignment w:val="auto"/>
        <w:rPr>
          <w:rFonts w:ascii="仿宋" w:hAnsi="仿宋" w:eastAsia="仿宋"/>
          <w:sz w:val="28"/>
          <w:szCs w:val="28"/>
          <w:highlight w:val="none"/>
        </w:rPr>
      </w:pPr>
      <w:r>
        <w:rPr>
          <w:rFonts w:hint="eastAsia" w:ascii="仿宋" w:hAnsi="仿宋" w:eastAsia="仿宋"/>
          <w:sz w:val="28"/>
          <w:szCs w:val="28"/>
          <w:highlight w:val="none"/>
        </w:rPr>
        <w:t>（二）采购方与成交方合同签订并生效后10个工作日内，成交方提交服务方案，采购方向成交方支付合同总额的</w:t>
      </w:r>
      <w:r>
        <w:rPr>
          <w:rFonts w:hint="eastAsia" w:ascii="仿宋" w:hAnsi="仿宋" w:eastAsia="仿宋"/>
          <w:sz w:val="28"/>
          <w:szCs w:val="28"/>
          <w:highlight w:val="none"/>
          <w:lang w:val="en-US" w:eastAsia="zh-CN"/>
        </w:rPr>
        <w:t>20</w:t>
      </w:r>
      <w:r>
        <w:rPr>
          <w:rFonts w:hint="eastAsia" w:ascii="仿宋" w:hAnsi="仿宋" w:eastAsia="仿宋"/>
          <w:sz w:val="28"/>
          <w:szCs w:val="28"/>
          <w:highlight w:val="none"/>
        </w:rPr>
        <w:t>%；提供运维服务不少于</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个月后，采购方向成交方支付合同总额的</w:t>
      </w:r>
      <w:r>
        <w:rPr>
          <w:rFonts w:hint="eastAsia" w:ascii="仿宋" w:hAnsi="仿宋" w:eastAsia="仿宋"/>
          <w:sz w:val="28"/>
          <w:szCs w:val="28"/>
          <w:highlight w:val="none"/>
          <w:lang w:val="en-US" w:eastAsia="zh-CN"/>
        </w:rPr>
        <w:t>35</w:t>
      </w:r>
      <w:r>
        <w:rPr>
          <w:rFonts w:hint="eastAsia" w:ascii="仿宋" w:hAnsi="仿宋" w:eastAsia="仿宋"/>
          <w:sz w:val="28"/>
          <w:szCs w:val="28"/>
          <w:highlight w:val="none"/>
        </w:rPr>
        <w:t>%；成交方按合同完成服务内容，经验收合格后，采购方向成交方支付合同总额的</w:t>
      </w:r>
      <w:r>
        <w:rPr>
          <w:rFonts w:hint="eastAsia" w:ascii="仿宋" w:hAnsi="仿宋" w:eastAsia="仿宋"/>
          <w:sz w:val="28"/>
          <w:szCs w:val="28"/>
          <w:highlight w:val="none"/>
          <w:lang w:val="en-US" w:eastAsia="zh-CN"/>
        </w:rPr>
        <w:t>45</w:t>
      </w:r>
      <w:r>
        <w:rPr>
          <w:rFonts w:hint="eastAsia" w:ascii="仿宋" w:hAnsi="仿宋" w:eastAsia="仿宋"/>
          <w:sz w:val="28"/>
          <w:szCs w:val="28"/>
          <w:highlight w:val="none"/>
        </w:rPr>
        <w:t>%。</w:t>
      </w:r>
    </w:p>
    <w:p w14:paraId="738F78F5">
      <w:pPr>
        <w:widowControl w:val="0"/>
        <w:ind w:firstLine="560" w:firstLineChars="200"/>
        <w:jc w:val="both"/>
        <w:textAlignment w:val="auto"/>
        <w:rPr>
          <w:rFonts w:ascii="仿宋" w:hAnsi="仿宋" w:eastAsia="仿宋"/>
          <w:sz w:val="28"/>
          <w:szCs w:val="28"/>
          <w:highlight w:val="none"/>
        </w:rPr>
      </w:pPr>
      <w:r>
        <w:rPr>
          <w:rFonts w:hint="eastAsia" w:ascii="仿宋" w:hAnsi="仿宋" w:eastAsia="仿宋"/>
          <w:sz w:val="28"/>
          <w:szCs w:val="28"/>
          <w:highlight w:val="none"/>
        </w:rPr>
        <w:t>（三）成交方申请支付合同价款前，应开具相应金额合规发票给采购方。</w:t>
      </w:r>
    </w:p>
    <w:p w14:paraId="06CC0F90">
      <w:pPr>
        <w:widowControl w:val="0"/>
        <w:ind w:firstLine="560" w:firstLineChars="200"/>
        <w:jc w:val="both"/>
        <w:textAlignment w:val="auto"/>
        <w:rPr>
          <w:rFonts w:ascii="仿宋" w:hAnsi="仿宋" w:eastAsia="仿宋"/>
          <w:sz w:val="28"/>
          <w:szCs w:val="28"/>
          <w:highlight w:val="none"/>
        </w:rPr>
      </w:pPr>
      <w:r>
        <w:rPr>
          <w:rFonts w:hint="eastAsia" w:ascii="仿宋" w:hAnsi="仿宋" w:eastAsia="仿宋"/>
          <w:sz w:val="28"/>
          <w:szCs w:val="28"/>
          <w:highlight w:val="none"/>
        </w:rPr>
        <w:t>（四）本项目报价为总包干价，报价必须包括实施和完成该项目所需的设备、耗材和服务、税费等一切费用，以及合同明示所有责任、义务和一般风险，采购方不再支付任何费用。</w:t>
      </w:r>
    </w:p>
    <w:p w14:paraId="487F4D06">
      <w:pPr>
        <w:widowControl w:val="0"/>
        <w:ind w:firstLine="562" w:firstLineChars="200"/>
        <w:jc w:val="both"/>
        <w:textAlignment w:val="auto"/>
        <w:rPr>
          <w:rFonts w:ascii="仿宋_GB2312" w:eastAsia="仿宋_GB2312"/>
          <w:b/>
          <w:bCs/>
          <w:sz w:val="28"/>
          <w:szCs w:val="28"/>
          <w:highlight w:val="none"/>
        </w:rPr>
      </w:pPr>
      <w:r>
        <w:rPr>
          <w:rFonts w:ascii="仿宋_GB2312" w:eastAsia="仿宋_GB2312"/>
          <w:b/>
          <w:bCs/>
          <w:sz w:val="28"/>
          <w:szCs w:val="28"/>
          <w:highlight w:val="none"/>
        </w:rPr>
        <w:t>六、评审和推荐成交候选人</w:t>
      </w:r>
    </w:p>
    <w:p w14:paraId="6019F51A">
      <w:pPr>
        <w:widowControl w:val="0"/>
        <w:ind w:firstLine="560" w:firstLineChars="200"/>
        <w:jc w:val="both"/>
        <w:textAlignment w:val="auto"/>
        <w:rPr>
          <w:rFonts w:ascii="仿宋" w:hAnsi="仿宋" w:eastAsia="仿宋"/>
          <w:sz w:val="28"/>
          <w:szCs w:val="28"/>
          <w:highlight w:val="none"/>
        </w:rPr>
      </w:pPr>
      <w:r>
        <w:rPr>
          <w:rFonts w:hint="eastAsia" w:ascii="仿宋" w:hAnsi="仿宋" w:eastAsia="仿宋"/>
          <w:sz w:val="28"/>
          <w:szCs w:val="28"/>
          <w:highlight w:val="none"/>
        </w:rPr>
        <w:t>（一）“评审委员会”构成：本采购项目的“评审委员会”由执法局根据有关要求抽取3人及以上单数作为评委和1名监督员构成。</w:t>
      </w:r>
    </w:p>
    <w:p w14:paraId="7B358BE0">
      <w:pPr>
        <w:widowControl w:val="0"/>
        <w:ind w:firstLine="560" w:firstLineChars="200"/>
        <w:jc w:val="both"/>
        <w:textAlignment w:val="auto"/>
        <w:rPr>
          <w:rFonts w:ascii="仿宋" w:hAnsi="仿宋" w:eastAsia="仿宋"/>
          <w:sz w:val="28"/>
          <w:szCs w:val="28"/>
          <w:highlight w:val="none"/>
        </w:rPr>
      </w:pPr>
      <w:r>
        <w:rPr>
          <w:rFonts w:hint="eastAsia" w:ascii="仿宋" w:hAnsi="仿宋" w:eastAsia="仿宋"/>
          <w:sz w:val="28"/>
          <w:szCs w:val="28"/>
          <w:highlight w:val="none"/>
        </w:rPr>
        <w:t>（二）评审条件：“评审委员会”将以采购文件、报价文件为评审依据，对报价方的报价最终报价、产品质量、服务质量、资质条件等开展评审工作。</w:t>
      </w:r>
    </w:p>
    <w:p w14:paraId="45CDA035">
      <w:pPr>
        <w:widowControl w:val="0"/>
        <w:ind w:firstLine="560" w:firstLineChars="200"/>
        <w:jc w:val="both"/>
        <w:textAlignment w:val="auto"/>
        <w:rPr>
          <w:rFonts w:ascii="仿宋" w:hAnsi="仿宋" w:eastAsia="仿宋"/>
          <w:sz w:val="28"/>
          <w:szCs w:val="28"/>
          <w:highlight w:val="none"/>
        </w:rPr>
      </w:pPr>
      <w:r>
        <w:rPr>
          <w:rFonts w:hint="eastAsia" w:ascii="仿宋" w:hAnsi="仿宋" w:eastAsia="仿宋"/>
          <w:sz w:val="28"/>
          <w:szCs w:val="28"/>
          <w:highlight w:val="none"/>
        </w:rPr>
        <w:t>（三）评审采用综合评分法，即报价方的报价文件完全响应采购文件的前提下，综合评分最高者推荐为第一成交候选人。</w:t>
      </w:r>
    </w:p>
    <w:p w14:paraId="4AE498AA">
      <w:pPr>
        <w:textAlignment w:val="auto"/>
        <w:rPr>
          <w:rFonts w:ascii="仿宋_GB2312" w:eastAsia="仿宋_GB2312"/>
          <w:b/>
          <w:bCs/>
          <w:sz w:val="28"/>
          <w:szCs w:val="28"/>
          <w:highlight w:val="none"/>
        </w:rPr>
      </w:pPr>
      <w:r>
        <w:rPr>
          <w:rFonts w:ascii="仿宋_GB2312" w:eastAsia="仿宋_GB2312"/>
          <w:b/>
          <w:bCs/>
          <w:sz w:val="28"/>
          <w:szCs w:val="28"/>
          <w:highlight w:val="none"/>
        </w:rPr>
        <w:br w:type="page"/>
      </w:r>
    </w:p>
    <w:p w14:paraId="48F85598">
      <w:pPr>
        <w:widowControl w:val="0"/>
        <w:ind w:firstLine="562" w:firstLineChars="200"/>
        <w:jc w:val="both"/>
        <w:textAlignment w:val="auto"/>
        <w:rPr>
          <w:rFonts w:ascii="仿宋_GB2312" w:eastAsia="仿宋_GB2312"/>
          <w:b/>
          <w:bCs/>
          <w:sz w:val="28"/>
          <w:szCs w:val="28"/>
          <w:highlight w:val="none"/>
        </w:rPr>
      </w:pPr>
      <w:r>
        <w:rPr>
          <w:rFonts w:ascii="仿宋_GB2312" w:eastAsia="仿宋_GB2312"/>
          <w:b/>
          <w:bCs/>
          <w:sz w:val="28"/>
          <w:szCs w:val="28"/>
          <w:highlight w:val="none"/>
        </w:rPr>
        <w:t>七、评分方法及标准</w:t>
      </w:r>
    </w:p>
    <w:tbl>
      <w:tblPr>
        <w:tblStyle w:val="13"/>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154"/>
        <w:gridCol w:w="5892"/>
        <w:gridCol w:w="791"/>
      </w:tblGrid>
      <w:tr w14:paraId="523E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19" w:type="dxa"/>
            <w:noWrap/>
            <w:vAlign w:val="center"/>
          </w:tcPr>
          <w:p w14:paraId="55D6C0D3">
            <w:pPr>
              <w:spacing w:line="360" w:lineRule="auto"/>
              <w:jc w:val="both"/>
              <w:textAlignment w:val="auto"/>
              <w:rPr>
                <w:rFonts w:ascii="仿宋_GB2312" w:hAnsi="宋体" w:eastAsia="仿宋_GB2312" w:cs="Tahoma"/>
                <w:b/>
                <w:bCs/>
                <w:color w:val="auto"/>
                <w:kern w:val="0"/>
                <w:sz w:val="24"/>
                <w:highlight w:val="none"/>
              </w:rPr>
            </w:pPr>
            <w:bookmarkStart w:id="2" w:name="PO_TDCUS_ITEM_SM_TABLE_1"/>
            <w:r>
              <w:rPr>
                <w:rFonts w:ascii="仿宋_GB2312" w:hAnsi="宋体" w:eastAsia="仿宋_GB2312" w:cs="Tahoma"/>
                <w:b/>
                <w:bCs/>
                <w:color w:val="auto"/>
                <w:kern w:val="0"/>
                <w:sz w:val="24"/>
                <w:highlight w:val="none"/>
              </w:rPr>
              <w:t>序号</w:t>
            </w:r>
          </w:p>
        </w:tc>
        <w:tc>
          <w:tcPr>
            <w:tcW w:w="1154" w:type="dxa"/>
            <w:noWrap/>
            <w:vAlign w:val="center"/>
          </w:tcPr>
          <w:p w14:paraId="4E3EB0C0">
            <w:pPr>
              <w:spacing w:line="360" w:lineRule="auto"/>
              <w:textAlignment w:val="auto"/>
              <w:rPr>
                <w:rFonts w:ascii="仿宋_GB2312" w:hAnsi="宋体" w:eastAsia="仿宋_GB2312" w:cs="Tahoma"/>
                <w:b/>
                <w:bCs/>
                <w:color w:val="auto"/>
                <w:kern w:val="0"/>
                <w:sz w:val="24"/>
                <w:highlight w:val="none"/>
              </w:rPr>
            </w:pPr>
            <w:r>
              <w:rPr>
                <w:rFonts w:ascii="仿宋_GB2312" w:hAnsi="宋体" w:eastAsia="仿宋_GB2312" w:cs="Tahoma"/>
                <w:b/>
                <w:bCs/>
                <w:color w:val="auto"/>
                <w:kern w:val="0"/>
                <w:sz w:val="24"/>
                <w:highlight w:val="none"/>
              </w:rPr>
              <w:t>评审因素</w:t>
            </w:r>
          </w:p>
        </w:tc>
        <w:tc>
          <w:tcPr>
            <w:tcW w:w="5892" w:type="dxa"/>
            <w:noWrap/>
            <w:vAlign w:val="center"/>
          </w:tcPr>
          <w:p w14:paraId="232CA787">
            <w:pPr>
              <w:spacing w:line="360" w:lineRule="auto"/>
              <w:ind w:firstLine="482" w:firstLineChars="200"/>
              <w:jc w:val="center"/>
              <w:textAlignment w:val="auto"/>
              <w:rPr>
                <w:rFonts w:ascii="仿宋_GB2312" w:hAnsi="宋体" w:eastAsia="仿宋_GB2312" w:cs="Tahoma"/>
                <w:b/>
                <w:bCs/>
                <w:color w:val="auto"/>
                <w:kern w:val="0"/>
                <w:sz w:val="24"/>
                <w:highlight w:val="none"/>
              </w:rPr>
            </w:pPr>
            <w:r>
              <w:rPr>
                <w:rFonts w:ascii="仿宋_GB2312" w:hAnsi="宋体" w:eastAsia="仿宋_GB2312" w:cs="Tahoma"/>
                <w:b/>
                <w:bCs/>
                <w:color w:val="auto"/>
                <w:kern w:val="0"/>
                <w:sz w:val="24"/>
                <w:highlight w:val="none"/>
              </w:rPr>
              <w:t>评审因素具体内容</w:t>
            </w:r>
          </w:p>
        </w:tc>
        <w:tc>
          <w:tcPr>
            <w:tcW w:w="791" w:type="dxa"/>
            <w:noWrap/>
            <w:vAlign w:val="center"/>
          </w:tcPr>
          <w:p w14:paraId="4D5C459F">
            <w:pPr>
              <w:spacing w:line="360" w:lineRule="auto"/>
              <w:textAlignment w:val="auto"/>
              <w:rPr>
                <w:rFonts w:ascii="仿宋_GB2312" w:hAnsi="宋体" w:eastAsia="仿宋_GB2312" w:cs="Tahoma"/>
                <w:b/>
                <w:bCs/>
                <w:color w:val="auto"/>
                <w:sz w:val="24"/>
                <w:highlight w:val="none"/>
              </w:rPr>
            </w:pPr>
            <w:r>
              <w:rPr>
                <w:rFonts w:ascii="仿宋_GB2312" w:hAnsi="宋体" w:eastAsia="仿宋_GB2312" w:cs="Tahoma"/>
                <w:b/>
                <w:bCs/>
                <w:color w:val="auto"/>
                <w:sz w:val="24"/>
                <w:highlight w:val="none"/>
              </w:rPr>
              <w:t>分值</w:t>
            </w:r>
          </w:p>
        </w:tc>
      </w:tr>
      <w:tr w14:paraId="5286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19" w:type="dxa"/>
            <w:noWrap/>
            <w:vAlign w:val="center"/>
          </w:tcPr>
          <w:p w14:paraId="427FFB52">
            <w:pPr>
              <w:widowControl w:val="0"/>
              <w:spacing w:line="360" w:lineRule="exact"/>
              <w:ind w:firstLine="120" w:firstLineChars="5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1</w:t>
            </w:r>
          </w:p>
        </w:tc>
        <w:tc>
          <w:tcPr>
            <w:tcW w:w="1154" w:type="dxa"/>
            <w:noWrap/>
            <w:vAlign w:val="center"/>
          </w:tcPr>
          <w:p w14:paraId="12D28896">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价格分</w:t>
            </w:r>
          </w:p>
        </w:tc>
        <w:tc>
          <w:tcPr>
            <w:tcW w:w="5892" w:type="dxa"/>
            <w:noWrap/>
          </w:tcPr>
          <w:p w14:paraId="68A6082A">
            <w:pPr>
              <w:spacing w:line="300" w:lineRule="exact"/>
              <w:ind w:firstLine="480" w:firstLineChars="200"/>
              <w:jc w:val="both"/>
              <w:rPr>
                <w:rFonts w:ascii="仿宋_GB2312" w:hAnsi="宋体" w:eastAsia="仿宋_GB2312"/>
                <w:color w:val="auto"/>
                <w:sz w:val="24"/>
                <w:highlight w:val="none"/>
              </w:rPr>
            </w:pPr>
            <w:r>
              <w:rPr>
                <w:rFonts w:hint="eastAsia" w:ascii="仿宋_GB2312" w:hAnsi="宋体" w:eastAsia="仿宋_GB2312"/>
                <w:color w:val="auto"/>
                <w:sz w:val="24"/>
                <w:highlight w:val="none"/>
              </w:rPr>
              <w:t>（1）评审价为供应商的最后报价进行政策性扣除后的价格，评审价只是作为评审时使用。最终成交供应商的成交金额等于最后报价（如有修正，以确认修正后的最后报价为准）。</w:t>
            </w:r>
          </w:p>
          <w:p w14:paraId="4C232E94">
            <w:pPr>
              <w:spacing w:line="300" w:lineRule="exact"/>
              <w:ind w:firstLine="480" w:firstLineChars="200"/>
              <w:jc w:val="both"/>
              <w:rPr>
                <w:rFonts w:ascii="仿宋_GB2312" w:hAnsi="宋体" w:eastAsia="仿宋_GB2312"/>
                <w:color w:val="auto"/>
                <w:sz w:val="24"/>
                <w:highlight w:val="none"/>
              </w:rPr>
            </w:pPr>
            <w:r>
              <w:rPr>
                <w:rFonts w:hint="eastAsia" w:ascii="仿宋_GB2312" w:hAnsi="宋体" w:eastAsia="仿宋_GB2312"/>
                <w:color w:val="auto"/>
                <w:sz w:val="24"/>
                <w:highlight w:val="none"/>
              </w:rPr>
              <w:t>（2）政府采购政策性扣除计算方法</w:t>
            </w:r>
          </w:p>
          <w:p w14:paraId="07A9D2D9">
            <w:pPr>
              <w:spacing w:line="300" w:lineRule="exact"/>
              <w:ind w:firstLine="480" w:firstLineChars="200"/>
              <w:jc w:val="both"/>
              <w:rPr>
                <w:rFonts w:ascii="仿宋_GB2312" w:hAnsi="宋体" w:eastAsia="仿宋_GB2312"/>
                <w:color w:val="auto"/>
                <w:sz w:val="24"/>
                <w:highlight w:val="none"/>
              </w:rPr>
            </w:pPr>
            <w:r>
              <w:rPr>
                <w:rFonts w:hint="eastAsia" w:ascii="仿宋_GB2312" w:hAnsi="宋体" w:eastAsia="仿宋_GB2312"/>
                <w:color w:val="auto"/>
                <w:sz w:val="24"/>
                <w:highlight w:val="none"/>
              </w:rPr>
              <w:t>根据《政府采购促进中小企业发展管理办法》（财库〔2020〕46号）及《广西壮族自治区财政厅关于进一步发挥政府采购政策功能促进企业发展的通知》（桂财采〔2022〕30号）的规定，供应商在其响应文件中提供《中小企业声明函》，且服务全部由小微企业承接，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4 %的扣除，用扣除后的价格参加评审，扣除后的价格为评审价，即评审价=竞标报价×（1- 4 %）。除上述情况外，评审价=竞标报价。</w:t>
            </w:r>
          </w:p>
          <w:p w14:paraId="6739AB59">
            <w:pPr>
              <w:spacing w:line="300" w:lineRule="exact"/>
              <w:ind w:firstLine="480" w:firstLineChars="200"/>
              <w:jc w:val="both"/>
              <w:rPr>
                <w:rFonts w:ascii="仿宋_GB2312" w:hAnsi="宋体" w:eastAsia="仿宋_GB2312"/>
                <w:color w:val="auto"/>
                <w:sz w:val="24"/>
                <w:highlight w:val="none"/>
              </w:rPr>
            </w:pPr>
            <w:r>
              <w:rPr>
                <w:rFonts w:hint="eastAsia" w:ascii="仿宋_GB2312" w:hAnsi="宋体" w:eastAsia="仿宋_GB2312"/>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1954853">
            <w:pPr>
              <w:spacing w:line="300" w:lineRule="exact"/>
              <w:ind w:firstLine="480" w:firstLineChars="200"/>
              <w:jc w:val="both"/>
              <w:rPr>
                <w:rFonts w:ascii="仿宋_GB2312" w:hAnsi="宋体" w:eastAsia="仿宋_GB2312"/>
                <w:color w:val="auto"/>
                <w:sz w:val="24"/>
                <w:highlight w:val="none"/>
              </w:rPr>
            </w:pPr>
            <w:r>
              <w:rPr>
                <w:rFonts w:hint="eastAsia" w:ascii="仿宋_GB2312" w:hAnsi="宋体" w:eastAsia="仿宋_GB2312"/>
                <w:color w:val="auto"/>
                <w:sz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54A5018">
            <w:pPr>
              <w:spacing w:line="300" w:lineRule="exact"/>
              <w:ind w:firstLine="480" w:firstLineChars="200"/>
              <w:jc w:val="both"/>
              <w:rPr>
                <w:rFonts w:ascii="仿宋_GB2312" w:hAnsi="宋体" w:eastAsia="仿宋_GB2312"/>
                <w:color w:val="auto"/>
                <w:sz w:val="24"/>
                <w:highlight w:val="none"/>
              </w:rPr>
            </w:pPr>
            <w:r>
              <w:rPr>
                <w:rFonts w:hint="eastAsia" w:ascii="仿宋_GB2312" w:hAnsi="宋体" w:eastAsia="仿宋_GB2312"/>
                <w:color w:val="auto"/>
                <w:sz w:val="24"/>
                <w:highlight w:val="none"/>
              </w:rPr>
              <w:t>（5）评审价以供应商的正式报价文件为准。价格分计算公式如下：</w:t>
            </w:r>
          </w:p>
          <w:p w14:paraId="78AEE6A7">
            <w:pPr>
              <w:spacing w:line="300" w:lineRule="exact"/>
              <w:ind w:firstLine="480" w:firstLineChars="200"/>
              <w:jc w:val="both"/>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价格分计算公式：</w:t>
            </w:r>
          </w:p>
          <w:p w14:paraId="1359D403">
            <w:pPr>
              <w:spacing w:line="300" w:lineRule="exact"/>
              <w:ind w:firstLine="404" w:firstLineChars="200"/>
              <w:jc w:val="both"/>
              <w:rPr>
                <w:rFonts w:ascii="仿宋_GB2312" w:hAnsi="宋体" w:eastAsia="仿宋_GB2312"/>
                <w:color w:val="auto"/>
                <w:spacing w:val="-4"/>
                <w:szCs w:val="20"/>
                <w:highlight w:val="none"/>
              </w:rPr>
            </w:pPr>
            <w:r>
              <w:rPr>
                <w:rFonts w:hint="eastAsia" w:ascii="仿宋_GB2312" w:hAnsi="宋体" w:eastAsia="仿宋_GB2312"/>
                <w:color w:val="auto"/>
                <w:spacing w:val="-4"/>
                <w:szCs w:val="20"/>
                <w:highlight w:val="none"/>
              </w:rPr>
              <w:t>　                 供应商最低评标价金额</w:t>
            </w:r>
          </w:p>
          <w:p w14:paraId="45A134E4">
            <w:pPr>
              <w:spacing w:line="300" w:lineRule="exact"/>
              <w:ind w:firstLine="420" w:firstLineChars="200"/>
              <w:jc w:val="both"/>
              <w:rPr>
                <w:rFonts w:ascii="仿宋_GB2312" w:hAnsi="宋体" w:eastAsia="仿宋_GB2312"/>
                <w:color w:val="auto"/>
                <w:spacing w:val="-4"/>
                <w:szCs w:val="20"/>
                <w:highlight w:val="none"/>
              </w:rPr>
            </w:pPr>
            <w:r>
              <w:rPr>
                <w:rFonts w:ascii="仿宋_GB2312" w:eastAsia="仿宋_GB2312"/>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1400175</wp:posOffset>
                      </wp:positionH>
                      <wp:positionV relativeFrom="paragraph">
                        <wp:posOffset>106045</wp:posOffset>
                      </wp:positionV>
                      <wp:extent cx="16002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0.25pt;margin-top:8.35pt;height:0pt;width:126pt;z-index:251659264;mso-width-relative:page;mso-height-relative:page;" filled="f" stroked="t" coordsize="21600,21600" o:gfxdata="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1UuN7VAAAACQEAAA8AAAAAAAAAAQAgAAAAIgAAAGRycy9kb3ducmV2LnhtbFBLAQIUABQAAAAI&#10;AIdO4kAtNQ6h8AEAAOYDAAAOAAAAAAAAAAEAIAAAACQBAABkcnMvZTJvRG9jLnhtbFBLBQYAAAAA&#10;BgAGAFkBAACGBQAAAAA=&#10;">
                      <v:fill on="f" focussize="0,0"/>
                      <v:stroke color="#000000" joinstyle="round"/>
                      <v:imagedata o:title=""/>
                      <o:lock v:ext="edit" aspectratio="f"/>
                    </v:line>
                  </w:pict>
                </mc:Fallback>
              </mc:AlternateContent>
            </w:r>
            <w:r>
              <w:rPr>
                <w:rFonts w:hint="eastAsia" w:ascii="仿宋_GB2312" w:hAnsi="宋体" w:eastAsia="仿宋_GB2312"/>
                <w:color w:val="auto"/>
                <w:spacing w:val="-4"/>
                <w:szCs w:val="20"/>
                <w:highlight w:val="none"/>
              </w:rPr>
              <w:t xml:space="preserve">某供应商价格分 ＝                           </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1</w:t>
            </w:r>
            <w:r>
              <w:rPr>
                <w:rFonts w:hint="eastAsia" w:ascii="仿宋_GB2312" w:hAnsi="宋体" w:eastAsia="仿宋_GB2312"/>
                <w:color w:val="auto"/>
                <w:sz w:val="24"/>
                <w:highlight w:val="none"/>
              </w:rPr>
              <w:t>0分</w:t>
            </w:r>
          </w:p>
          <w:p w14:paraId="530CD09C">
            <w:pPr>
              <w:spacing w:line="300" w:lineRule="exact"/>
              <w:ind w:firstLine="404" w:firstLineChars="200"/>
              <w:jc w:val="both"/>
              <w:rPr>
                <w:rFonts w:ascii="宋体" w:hAnsi="宋体"/>
                <w:color w:val="auto"/>
                <w:spacing w:val="-4"/>
                <w:szCs w:val="20"/>
                <w:highlight w:val="none"/>
              </w:rPr>
            </w:pPr>
            <w:r>
              <w:rPr>
                <w:rFonts w:hint="eastAsia" w:ascii="仿宋_GB2312" w:hAnsi="宋体" w:eastAsia="仿宋_GB2312"/>
                <w:color w:val="auto"/>
                <w:spacing w:val="-4"/>
                <w:szCs w:val="20"/>
                <w:highlight w:val="none"/>
              </w:rPr>
              <w:t xml:space="preserve">                   　某供应商评标价金额</w:t>
            </w:r>
          </w:p>
        </w:tc>
        <w:tc>
          <w:tcPr>
            <w:tcW w:w="791" w:type="dxa"/>
            <w:noWrap/>
            <w:vAlign w:val="center"/>
          </w:tcPr>
          <w:p w14:paraId="0577C9A0">
            <w:pPr>
              <w:spacing w:line="360" w:lineRule="exact"/>
              <w:rPr>
                <w:color w:val="auto"/>
                <w:highlight w:val="none"/>
              </w:rPr>
            </w:pPr>
            <w:r>
              <w:rPr>
                <w:rFonts w:hint="eastAsia" w:ascii="仿宋_GB2312" w:hAnsi="宋体" w:eastAsia="仿宋_GB2312"/>
                <w:color w:val="auto"/>
                <w:sz w:val="24"/>
                <w:highlight w:val="none"/>
                <w:lang w:val="en-US" w:eastAsia="zh-CN"/>
              </w:rPr>
              <w:t>1</w:t>
            </w:r>
            <w:r>
              <w:rPr>
                <w:rFonts w:hint="eastAsia" w:ascii="仿宋_GB2312" w:hAnsi="宋体" w:eastAsia="仿宋_GB2312"/>
                <w:color w:val="auto"/>
                <w:sz w:val="24"/>
                <w:highlight w:val="none"/>
              </w:rPr>
              <w:t>0分</w:t>
            </w:r>
          </w:p>
        </w:tc>
      </w:tr>
      <w:tr w14:paraId="5B86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19" w:type="dxa"/>
            <w:noWrap/>
            <w:vAlign w:val="center"/>
          </w:tcPr>
          <w:p w14:paraId="246A9C7E">
            <w:pPr>
              <w:widowControl w:val="0"/>
              <w:spacing w:line="360" w:lineRule="exact"/>
              <w:ind w:firstLine="120" w:firstLineChars="5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w:t>
            </w:r>
          </w:p>
        </w:tc>
        <w:tc>
          <w:tcPr>
            <w:tcW w:w="1154" w:type="dxa"/>
            <w:noWrap/>
            <w:vAlign w:val="center"/>
          </w:tcPr>
          <w:p w14:paraId="4F85CFC5">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技术分</w:t>
            </w:r>
          </w:p>
        </w:tc>
        <w:tc>
          <w:tcPr>
            <w:tcW w:w="5892" w:type="dxa"/>
            <w:noWrap/>
            <w:vAlign w:val="center"/>
          </w:tcPr>
          <w:p w14:paraId="18639FA1">
            <w:pPr>
              <w:widowControl w:val="0"/>
              <w:spacing w:line="360" w:lineRule="exact"/>
              <w:ind w:firstLine="480" w:firstLineChars="200"/>
              <w:jc w:val="center"/>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评审因素</w:t>
            </w:r>
          </w:p>
        </w:tc>
        <w:tc>
          <w:tcPr>
            <w:tcW w:w="791" w:type="dxa"/>
            <w:vAlign w:val="center"/>
          </w:tcPr>
          <w:p w14:paraId="3A27D2AE">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lang w:val="en-US" w:eastAsia="zh-CN"/>
              </w:rPr>
              <w:t>7</w:t>
            </w:r>
            <w:r>
              <w:rPr>
                <w:rFonts w:hint="eastAsia" w:ascii="仿宋_GB2312" w:hAnsi="宋体" w:eastAsia="仿宋_GB2312" w:cs="Courier New"/>
                <w:bCs/>
                <w:color w:val="auto"/>
                <w:sz w:val="24"/>
                <w:highlight w:val="none"/>
              </w:rPr>
              <w:t>0分</w:t>
            </w:r>
          </w:p>
        </w:tc>
      </w:tr>
      <w:tr w14:paraId="1110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619" w:type="dxa"/>
            <w:noWrap/>
            <w:vAlign w:val="center"/>
          </w:tcPr>
          <w:p w14:paraId="094BFBB4">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2.1</w:t>
            </w:r>
          </w:p>
        </w:tc>
        <w:tc>
          <w:tcPr>
            <w:tcW w:w="1154" w:type="dxa"/>
            <w:noWrap/>
            <w:vAlign w:val="center"/>
          </w:tcPr>
          <w:p w14:paraId="668DD1D7">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技术服务方案分</w:t>
            </w:r>
          </w:p>
        </w:tc>
        <w:tc>
          <w:tcPr>
            <w:tcW w:w="5892" w:type="dxa"/>
            <w:noWrap/>
            <w:vAlign w:val="center"/>
          </w:tcPr>
          <w:p w14:paraId="76B652F9">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一档（</w:t>
            </w:r>
            <w:r>
              <w:rPr>
                <w:rFonts w:hint="eastAsia" w:ascii="仿宋_GB2312" w:hAnsi="宋体" w:eastAsia="仿宋_GB2312" w:cs="Courier New"/>
                <w:bCs/>
                <w:color w:val="auto"/>
                <w:sz w:val="24"/>
                <w:highlight w:val="none"/>
                <w:lang w:val="en-US" w:eastAsia="zh-CN"/>
              </w:rPr>
              <w:t>2</w:t>
            </w:r>
            <w:r>
              <w:rPr>
                <w:rFonts w:hint="eastAsia" w:ascii="仿宋_GB2312" w:hAnsi="宋体" w:eastAsia="仿宋_GB2312" w:cs="Courier New"/>
                <w:bCs/>
                <w:color w:val="auto"/>
                <w:sz w:val="24"/>
                <w:highlight w:val="none"/>
              </w:rPr>
              <w:t>2分）：基本理解本项目整体需求，技术服务方案思路基本清晰、合理，具备可操作性，基本满足采购文件要求。</w:t>
            </w:r>
          </w:p>
          <w:p w14:paraId="72D55B8D">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二档（</w:t>
            </w:r>
            <w:r>
              <w:rPr>
                <w:rFonts w:hint="eastAsia" w:ascii="仿宋_GB2312" w:hAnsi="宋体" w:eastAsia="仿宋_GB2312" w:cs="Courier New"/>
                <w:bCs/>
                <w:color w:val="auto"/>
                <w:sz w:val="24"/>
                <w:highlight w:val="none"/>
                <w:lang w:val="en-US" w:eastAsia="zh-CN"/>
              </w:rPr>
              <w:t>2</w:t>
            </w:r>
            <w:r>
              <w:rPr>
                <w:rFonts w:hint="eastAsia" w:ascii="仿宋_GB2312" w:hAnsi="宋体" w:eastAsia="仿宋_GB2312" w:cs="Courier New"/>
                <w:bCs/>
                <w:color w:val="auto"/>
                <w:sz w:val="24"/>
                <w:highlight w:val="none"/>
              </w:rPr>
              <w:t>6分）：较好理解本项目整体需求，技术服务方案思路清晰、合理，可操作性较强，较好满足采购文件要求。</w:t>
            </w:r>
          </w:p>
          <w:p w14:paraId="7015FA24">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三档（</w:t>
            </w:r>
            <w:r>
              <w:rPr>
                <w:rFonts w:hint="eastAsia" w:ascii="仿宋_GB2312" w:hAnsi="宋体" w:eastAsia="仿宋_GB2312" w:cs="Courier New"/>
                <w:bCs/>
                <w:color w:val="auto"/>
                <w:sz w:val="24"/>
                <w:highlight w:val="none"/>
                <w:lang w:val="en-US" w:eastAsia="zh-CN"/>
              </w:rPr>
              <w:t>30</w:t>
            </w:r>
            <w:r>
              <w:rPr>
                <w:rFonts w:hint="eastAsia" w:ascii="仿宋_GB2312" w:hAnsi="宋体" w:eastAsia="仿宋_GB2312" w:cs="Courier New"/>
                <w:bCs/>
                <w:color w:val="auto"/>
                <w:sz w:val="24"/>
                <w:highlight w:val="none"/>
              </w:rPr>
              <w:t>分）：全面准确理解本项目整体需求，技术服务方案科学合理、思路清晰，可操作性强，完全满足采购文件要求。</w:t>
            </w:r>
          </w:p>
        </w:tc>
        <w:tc>
          <w:tcPr>
            <w:tcW w:w="791" w:type="dxa"/>
            <w:noWrap/>
            <w:vAlign w:val="center"/>
          </w:tcPr>
          <w:p w14:paraId="4E975202">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lang w:val="en-US" w:eastAsia="zh-CN"/>
              </w:rPr>
              <w:t>3</w:t>
            </w:r>
            <w:r>
              <w:rPr>
                <w:rFonts w:hint="eastAsia" w:ascii="仿宋_GB2312" w:hAnsi="宋体" w:eastAsia="仿宋_GB2312" w:cs="Courier New"/>
                <w:bCs/>
                <w:color w:val="auto"/>
                <w:sz w:val="24"/>
                <w:highlight w:val="none"/>
              </w:rPr>
              <w:t>0分</w:t>
            </w:r>
          </w:p>
        </w:tc>
      </w:tr>
      <w:tr w14:paraId="33B3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19" w:type="dxa"/>
            <w:noWrap/>
            <w:vAlign w:val="center"/>
          </w:tcPr>
          <w:p w14:paraId="4FA82245">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2.2</w:t>
            </w:r>
          </w:p>
        </w:tc>
        <w:tc>
          <w:tcPr>
            <w:tcW w:w="1154" w:type="dxa"/>
            <w:noWrap/>
            <w:vAlign w:val="center"/>
          </w:tcPr>
          <w:p w14:paraId="7B505713">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售后服务分</w:t>
            </w:r>
          </w:p>
        </w:tc>
        <w:tc>
          <w:tcPr>
            <w:tcW w:w="5892" w:type="dxa"/>
            <w:noWrap/>
            <w:vAlign w:val="center"/>
          </w:tcPr>
          <w:p w14:paraId="770E9443">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一档 (12分)：售后服务方案基本满足采购文件要求，人员配置、组织实施等内容基本完整，方案具有一定的可操作性、针对性；</w:t>
            </w:r>
            <w:r>
              <w:rPr>
                <w:rFonts w:hint="eastAsia" w:ascii="仿宋_GB2312" w:hAnsi="宋体" w:eastAsia="仿宋_GB2312" w:cs="Courier New"/>
                <w:bCs/>
                <w:color w:val="auto"/>
                <w:sz w:val="24"/>
                <w:highlight w:val="none"/>
              </w:rPr>
              <w:br w:type="textWrapping"/>
            </w:r>
            <w:r>
              <w:rPr>
                <w:rFonts w:hint="eastAsia" w:ascii="仿宋_GB2312" w:hAnsi="宋体" w:eastAsia="仿宋_GB2312" w:cs="Courier New"/>
                <w:bCs/>
                <w:color w:val="auto"/>
                <w:sz w:val="24"/>
                <w:highlight w:val="none"/>
              </w:rPr>
              <w:t xml:space="preserve">    二档(16分)：售后服务方案满足采购文件要求，人员配置、组织实施等内容完整、科学合理，方案具有较好的可操作性、针对性，满足采购文件要求；</w:t>
            </w:r>
            <w:r>
              <w:rPr>
                <w:rFonts w:hint="eastAsia" w:ascii="仿宋_GB2312" w:hAnsi="宋体" w:eastAsia="仿宋_GB2312" w:cs="Courier New"/>
                <w:bCs/>
                <w:color w:val="auto"/>
                <w:sz w:val="24"/>
                <w:highlight w:val="none"/>
              </w:rPr>
              <w:br w:type="textWrapping"/>
            </w:r>
            <w:r>
              <w:rPr>
                <w:rFonts w:hint="eastAsia" w:ascii="仿宋_GB2312" w:hAnsi="宋体" w:eastAsia="仿宋_GB2312" w:cs="Courier New"/>
                <w:bCs/>
                <w:color w:val="auto"/>
                <w:sz w:val="24"/>
                <w:highlight w:val="none"/>
              </w:rPr>
              <w:t xml:space="preserve">    三档(20分)：售后服务方案完全满足采购文件要求，人员配置、组织实施等内容完整详实、科学合理，方案具有良好的可操作性、针对性。</w:t>
            </w:r>
          </w:p>
        </w:tc>
        <w:tc>
          <w:tcPr>
            <w:tcW w:w="791" w:type="dxa"/>
            <w:noWrap/>
            <w:vAlign w:val="center"/>
          </w:tcPr>
          <w:p w14:paraId="1AF04263">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20分</w:t>
            </w:r>
          </w:p>
        </w:tc>
      </w:tr>
      <w:tr w14:paraId="4AA0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noWrap/>
            <w:vAlign w:val="center"/>
          </w:tcPr>
          <w:p w14:paraId="241DC62D">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2.3</w:t>
            </w:r>
          </w:p>
        </w:tc>
        <w:tc>
          <w:tcPr>
            <w:tcW w:w="1154" w:type="dxa"/>
            <w:noWrap/>
            <w:vAlign w:val="center"/>
          </w:tcPr>
          <w:p w14:paraId="17CED953">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履约能力分</w:t>
            </w:r>
          </w:p>
        </w:tc>
        <w:tc>
          <w:tcPr>
            <w:tcW w:w="5892" w:type="dxa"/>
            <w:noWrap/>
            <w:vAlign w:val="center"/>
          </w:tcPr>
          <w:p w14:paraId="5AF0390A">
            <w:pPr>
              <w:widowControl w:val="0"/>
              <w:spacing w:line="34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供应商承诺成交后按要求配备专业技术服务人员3人及以上；当设备出现故障，供应商安排技术服务人员在1小时内实质响应（含远程响应），2小时内到场排查故障。</w:t>
            </w:r>
          </w:p>
          <w:p w14:paraId="063D91D9">
            <w:pPr>
              <w:widowControl w:val="0"/>
              <w:spacing w:line="34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注：报价文件中须提供拟派运维服务人员名单，否则不得分。</w:t>
            </w:r>
          </w:p>
        </w:tc>
        <w:tc>
          <w:tcPr>
            <w:tcW w:w="791" w:type="dxa"/>
            <w:noWrap/>
            <w:vAlign w:val="center"/>
          </w:tcPr>
          <w:p w14:paraId="2203855D">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5分</w:t>
            </w:r>
          </w:p>
        </w:tc>
      </w:tr>
      <w:tr w14:paraId="7CFF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619" w:type="dxa"/>
            <w:noWrap/>
            <w:vAlign w:val="center"/>
          </w:tcPr>
          <w:p w14:paraId="063EFDBB">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2.4</w:t>
            </w:r>
          </w:p>
        </w:tc>
        <w:tc>
          <w:tcPr>
            <w:tcW w:w="1154" w:type="dxa"/>
            <w:noWrap/>
            <w:vAlign w:val="center"/>
          </w:tcPr>
          <w:p w14:paraId="27AB3A5E">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人员配置分</w:t>
            </w:r>
          </w:p>
        </w:tc>
        <w:tc>
          <w:tcPr>
            <w:tcW w:w="5892" w:type="dxa"/>
            <w:noWrap/>
            <w:vAlign w:val="center"/>
          </w:tcPr>
          <w:p w14:paraId="3EB39BF5">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拟投入本项目人员中：</w:t>
            </w:r>
          </w:p>
          <w:p w14:paraId="67B219D7">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（1）配备6人及以上的服务团队，得2分；</w:t>
            </w:r>
          </w:p>
          <w:p w14:paraId="4A02EF3C">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（2）项目经理具有国家人力资源和社会保障部、工业和信息化部联合颁发的信息系统项目管理工程师或系统集成项目管理工程师证书的，得2分，具有ITSS认证项目经理认证证书的，得3分，满分3分；</w:t>
            </w:r>
          </w:p>
          <w:p w14:paraId="504D1ACC">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（3）其他成员具备CISP资质证书、网络工程师证书、高级软件测试工程师、信息系统运行维护工程师认证的，每个得2分，满分10分。</w:t>
            </w:r>
          </w:p>
          <w:p w14:paraId="690919A4">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注：同一人员不重复计分，本项满分15分。供应商须提供拟投入人员名单并列明岗位及具备的资质证书；同时提供相应资质证书扫描件、近半年内连续3个月的社保证明材料或劳动合同扫描件并加盖单位公章。</w:t>
            </w:r>
          </w:p>
        </w:tc>
        <w:tc>
          <w:tcPr>
            <w:tcW w:w="791" w:type="dxa"/>
            <w:noWrap/>
            <w:vAlign w:val="center"/>
          </w:tcPr>
          <w:p w14:paraId="0A04E217">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15分</w:t>
            </w:r>
          </w:p>
        </w:tc>
      </w:tr>
      <w:tr w14:paraId="42EE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19" w:type="dxa"/>
            <w:noWrap/>
            <w:vAlign w:val="center"/>
          </w:tcPr>
          <w:p w14:paraId="30DB0AA7">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3</w:t>
            </w:r>
          </w:p>
        </w:tc>
        <w:tc>
          <w:tcPr>
            <w:tcW w:w="1154" w:type="dxa"/>
            <w:noWrap/>
            <w:vAlign w:val="center"/>
          </w:tcPr>
          <w:p w14:paraId="24341259">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商务分</w:t>
            </w:r>
          </w:p>
        </w:tc>
        <w:tc>
          <w:tcPr>
            <w:tcW w:w="5892" w:type="dxa"/>
            <w:noWrap/>
            <w:vAlign w:val="center"/>
          </w:tcPr>
          <w:p w14:paraId="7ACD4D5E">
            <w:pPr>
              <w:widowControl w:val="0"/>
              <w:spacing w:line="360" w:lineRule="exact"/>
              <w:ind w:firstLine="2400" w:firstLineChars="10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评审因素</w:t>
            </w:r>
          </w:p>
        </w:tc>
        <w:tc>
          <w:tcPr>
            <w:tcW w:w="791" w:type="dxa"/>
            <w:vAlign w:val="center"/>
          </w:tcPr>
          <w:p w14:paraId="619EE6F6">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20分</w:t>
            </w:r>
          </w:p>
        </w:tc>
      </w:tr>
      <w:tr w14:paraId="1226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19" w:type="dxa"/>
            <w:noWrap/>
            <w:vAlign w:val="center"/>
          </w:tcPr>
          <w:p w14:paraId="5FB3AC24">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3.1</w:t>
            </w:r>
          </w:p>
        </w:tc>
        <w:tc>
          <w:tcPr>
            <w:tcW w:w="1154" w:type="dxa"/>
            <w:noWrap/>
            <w:vAlign w:val="center"/>
          </w:tcPr>
          <w:p w14:paraId="595AB393">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信誉资质分</w:t>
            </w:r>
          </w:p>
        </w:tc>
        <w:tc>
          <w:tcPr>
            <w:tcW w:w="5892" w:type="dxa"/>
            <w:noWrap/>
            <w:vAlign w:val="center"/>
          </w:tcPr>
          <w:p w14:paraId="59EFDE03">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（1）供应商具有质量管理体系认证证书、信息技术服务管理体系认证证书、信息安全管理体系认证证书的，每个证书得 2 分，满分6分；</w:t>
            </w:r>
          </w:p>
          <w:p w14:paraId="7CDE88AD">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（2）供应商具有信息系统运行维护能力三级证书的，得 2 分，三级以上的得 4 分，满分4分；</w:t>
            </w:r>
          </w:p>
          <w:p w14:paraId="2D296149">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注：本项满分14分。须提供相应证书扫描件并加盖公章。</w:t>
            </w:r>
          </w:p>
        </w:tc>
        <w:tc>
          <w:tcPr>
            <w:tcW w:w="791" w:type="dxa"/>
            <w:noWrap/>
            <w:vAlign w:val="center"/>
          </w:tcPr>
          <w:p w14:paraId="2288A82E">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1</w:t>
            </w:r>
            <w:r>
              <w:rPr>
                <w:rFonts w:hint="eastAsia" w:ascii="仿宋_GB2312" w:hAnsi="宋体" w:eastAsia="仿宋_GB2312" w:cs="Courier New"/>
                <w:bCs/>
                <w:color w:val="auto"/>
                <w:sz w:val="24"/>
                <w:highlight w:val="none"/>
                <w:lang w:val="en-US" w:eastAsia="zh-CN"/>
              </w:rPr>
              <w:t>0</w:t>
            </w:r>
            <w:r>
              <w:rPr>
                <w:rFonts w:hint="eastAsia" w:ascii="仿宋_GB2312" w:hAnsi="宋体" w:eastAsia="仿宋_GB2312" w:cs="Courier New"/>
                <w:bCs/>
                <w:color w:val="auto"/>
                <w:sz w:val="24"/>
                <w:highlight w:val="none"/>
              </w:rPr>
              <w:t>分</w:t>
            </w:r>
          </w:p>
        </w:tc>
      </w:tr>
      <w:tr w14:paraId="1986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619" w:type="dxa"/>
            <w:noWrap/>
            <w:vAlign w:val="center"/>
          </w:tcPr>
          <w:p w14:paraId="62D59E49">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3.2</w:t>
            </w:r>
          </w:p>
        </w:tc>
        <w:tc>
          <w:tcPr>
            <w:tcW w:w="1154" w:type="dxa"/>
            <w:noWrap/>
            <w:vAlign w:val="center"/>
          </w:tcPr>
          <w:p w14:paraId="14015008">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项目业绩分</w:t>
            </w:r>
          </w:p>
        </w:tc>
        <w:tc>
          <w:tcPr>
            <w:tcW w:w="5892" w:type="dxa"/>
            <w:noWrap/>
            <w:vAlign w:val="center"/>
          </w:tcPr>
          <w:p w14:paraId="2F876F03">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自202</w:t>
            </w:r>
            <w:r>
              <w:rPr>
                <w:rFonts w:hint="eastAsia" w:ascii="仿宋_GB2312" w:hAnsi="宋体" w:eastAsia="仿宋_GB2312" w:cs="Courier New"/>
                <w:bCs/>
                <w:color w:val="auto"/>
                <w:sz w:val="24"/>
                <w:highlight w:val="none"/>
                <w:lang w:val="en-US" w:eastAsia="zh-CN"/>
              </w:rPr>
              <w:t>4</w:t>
            </w:r>
            <w:r>
              <w:rPr>
                <w:rFonts w:hint="eastAsia" w:ascii="仿宋_GB2312" w:hAnsi="宋体" w:eastAsia="仿宋_GB2312" w:cs="Courier New"/>
                <w:bCs/>
                <w:color w:val="auto"/>
                <w:sz w:val="24"/>
                <w:highlight w:val="none"/>
              </w:rPr>
              <w:t>年1月1日以来，供应商具有同类机房运维或信息安全设备服务业绩的，每个得1分，本项满分</w:t>
            </w:r>
            <w:r>
              <w:rPr>
                <w:rFonts w:hint="eastAsia" w:ascii="仿宋_GB2312" w:hAnsi="宋体" w:eastAsia="仿宋_GB2312" w:cs="Courier New"/>
                <w:bCs/>
                <w:color w:val="auto"/>
                <w:sz w:val="24"/>
                <w:highlight w:val="none"/>
                <w:lang w:val="en-US" w:eastAsia="zh-CN"/>
              </w:rPr>
              <w:t>10</w:t>
            </w:r>
            <w:r>
              <w:rPr>
                <w:rFonts w:hint="eastAsia" w:ascii="仿宋_GB2312" w:hAnsi="宋体" w:eastAsia="仿宋_GB2312" w:cs="Courier New"/>
                <w:bCs/>
                <w:color w:val="auto"/>
                <w:sz w:val="24"/>
                <w:highlight w:val="none"/>
              </w:rPr>
              <w:t>分。</w:t>
            </w:r>
          </w:p>
          <w:p w14:paraId="68E625A7">
            <w:pPr>
              <w:widowControl w:val="0"/>
              <w:spacing w:line="360" w:lineRule="exact"/>
              <w:ind w:firstLine="480" w:firstLineChars="20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注：须提供相应业绩的合同（包括封面页、合同内容关键页、签字盖章页）扫描件并加盖单位公章。</w:t>
            </w:r>
          </w:p>
        </w:tc>
        <w:tc>
          <w:tcPr>
            <w:tcW w:w="791" w:type="dxa"/>
            <w:noWrap/>
            <w:vAlign w:val="center"/>
          </w:tcPr>
          <w:p w14:paraId="0C36E4BE">
            <w:pPr>
              <w:widowControl w:val="0"/>
              <w:spacing w:line="360" w:lineRule="exact"/>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lang w:val="en-US" w:eastAsia="zh-CN"/>
              </w:rPr>
              <w:t>10</w:t>
            </w:r>
            <w:r>
              <w:rPr>
                <w:rFonts w:hint="eastAsia" w:ascii="仿宋_GB2312" w:hAnsi="宋体" w:eastAsia="仿宋_GB2312" w:cs="Courier New"/>
                <w:bCs/>
                <w:color w:val="auto"/>
                <w:sz w:val="24"/>
                <w:highlight w:val="none"/>
              </w:rPr>
              <w:t>分</w:t>
            </w:r>
          </w:p>
        </w:tc>
      </w:tr>
      <w:tr w14:paraId="5FCD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456" w:type="dxa"/>
            <w:gridSpan w:val="4"/>
            <w:noWrap/>
          </w:tcPr>
          <w:p w14:paraId="1224327E">
            <w:pPr>
              <w:widowControl w:val="0"/>
              <w:spacing w:line="360" w:lineRule="auto"/>
              <w:ind w:firstLine="3240" w:firstLineChars="1350"/>
              <w:jc w:val="both"/>
              <w:textAlignment w:val="auto"/>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总得分＝1＋2＋3</w:t>
            </w:r>
          </w:p>
        </w:tc>
      </w:tr>
      <w:bookmarkEnd w:id="2"/>
    </w:tbl>
    <w:p w14:paraId="62737DF3">
      <w:pPr>
        <w:widowControl w:val="0"/>
        <w:jc w:val="both"/>
        <w:rPr>
          <w:highlight w:val="none"/>
        </w:rPr>
      </w:pPr>
    </w:p>
    <w:p w14:paraId="11A08B3E">
      <w:pPr>
        <w:widowControl w:val="0"/>
        <w:ind w:left="3639" w:leftChars="266" w:hanging="3080" w:hangingChars="1100"/>
        <w:jc w:val="right"/>
        <w:textAlignment w:val="auto"/>
        <w:rPr>
          <w:rFonts w:ascii="仿宋_GB2312" w:hAnsi="仿宋" w:eastAsia="仿宋_GB2312"/>
          <w:sz w:val="28"/>
          <w:szCs w:val="28"/>
          <w:highlight w:val="none"/>
        </w:rPr>
      </w:pPr>
    </w:p>
    <w:p w14:paraId="04CC3A2A">
      <w:pPr>
        <w:widowControl w:val="0"/>
        <w:ind w:left="3639" w:leftChars="266" w:hanging="3080" w:hangingChars="1100"/>
        <w:jc w:val="right"/>
        <w:textAlignment w:val="auto"/>
        <w:rPr>
          <w:rFonts w:ascii="仿宋_GB2312" w:hAnsi="仿宋" w:eastAsia="仿宋_GB2312"/>
          <w:sz w:val="28"/>
          <w:szCs w:val="28"/>
          <w:highlight w:val="none"/>
        </w:rPr>
      </w:pPr>
      <w:r>
        <w:rPr>
          <w:rFonts w:hint="eastAsia" w:ascii="仿宋_GB2312" w:hAnsi="仿宋" w:eastAsia="仿宋_GB2312"/>
          <w:sz w:val="28"/>
          <w:szCs w:val="28"/>
          <w:highlight w:val="none"/>
        </w:rPr>
        <w:t>广西壮族自治区交通运输综合行政执法局</w:t>
      </w:r>
    </w:p>
    <w:p w14:paraId="5AEC5731">
      <w:pPr>
        <w:widowControl w:val="0"/>
        <w:ind w:firstLine="4760" w:firstLineChars="1700"/>
        <w:jc w:val="both"/>
        <w:textAlignment w:val="auto"/>
        <w:rPr>
          <w:rFonts w:ascii="仿宋_GB2312" w:eastAsia="仿宋_GB2312"/>
          <w:b/>
          <w:highlight w:val="none"/>
        </w:rPr>
      </w:pP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6</w:t>
      </w:r>
      <w:r>
        <w:rPr>
          <w:rFonts w:hint="eastAsia" w:ascii="仿宋_GB2312" w:hAnsi="仿宋" w:eastAsia="仿宋_GB2312"/>
          <w:sz w:val="28"/>
          <w:szCs w:val="28"/>
          <w:highlight w:val="none"/>
        </w:rPr>
        <w:t>年</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月</w:t>
      </w:r>
      <w:r>
        <w:rPr>
          <w:rFonts w:hint="eastAsia" w:ascii="仿宋_GB2312" w:hAnsi="仿宋" w:eastAsia="仿宋_GB2312"/>
          <w:sz w:val="28"/>
          <w:szCs w:val="28"/>
          <w:highlight w:val="none"/>
          <w:lang w:val="en-US" w:eastAsia="zh-CN"/>
        </w:rPr>
        <w:t>17</w:t>
      </w:r>
      <w:r>
        <w:rPr>
          <w:rFonts w:hint="eastAsia" w:ascii="仿宋_GB2312" w:hAnsi="仿宋" w:eastAsia="仿宋_GB2312"/>
          <w:sz w:val="28"/>
          <w:szCs w:val="28"/>
          <w:highlight w:val="none"/>
        </w:rPr>
        <w:t>日</w:t>
      </w:r>
      <w:r>
        <w:rPr>
          <w:rFonts w:ascii="仿宋_GB2312" w:eastAsia="仿宋_GB2312"/>
          <w:b/>
          <w:highlight w:val="none"/>
        </w:rPr>
        <w:br w:type="page"/>
      </w:r>
    </w:p>
    <w:p w14:paraId="5FC075A3">
      <w:pPr>
        <w:widowControl w:val="0"/>
        <w:jc w:val="center"/>
        <w:textAlignment w:val="auto"/>
        <w:rPr>
          <w:rFonts w:ascii="仿宋_GB2312" w:hAnsi="宋体" w:eastAsia="仿宋_GB2312"/>
          <w:b/>
          <w:sz w:val="28"/>
          <w:szCs w:val="21"/>
          <w:highlight w:val="none"/>
        </w:rPr>
      </w:pPr>
      <w:r>
        <w:rPr>
          <w:rFonts w:ascii="仿宋_GB2312" w:hAnsi="宋体" w:eastAsia="仿宋_GB2312"/>
          <w:b/>
          <w:sz w:val="28"/>
          <w:szCs w:val="21"/>
          <w:highlight w:val="none"/>
        </w:rPr>
        <w:t>报价文件格式</w:t>
      </w:r>
    </w:p>
    <w:p w14:paraId="04C9AAA0">
      <w:pPr>
        <w:widowControl w:val="0"/>
        <w:jc w:val="both"/>
        <w:textAlignment w:val="auto"/>
        <w:rPr>
          <w:rFonts w:ascii="仿宋_GB2312" w:hAnsi="宋体" w:eastAsia="仿宋_GB2312"/>
          <w:b/>
          <w:sz w:val="28"/>
          <w:szCs w:val="21"/>
          <w:highlight w:val="none"/>
        </w:rPr>
      </w:pPr>
      <w:r>
        <w:rPr>
          <w:rFonts w:ascii="仿宋_GB2312" w:hAnsi="宋体" w:eastAsia="仿宋_GB2312"/>
          <w:b/>
          <w:sz w:val="28"/>
          <w:szCs w:val="21"/>
          <w:highlight w:val="none"/>
        </w:rPr>
        <w:t>一、声明书</w:t>
      </w:r>
    </w:p>
    <w:p w14:paraId="6B9BD9D6">
      <w:pPr>
        <w:widowControl w:val="0"/>
        <w:jc w:val="both"/>
        <w:textAlignment w:val="auto"/>
        <w:rPr>
          <w:rFonts w:ascii="仿宋_GB2312" w:hAnsi="宋体" w:eastAsia="仿宋_GB2312"/>
          <w:b/>
          <w:sz w:val="28"/>
          <w:szCs w:val="21"/>
          <w:highlight w:val="none"/>
        </w:rPr>
      </w:pPr>
      <w:r>
        <w:rPr>
          <w:rFonts w:ascii="仿宋_GB2312" w:hAnsi="宋体" w:eastAsia="仿宋_GB2312"/>
          <w:b/>
          <w:sz w:val="28"/>
          <w:szCs w:val="21"/>
          <w:highlight w:val="none"/>
        </w:rPr>
        <w:t>二、服务方案</w:t>
      </w:r>
    </w:p>
    <w:p w14:paraId="496D6EE1">
      <w:pPr>
        <w:widowControl w:val="0"/>
        <w:jc w:val="both"/>
        <w:textAlignment w:val="auto"/>
        <w:rPr>
          <w:rFonts w:ascii="仿宋_GB2312" w:hAnsi="宋体" w:eastAsia="仿宋_GB2312"/>
          <w:b/>
          <w:sz w:val="28"/>
          <w:szCs w:val="21"/>
          <w:highlight w:val="none"/>
        </w:rPr>
      </w:pPr>
      <w:r>
        <w:rPr>
          <w:rFonts w:ascii="仿宋_GB2312" w:hAnsi="宋体" w:eastAsia="仿宋_GB2312"/>
          <w:b/>
          <w:sz w:val="28"/>
          <w:szCs w:val="21"/>
          <w:highlight w:val="none"/>
        </w:rPr>
        <w:t>三、报价表</w:t>
      </w:r>
    </w:p>
    <w:p w14:paraId="7AEE798A">
      <w:pPr>
        <w:widowControl w:val="0"/>
        <w:jc w:val="both"/>
        <w:textAlignment w:val="auto"/>
        <w:rPr>
          <w:rFonts w:ascii="仿宋_GB2312" w:hAnsi="宋体" w:eastAsia="仿宋_GB2312"/>
          <w:b/>
          <w:sz w:val="28"/>
          <w:szCs w:val="21"/>
          <w:highlight w:val="none"/>
        </w:rPr>
      </w:pPr>
      <w:r>
        <w:rPr>
          <w:rFonts w:ascii="仿宋_GB2312" w:hAnsi="宋体" w:eastAsia="仿宋_GB2312"/>
          <w:b/>
          <w:sz w:val="28"/>
          <w:szCs w:val="21"/>
          <w:highlight w:val="none"/>
        </w:rPr>
        <w:t>四、营业执照复印件</w:t>
      </w:r>
    </w:p>
    <w:p w14:paraId="6290F646">
      <w:pPr>
        <w:widowControl w:val="0"/>
        <w:jc w:val="both"/>
        <w:textAlignment w:val="auto"/>
        <w:rPr>
          <w:rFonts w:ascii="仿宋_GB2312" w:hAnsi="宋体" w:eastAsia="仿宋_GB2312"/>
          <w:b/>
          <w:sz w:val="28"/>
          <w:szCs w:val="21"/>
          <w:highlight w:val="none"/>
        </w:rPr>
      </w:pPr>
      <w:r>
        <w:rPr>
          <w:rFonts w:ascii="仿宋_GB2312" w:hAnsi="宋体" w:eastAsia="仿宋_GB2312"/>
          <w:b/>
          <w:sz w:val="28"/>
          <w:szCs w:val="21"/>
          <w:highlight w:val="none"/>
        </w:rPr>
        <w:t>五、法定代表人授权书（如非法定代表人报价请提供）</w:t>
      </w:r>
    </w:p>
    <w:p w14:paraId="09836C25">
      <w:pPr>
        <w:widowControl w:val="0"/>
        <w:jc w:val="both"/>
        <w:textAlignment w:val="auto"/>
        <w:rPr>
          <w:rFonts w:ascii="仿宋_GB2312" w:hAnsi="宋体" w:eastAsia="仿宋_GB2312"/>
          <w:b/>
          <w:sz w:val="28"/>
          <w:szCs w:val="21"/>
          <w:highlight w:val="none"/>
        </w:rPr>
      </w:pPr>
      <w:r>
        <w:rPr>
          <w:rFonts w:ascii="仿宋_GB2312" w:hAnsi="宋体" w:eastAsia="仿宋_GB2312"/>
          <w:b/>
          <w:sz w:val="28"/>
          <w:szCs w:val="21"/>
          <w:highlight w:val="none"/>
        </w:rPr>
        <w:t>六、相关业绩证明材料</w:t>
      </w:r>
    </w:p>
    <w:p w14:paraId="39F0B31B">
      <w:pPr>
        <w:widowControl w:val="0"/>
        <w:jc w:val="both"/>
        <w:textAlignment w:val="auto"/>
        <w:rPr>
          <w:rFonts w:ascii="仿宋_GB2312" w:hAnsi="宋体" w:eastAsia="仿宋_GB2312"/>
          <w:b/>
          <w:sz w:val="28"/>
          <w:szCs w:val="21"/>
          <w:highlight w:val="none"/>
        </w:rPr>
      </w:pPr>
      <w:r>
        <w:rPr>
          <w:rFonts w:ascii="仿宋_GB2312" w:hAnsi="宋体" w:eastAsia="仿宋_GB2312"/>
          <w:b/>
          <w:sz w:val="28"/>
          <w:szCs w:val="21"/>
          <w:highlight w:val="none"/>
        </w:rPr>
        <w:t>七、其他需要提供的材料</w:t>
      </w:r>
    </w:p>
    <w:p w14:paraId="5E1BAE46">
      <w:pPr>
        <w:ind w:firstLine="3253"/>
        <w:rPr>
          <w:highlight w:val="none"/>
        </w:rPr>
      </w:pPr>
    </w:p>
    <w:p w14:paraId="13202DFE">
      <w:pPr>
        <w:ind w:firstLine="3253"/>
        <w:rPr>
          <w:highlight w:val="none"/>
        </w:rPr>
      </w:pPr>
    </w:p>
    <w:p w14:paraId="6F458C16">
      <w:pPr>
        <w:ind w:firstLine="3253"/>
        <w:rPr>
          <w:highlight w:val="none"/>
        </w:rPr>
      </w:pPr>
    </w:p>
    <w:p w14:paraId="5FF84E44">
      <w:pPr>
        <w:ind w:firstLine="3253"/>
        <w:rPr>
          <w:highlight w:val="none"/>
        </w:rPr>
      </w:pPr>
    </w:p>
    <w:p w14:paraId="25C81DD6">
      <w:pPr>
        <w:ind w:firstLine="3253"/>
        <w:rPr>
          <w:highlight w:val="none"/>
        </w:rPr>
      </w:pPr>
    </w:p>
    <w:p w14:paraId="554B94A3">
      <w:pPr>
        <w:ind w:firstLine="3253"/>
        <w:rPr>
          <w:highlight w:val="none"/>
        </w:rPr>
      </w:pPr>
    </w:p>
    <w:p w14:paraId="63AABFF8">
      <w:pPr>
        <w:ind w:firstLine="3253"/>
        <w:rPr>
          <w:highlight w:val="none"/>
        </w:rPr>
      </w:pPr>
    </w:p>
    <w:p w14:paraId="70FF5AAB">
      <w:pPr>
        <w:ind w:firstLine="3253"/>
        <w:rPr>
          <w:highlight w:val="none"/>
        </w:rPr>
      </w:pPr>
    </w:p>
    <w:p w14:paraId="0E25EB81">
      <w:pPr>
        <w:ind w:firstLine="3253"/>
        <w:rPr>
          <w:highlight w:val="none"/>
        </w:rPr>
      </w:pPr>
    </w:p>
    <w:p w14:paraId="76511892">
      <w:pPr>
        <w:ind w:firstLine="3253"/>
        <w:rPr>
          <w:highlight w:val="none"/>
        </w:rPr>
      </w:pPr>
    </w:p>
    <w:p w14:paraId="4320545F">
      <w:pPr>
        <w:ind w:firstLine="3253"/>
        <w:rPr>
          <w:highlight w:val="none"/>
        </w:rPr>
      </w:pPr>
    </w:p>
    <w:p w14:paraId="39F9DE8E">
      <w:pPr>
        <w:ind w:firstLine="3253"/>
        <w:rPr>
          <w:highlight w:val="none"/>
        </w:rPr>
      </w:pPr>
    </w:p>
    <w:p w14:paraId="7F44AFA0">
      <w:pPr>
        <w:ind w:firstLine="3253"/>
        <w:rPr>
          <w:highlight w:val="none"/>
        </w:rPr>
      </w:pPr>
    </w:p>
    <w:p w14:paraId="5D2B3648">
      <w:pPr>
        <w:ind w:firstLine="3253"/>
        <w:rPr>
          <w:highlight w:val="none"/>
        </w:rPr>
      </w:pPr>
      <w:r>
        <w:rPr>
          <w:highlight w:val="none"/>
        </w:rPr>
        <w:br w:type="page"/>
      </w:r>
    </w:p>
    <w:p w14:paraId="5901CF0A">
      <w:pPr>
        <w:widowControl w:val="0"/>
        <w:spacing w:line="360" w:lineRule="auto"/>
        <w:ind w:firstLine="643" w:firstLineChars="200"/>
        <w:jc w:val="center"/>
        <w:textAlignment w:val="auto"/>
        <w:rPr>
          <w:rFonts w:ascii="仿宋_GB2312" w:hAnsi="宋体" w:eastAsia="仿宋_GB2312"/>
          <w:b/>
          <w:bCs/>
          <w:sz w:val="32"/>
          <w:szCs w:val="32"/>
          <w:highlight w:val="none"/>
        </w:rPr>
      </w:pPr>
      <w:r>
        <w:rPr>
          <w:rFonts w:ascii="仿宋_GB2312" w:hAnsi="宋体" w:eastAsia="仿宋_GB2312"/>
          <w:b/>
          <w:bCs/>
          <w:sz w:val="32"/>
          <w:szCs w:val="32"/>
          <w:highlight w:val="none"/>
        </w:rPr>
        <w:t>声明书</w:t>
      </w:r>
    </w:p>
    <w:p w14:paraId="1F69EF0D">
      <w:pPr>
        <w:widowControl w:val="0"/>
        <w:spacing w:line="360" w:lineRule="auto"/>
        <w:jc w:val="both"/>
        <w:textAlignment w:val="auto"/>
        <w:rPr>
          <w:rFonts w:ascii="仿宋_GB2312" w:hAnsi="宋体" w:eastAsia="仿宋_GB2312"/>
          <w:sz w:val="24"/>
          <w:highlight w:val="none"/>
        </w:rPr>
      </w:pPr>
      <w:r>
        <w:rPr>
          <w:rFonts w:ascii="仿宋_GB2312" w:hAnsi="宋体" w:eastAsia="仿宋_GB2312"/>
          <w:sz w:val="24"/>
          <w:highlight w:val="none"/>
        </w:rPr>
        <w:t>广西壮族自治区交通运输综合行政执法局：</w:t>
      </w:r>
    </w:p>
    <w:p w14:paraId="44134098">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依据贵方</w:t>
      </w:r>
      <w:r>
        <w:rPr>
          <w:rFonts w:hint="eastAsia" w:ascii="仿宋_GB2312" w:hAnsi="宋体" w:eastAsia="仿宋_GB2312"/>
          <w:sz w:val="24"/>
          <w:highlight w:val="none"/>
        </w:rPr>
        <w:t>网络机房运维服务项目</w:t>
      </w:r>
      <w:r>
        <w:rPr>
          <w:rFonts w:ascii="仿宋_GB2312" w:hAnsi="宋体" w:eastAsia="仿宋_GB2312"/>
          <w:sz w:val="24"/>
          <w:highlight w:val="none"/>
        </w:rPr>
        <w:t>的询价采购</w:t>
      </w:r>
      <w:r>
        <w:rPr>
          <w:rFonts w:hint="eastAsia" w:ascii="仿宋_GB2312" w:hAnsi="宋体" w:eastAsia="仿宋_GB2312"/>
          <w:sz w:val="24"/>
          <w:highlight w:val="none"/>
        </w:rPr>
        <w:t>需求</w:t>
      </w:r>
      <w:r>
        <w:rPr>
          <w:rFonts w:ascii="仿宋_GB2312" w:hAnsi="宋体" w:eastAsia="仿宋_GB2312"/>
          <w:sz w:val="24"/>
          <w:highlight w:val="none"/>
        </w:rPr>
        <w:t>，我方（委托代理人名字）</w:t>
      </w:r>
      <w:r>
        <w:rPr>
          <w:rFonts w:hint="eastAsia" w:ascii="仿宋_GB2312" w:hAnsi="宋体" w:eastAsia="仿宋_GB2312"/>
          <w:sz w:val="24"/>
          <w:highlight w:val="none"/>
        </w:rPr>
        <w:t xml:space="preserve">           </w:t>
      </w:r>
      <w:r>
        <w:rPr>
          <w:rFonts w:ascii="仿宋_GB2312" w:hAnsi="宋体" w:eastAsia="仿宋_GB2312"/>
          <w:sz w:val="24"/>
          <w:highlight w:val="none"/>
        </w:rPr>
        <w:t>经正式授权并代表报价方</w:t>
      </w:r>
      <w:r>
        <w:rPr>
          <w:rFonts w:hint="eastAsia" w:ascii="仿宋_GB2312" w:hAnsi="宋体" w:eastAsia="仿宋_GB2312"/>
          <w:sz w:val="24"/>
          <w:highlight w:val="none"/>
        </w:rPr>
        <w:t xml:space="preserve">            </w:t>
      </w:r>
      <w:r>
        <w:rPr>
          <w:rFonts w:ascii="仿宋_GB2312" w:hAnsi="宋体" w:eastAsia="仿宋_GB2312"/>
          <w:sz w:val="24"/>
          <w:highlight w:val="none"/>
        </w:rPr>
        <w:t>（名称）提交“报价文件”正本一份，副本</w:t>
      </w:r>
      <w:r>
        <w:rPr>
          <w:rFonts w:hint="eastAsia" w:ascii="仿宋_GB2312" w:hAnsi="宋体" w:eastAsia="仿宋_GB2312"/>
          <w:sz w:val="24"/>
          <w:highlight w:val="none"/>
        </w:rPr>
        <w:t>两</w:t>
      </w:r>
      <w:r>
        <w:rPr>
          <w:rFonts w:ascii="仿宋_GB2312" w:hAnsi="宋体" w:eastAsia="仿宋_GB2312"/>
          <w:sz w:val="24"/>
          <w:highlight w:val="none"/>
        </w:rPr>
        <w:t>份。</w:t>
      </w:r>
    </w:p>
    <w:p w14:paraId="677CF88A">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在此，授权代表宣布同意如下：</w:t>
      </w:r>
    </w:p>
    <w:p w14:paraId="6E234C28">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1.报价方已详细审查“采购文件”，已经了解我方对于采购文件、采购过程、采购结果有依法进行询问、质疑、投诉的权利及相关渠道和要求。</w:t>
      </w:r>
    </w:p>
    <w:p w14:paraId="657241B8">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2.报价方在报价之前已经与采购方进行了充分的沟通，完全理解并接受采购文件的各项规定和要求，对采购文件的合理性、合法性不再有异议。</w:t>
      </w:r>
    </w:p>
    <w:p w14:paraId="3A5F2BFA">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3.本报价有效期自开标日起       个自然日。</w:t>
      </w:r>
    </w:p>
    <w:p w14:paraId="583D08BC">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4.如成交，本报价文件至本项目合同履行完毕止均保持有效，报价方将按“采购文件”及政府采购法律、法规的规定履行合同责任和义务。</w:t>
      </w:r>
    </w:p>
    <w:p w14:paraId="6009F133">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5.报价方同意按照采购方要求提供与报价有关的一切数据或资料。</w:t>
      </w:r>
    </w:p>
    <w:p w14:paraId="136C400F">
      <w:pPr>
        <w:widowControl w:val="0"/>
        <w:spacing w:line="360" w:lineRule="auto"/>
        <w:ind w:firstLine="480" w:firstLineChars="200"/>
        <w:jc w:val="both"/>
        <w:textAlignment w:val="auto"/>
        <w:rPr>
          <w:rFonts w:ascii="仿宋_GB2312" w:hAnsi="宋体" w:eastAsia="仿宋_GB2312"/>
          <w:sz w:val="24"/>
          <w:highlight w:val="none"/>
        </w:rPr>
      </w:pPr>
    </w:p>
    <w:p w14:paraId="2A2D5855">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 xml:space="preserve">日期：        年  </w:t>
      </w:r>
      <w:r>
        <w:rPr>
          <w:rFonts w:hint="eastAsia" w:ascii="仿宋_GB2312" w:hAnsi="宋体" w:eastAsia="仿宋_GB2312"/>
          <w:sz w:val="24"/>
          <w:highlight w:val="none"/>
        </w:rPr>
        <w:t xml:space="preserve"> </w:t>
      </w:r>
      <w:r>
        <w:rPr>
          <w:rFonts w:ascii="仿宋_GB2312" w:hAnsi="宋体" w:eastAsia="仿宋_GB2312"/>
          <w:sz w:val="24"/>
          <w:highlight w:val="none"/>
        </w:rPr>
        <w:t xml:space="preserve"> 月 </w:t>
      </w:r>
      <w:r>
        <w:rPr>
          <w:rFonts w:hint="eastAsia" w:ascii="仿宋_GB2312" w:hAnsi="宋体" w:eastAsia="仿宋_GB2312"/>
          <w:sz w:val="24"/>
          <w:highlight w:val="none"/>
        </w:rPr>
        <w:t xml:space="preserve"> </w:t>
      </w:r>
      <w:r>
        <w:rPr>
          <w:rFonts w:ascii="仿宋_GB2312" w:hAnsi="宋体" w:eastAsia="仿宋_GB2312"/>
          <w:sz w:val="24"/>
          <w:highlight w:val="none"/>
        </w:rPr>
        <w:t xml:space="preserve"> 日</w:t>
      </w:r>
    </w:p>
    <w:p w14:paraId="24E3E19E">
      <w:pPr>
        <w:rPr>
          <w:highlight w:val="none"/>
        </w:rPr>
      </w:pPr>
    </w:p>
    <w:p w14:paraId="24AEB5F4">
      <w:pPr>
        <w:widowControl w:val="0"/>
        <w:spacing w:line="360" w:lineRule="auto"/>
        <w:ind w:firstLine="3253"/>
        <w:jc w:val="both"/>
        <w:textAlignment w:val="auto"/>
        <w:rPr>
          <w:rFonts w:ascii="仿宋_GB2312" w:hAnsi="宋体" w:eastAsia="仿宋_GB2312"/>
          <w:sz w:val="24"/>
          <w:highlight w:val="none"/>
        </w:rPr>
      </w:pPr>
    </w:p>
    <w:p w14:paraId="49843B0D">
      <w:pPr>
        <w:widowControl w:val="0"/>
        <w:spacing w:line="360" w:lineRule="auto"/>
        <w:jc w:val="both"/>
        <w:textAlignment w:val="auto"/>
        <w:rPr>
          <w:rFonts w:ascii="仿宋_GB2312" w:hAnsi="宋体" w:eastAsia="仿宋_GB2312"/>
          <w:sz w:val="24"/>
          <w:highlight w:val="none"/>
        </w:rPr>
      </w:pPr>
      <w:r>
        <w:rPr>
          <w:rFonts w:hint="eastAsia" w:ascii="仿宋_GB2312" w:hAnsi="宋体" w:eastAsia="仿宋_GB2312"/>
          <w:sz w:val="24"/>
          <w:highlight w:val="none"/>
        </w:rPr>
        <w:t>报价方法定代表人或委托代理人签字：</w:t>
      </w:r>
    </w:p>
    <w:p w14:paraId="4F2B42EB">
      <w:pPr>
        <w:widowControl w:val="0"/>
        <w:spacing w:line="360" w:lineRule="auto"/>
        <w:jc w:val="both"/>
        <w:textAlignment w:val="auto"/>
        <w:rPr>
          <w:rFonts w:ascii="仿宋_GB2312" w:hAnsi="宋体" w:eastAsia="仿宋_GB2312"/>
          <w:sz w:val="24"/>
          <w:highlight w:val="none"/>
        </w:rPr>
      </w:pPr>
      <w:r>
        <w:rPr>
          <w:rFonts w:hint="eastAsia" w:ascii="仿宋_GB2312" w:hAnsi="宋体" w:eastAsia="仿宋_GB2312"/>
          <w:sz w:val="24"/>
          <w:highlight w:val="none"/>
        </w:rPr>
        <w:t>报价方名称（公章）：</w:t>
      </w:r>
    </w:p>
    <w:p w14:paraId="18ECB382">
      <w:pPr>
        <w:widowControl w:val="0"/>
        <w:spacing w:line="360" w:lineRule="auto"/>
        <w:jc w:val="both"/>
        <w:textAlignment w:val="auto"/>
        <w:rPr>
          <w:rFonts w:ascii="仿宋_GB2312" w:hAnsi="宋体" w:eastAsia="仿宋_GB2312"/>
          <w:sz w:val="24"/>
          <w:highlight w:val="none"/>
        </w:rPr>
      </w:pPr>
      <w:r>
        <w:rPr>
          <w:rFonts w:hint="eastAsia" w:ascii="仿宋_GB2312" w:hAnsi="宋体" w:eastAsia="仿宋_GB2312"/>
          <w:sz w:val="24"/>
          <w:highlight w:val="none"/>
        </w:rPr>
        <w:t>开户名称：</w:t>
      </w:r>
    </w:p>
    <w:p w14:paraId="4CE2DE30">
      <w:pPr>
        <w:widowControl w:val="0"/>
        <w:spacing w:line="360" w:lineRule="auto"/>
        <w:jc w:val="both"/>
        <w:textAlignment w:val="auto"/>
        <w:rPr>
          <w:rFonts w:ascii="仿宋_GB2312" w:hAnsi="宋体" w:eastAsia="仿宋_GB2312"/>
          <w:sz w:val="24"/>
          <w:highlight w:val="none"/>
        </w:rPr>
      </w:pPr>
      <w:r>
        <w:rPr>
          <w:rFonts w:ascii="仿宋_GB2312" w:hAnsi="宋体" w:eastAsia="仿宋_GB2312"/>
          <w:sz w:val="24"/>
          <w:highlight w:val="none"/>
        </w:rPr>
        <w:t>开户银行：</w:t>
      </w:r>
    </w:p>
    <w:p w14:paraId="30AE0980">
      <w:pPr>
        <w:widowControl w:val="0"/>
        <w:spacing w:line="360" w:lineRule="auto"/>
        <w:jc w:val="both"/>
        <w:textAlignment w:val="auto"/>
        <w:rPr>
          <w:rFonts w:ascii="仿宋_GB2312" w:hAnsi="宋体" w:eastAsia="仿宋_GB2312"/>
          <w:sz w:val="24"/>
          <w:szCs w:val="20"/>
          <w:highlight w:val="none"/>
        </w:rPr>
      </w:pPr>
      <w:r>
        <w:rPr>
          <w:rFonts w:hint="eastAsia" w:ascii="仿宋_GB2312" w:hAnsi="宋体" w:eastAsia="仿宋_GB2312"/>
          <w:sz w:val="24"/>
          <w:highlight w:val="none"/>
        </w:rPr>
        <w:t>账    号：</w:t>
      </w:r>
      <w:r>
        <w:rPr>
          <w:rFonts w:hint="eastAsia" w:ascii="仿宋_GB2312" w:hAnsi="宋体" w:eastAsia="仿宋_GB2312"/>
          <w:sz w:val="24"/>
          <w:szCs w:val="20"/>
          <w:highlight w:val="none"/>
        </w:rPr>
        <w:t xml:space="preserve"> </w:t>
      </w:r>
    </w:p>
    <w:p w14:paraId="13CBFA05">
      <w:pPr>
        <w:rPr>
          <w:highlight w:val="none"/>
        </w:rPr>
      </w:pPr>
    </w:p>
    <w:p w14:paraId="062A8324">
      <w:pPr>
        <w:widowControl w:val="0"/>
        <w:spacing w:line="240" w:lineRule="atLeast"/>
        <w:ind w:right="-317" w:rightChars="-151"/>
        <w:jc w:val="center"/>
        <w:textAlignment w:val="auto"/>
        <w:rPr>
          <w:rFonts w:ascii="仿宋_GB2312" w:hAnsi="楷体" w:eastAsia="仿宋_GB2312"/>
          <w:b/>
          <w:sz w:val="32"/>
          <w:szCs w:val="32"/>
          <w:highlight w:val="none"/>
        </w:rPr>
      </w:pPr>
    </w:p>
    <w:p w14:paraId="5E3C42F5">
      <w:pPr>
        <w:widowControl w:val="0"/>
        <w:spacing w:line="240" w:lineRule="atLeast"/>
        <w:ind w:right="-317" w:rightChars="-151"/>
        <w:jc w:val="center"/>
        <w:textAlignment w:val="auto"/>
        <w:rPr>
          <w:rFonts w:ascii="仿宋_GB2312" w:hAnsi="楷体" w:eastAsia="仿宋_GB2312"/>
          <w:b/>
          <w:sz w:val="32"/>
          <w:szCs w:val="32"/>
          <w:highlight w:val="none"/>
        </w:rPr>
      </w:pPr>
    </w:p>
    <w:p w14:paraId="2C65FF04">
      <w:pPr>
        <w:widowControl w:val="0"/>
        <w:spacing w:line="240" w:lineRule="atLeast"/>
        <w:ind w:right="-317" w:rightChars="-151"/>
        <w:jc w:val="center"/>
        <w:textAlignment w:val="auto"/>
        <w:rPr>
          <w:rFonts w:ascii="仿宋_GB2312" w:hAnsi="楷体" w:eastAsia="仿宋_GB2312"/>
          <w:b/>
          <w:sz w:val="32"/>
          <w:szCs w:val="32"/>
          <w:highlight w:val="none"/>
        </w:rPr>
      </w:pPr>
    </w:p>
    <w:p w14:paraId="6D1110CE">
      <w:pPr>
        <w:widowControl w:val="0"/>
        <w:spacing w:line="240" w:lineRule="atLeast"/>
        <w:ind w:right="-317" w:rightChars="-151"/>
        <w:jc w:val="both"/>
        <w:textAlignment w:val="auto"/>
        <w:rPr>
          <w:rFonts w:ascii="仿宋_GB2312" w:hAnsi="楷体" w:eastAsia="仿宋_GB2312"/>
          <w:b/>
          <w:sz w:val="32"/>
          <w:szCs w:val="32"/>
          <w:highlight w:val="none"/>
        </w:rPr>
      </w:pPr>
    </w:p>
    <w:p w14:paraId="54B3C4B4">
      <w:pPr>
        <w:widowControl w:val="0"/>
        <w:spacing w:line="240" w:lineRule="atLeast"/>
        <w:ind w:right="-317" w:rightChars="-151"/>
        <w:jc w:val="center"/>
        <w:textAlignment w:val="auto"/>
        <w:rPr>
          <w:rFonts w:ascii="仿宋_GB2312" w:hAnsi="楷体" w:eastAsia="仿宋_GB2312"/>
          <w:b/>
          <w:sz w:val="32"/>
          <w:szCs w:val="32"/>
          <w:highlight w:val="none"/>
        </w:rPr>
      </w:pPr>
      <w:r>
        <w:rPr>
          <w:rFonts w:ascii="仿宋_GB2312" w:hAnsi="楷体" w:eastAsia="仿宋_GB2312"/>
          <w:b/>
          <w:sz w:val="32"/>
          <w:szCs w:val="32"/>
          <w:highlight w:val="none"/>
        </w:rPr>
        <w:t>服务方案</w:t>
      </w:r>
    </w:p>
    <w:p w14:paraId="7571274F">
      <w:pPr>
        <w:ind w:firstLine="3253"/>
        <w:rPr>
          <w:highlight w:val="none"/>
        </w:rPr>
      </w:pPr>
    </w:p>
    <w:p w14:paraId="34B06F52">
      <w:pPr>
        <w:ind w:firstLine="3253"/>
        <w:rPr>
          <w:highlight w:val="none"/>
        </w:rPr>
      </w:pPr>
    </w:p>
    <w:p w14:paraId="734A714B">
      <w:pPr>
        <w:ind w:firstLine="3253"/>
        <w:rPr>
          <w:highlight w:val="none"/>
        </w:rPr>
      </w:pPr>
    </w:p>
    <w:p w14:paraId="44D63303">
      <w:pPr>
        <w:ind w:firstLine="3253"/>
        <w:rPr>
          <w:highlight w:val="none"/>
        </w:rPr>
      </w:pPr>
    </w:p>
    <w:p w14:paraId="147E1C17">
      <w:pPr>
        <w:ind w:firstLine="3253"/>
        <w:rPr>
          <w:highlight w:val="none"/>
        </w:rPr>
      </w:pPr>
    </w:p>
    <w:p w14:paraId="7E678F26">
      <w:pPr>
        <w:ind w:firstLine="3253"/>
        <w:rPr>
          <w:highlight w:val="none"/>
        </w:rPr>
      </w:pPr>
    </w:p>
    <w:p w14:paraId="0D3642EA">
      <w:pPr>
        <w:ind w:firstLine="3253"/>
        <w:rPr>
          <w:highlight w:val="none"/>
        </w:rPr>
      </w:pPr>
    </w:p>
    <w:p w14:paraId="428A1396">
      <w:pPr>
        <w:ind w:firstLine="3253"/>
        <w:rPr>
          <w:highlight w:val="none"/>
        </w:rPr>
      </w:pPr>
    </w:p>
    <w:p w14:paraId="0F7E12F4">
      <w:pPr>
        <w:ind w:firstLine="3253"/>
        <w:rPr>
          <w:highlight w:val="none"/>
        </w:rPr>
      </w:pPr>
    </w:p>
    <w:p w14:paraId="56BE55EA">
      <w:pPr>
        <w:ind w:firstLine="3253"/>
        <w:rPr>
          <w:highlight w:val="none"/>
        </w:rPr>
      </w:pPr>
    </w:p>
    <w:p w14:paraId="7854D56A">
      <w:pPr>
        <w:ind w:firstLine="3253"/>
        <w:rPr>
          <w:highlight w:val="none"/>
        </w:rPr>
      </w:pPr>
    </w:p>
    <w:p w14:paraId="5DD53E5F">
      <w:pPr>
        <w:ind w:firstLine="3253"/>
        <w:rPr>
          <w:highlight w:val="none"/>
        </w:rPr>
      </w:pPr>
    </w:p>
    <w:p w14:paraId="10BF927C">
      <w:pPr>
        <w:ind w:firstLine="3253"/>
        <w:rPr>
          <w:highlight w:val="none"/>
        </w:rPr>
      </w:pPr>
    </w:p>
    <w:p w14:paraId="6518B5E7">
      <w:pPr>
        <w:ind w:firstLine="3253"/>
        <w:rPr>
          <w:highlight w:val="none"/>
        </w:rPr>
      </w:pPr>
    </w:p>
    <w:p w14:paraId="7D56B23C">
      <w:pPr>
        <w:ind w:firstLine="3253"/>
        <w:rPr>
          <w:highlight w:val="none"/>
        </w:rPr>
      </w:pPr>
    </w:p>
    <w:p w14:paraId="07F190DF">
      <w:pPr>
        <w:ind w:firstLine="3253"/>
        <w:rPr>
          <w:highlight w:val="none"/>
        </w:rPr>
      </w:pPr>
    </w:p>
    <w:p w14:paraId="3404C569">
      <w:pPr>
        <w:ind w:firstLine="3253"/>
        <w:rPr>
          <w:highlight w:val="none"/>
        </w:rPr>
      </w:pPr>
    </w:p>
    <w:p w14:paraId="62B490E9">
      <w:pPr>
        <w:ind w:firstLine="3253"/>
        <w:rPr>
          <w:highlight w:val="none"/>
        </w:rPr>
      </w:pPr>
    </w:p>
    <w:p w14:paraId="1C13581F">
      <w:pPr>
        <w:ind w:firstLine="3253"/>
        <w:rPr>
          <w:highlight w:val="none"/>
        </w:rPr>
      </w:pPr>
    </w:p>
    <w:p w14:paraId="538E0C21">
      <w:pPr>
        <w:ind w:firstLine="3253"/>
        <w:rPr>
          <w:highlight w:val="none"/>
        </w:rPr>
      </w:pPr>
    </w:p>
    <w:p w14:paraId="29A8AA07">
      <w:pPr>
        <w:ind w:firstLine="3253"/>
        <w:rPr>
          <w:highlight w:val="none"/>
        </w:rPr>
      </w:pPr>
    </w:p>
    <w:p w14:paraId="32168041">
      <w:pPr>
        <w:ind w:firstLine="3253"/>
        <w:rPr>
          <w:highlight w:val="none"/>
        </w:rPr>
      </w:pPr>
    </w:p>
    <w:p w14:paraId="0208CE14">
      <w:pPr>
        <w:ind w:firstLine="3253"/>
        <w:rPr>
          <w:highlight w:val="none"/>
        </w:rPr>
      </w:pPr>
    </w:p>
    <w:p w14:paraId="3291BD86">
      <w:pPr>
        <w:ind w:firstLine="3253"/>
        <w:rPr>
          <w:highlight w:val="none"/>
        </w:rPr>
      </w:pPr>
    </w:p>
    <w:p w14:paraId="6EF3568E">
      <w:pPr>
        <w:ind w:firstLine="3253"/>
        <w:rPr>
          <w:highlight w:val="none"/>
        </w:rPr>
      </w:pPr>
    </w:p>
    <w:p w14:paraId="7E1C037F">
      <w:pPr>
        <w:ind w:firstLine="3253"/>
        <w:rPr>
          <w:highlight w:val="none"/>
        </w:rPr>
      </w:pPr>
    </w:p>
    <w:p w14:paraId="4C4B9DE4">
      <w:pPr>
        <w:ind w:firstLine="3253"/>
        <w:rPr>
          <w:highlight w:val="none"/>
        </w:rPr>
      </w:pPr>
    </w:p>
    <w:p w14:paraId="0C1C830A">
      <w:pPr>
        <w:ind w:firstLine="3253"/>
        <w:rPr>
          <w:highlight w:val="none"/>
        </w:rPr>
      </w:pPr>
    </w:p>
    <w:p w14:paraId="52166ADF">
      <w:pPr>
        <w:ind w:firstLine="3253"/>
        <w:rPr>
          <w:highlight w:val="none"/>
        </w:rPr>
      </w:pPr>
    </w:p>
    <w:p w14:paraId="4E9FADEB">
      <w:pPr>
        <w:ind w:firstLine="3253"/>
        <w:rPr>
          <w:highlight w:val="none"/>
        </w:rPr>
      </w:pPr>
    </w:p>
    <w:p w14:paraId="0E4DF28E">
      <w:pPr>
        <w:ind w:firstLine="3253"/>
        <w:rPr>
          <w:highlight w:val="none"/>
        </w:rPr>
      </w:pPr>
    </w:p>
    <w:p w14:paraId="630731CD">
      <w:pPr>
        <w:pStyle w:val="2"/>
        <w:rPr>
          <w:highlight w:val="none"/>
        </w:rPr>
      </w:pPr>
    </w:p>
    <w:p w14:paraId="2CBF9712">
      <w:pPr>
        <w:pStyle w:val="2"/>
        <w:rPr>
          <w:highlight w:val="none"/>
        </w:rPr>
      </w:pPr>
    </w:p>
    <w:p w14:paraId="2F2128E9">
      <w:pPr>
        <w:pStyle w:val="2"/>
        <w:rPr>
          <w:highlight w:val="none"/>
        </w:rPr>
      </w:pPr>
    </w:p>
    <w:p w14:paraId="76E4C5A6">
      <w:pPr>
        <w:pStyle w:val="2"/>
        <w:rPr>
          <w:highlight w:val="none"/>
        </w:rPr>
      </w:pPr>
    </w:p>
    <w:p w14:paraId="4FCF52BC">
      <w:pPr>
        <w:pStyle w:val="2"/>
        <w:rPr>
          <w:highlight w:val="none"/>
        </w:rPr>
      </w:pPr>
    </w:p>
    <w:p w14:paraId="46B20B86">
      <w:pPr>
        <w:pStyle w:val="2"/>
        <w:rPr>
          <w:highlight w:val="none"/>
        </w:rPr>
      </w:pPr>
    </w:p>
    <w:p w14:paraId="74B6D91F">
      <w:pPr>
        <w:ind w:firstLine="3253"/>
        <w:rPr>
          <w:highlight w:val="none"/>
        </w:rPr>
      </w:pPr>
    </w:p>
    <w:p w14:paraId="200122C7">
      <w:pPr>
        <w:ind w:firstLine="3253"/>
        <w:rPr>
          <w:highlight w:val="none"/>
        </w:rPr>
      </w:pPr>
    </w:p>
    <w:p w14:paraId="1DD7B84F">
      <w:pPr>
        <w:rPr>
          <w:highlight w:val="none"/>
        </w:rPr>
      </w:pPr>
    </w:p>
    <w:p w14:paraId="032EF376">
      <w:pPr>
        <w:widowControl w:val="0"/>
        <w:jc w:val="center"/>
        <w:rPr>
          <w:rFonts w:ascii="仿宋_GB2312" w:hAnsi="楷体" w:eastAsia="仿宋_GB2312"/>
          <w:b/>
          <w:sz w:val="32"/>
          <w:szCs w:val="32"/>
          <w:highlight w:val="none"/>
        </w:rPr>
      </w:pPr>
      <w:r>
        <w:rPr>
          <w:rFonts w:ascii="仿宋_GB2312" w:hAnsi="楷体" w:eastAsia="仿宋_GB2312"/>
          <w:b/>
          <w:sz w:val="32"/>
          <w:szCs w:val="32"/>
          <w:highlight w:val="none"/>
        </w:rPr>
        <w:t>报价表</w:t>
      </w:r>
    </w:p>
    <w:p w14:paraId="78A344CF">
      <w:pPr>
        <w:pStyle w:val="24"/>
        <w:widowControl w:val="0"/>
        <w:ind w:firstLine="480"/>
        <w:jc w:val="both"/>
        <w:textAlignment w:val="auto"/>
        <w:rPr>
          <w:rFonts w:ascii="宋体" w:hAnsi="宋体" w:cs="宋体"/>
          <w:sz w:val="24"/>
          <w:highlight w:val="none"/>
        </w:rPr>
      </w:pPr>
    </w:p>
    <w:tbl>
      <w:tblPr>
        <w:tblStyle w:val="13"/>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103"/>
        <w:gridCol w:w="3412"/>
        <w:gridCol w:w="1623"/>
        <w:gridCol w:w="1623"/>
      </w:tblGrid>
      <w:tr w14:paraId="318F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65" w:type="dxa"/>
            <w:tcBorders>
              <w:tl2br w:val="nil"/>
              <w:tr2bl w:val="nil"/>
            </w:tcBorders>
            <w:vAlign w:val="center"/>
          </w:tcPr>
          <w:p w14:paraId="0CAED09A">
            <w:pPr>
              <w:pStyle w:val="24"/>
              <w:widowControl w:val="0"/>
              <w:ind w:firstLine="0" w:firstLineChars="0"/>
              <w:jc w:val="both"/>
              <w:textAlignment w:val="auto"/>
              <w:rPr>
                <w:rFonts w:ascii="宋体" w:hAnsi="宋体" w:cs="宋体"/>
                <w:sz w:val="24"/>
                <w:highlight w:val="none"/>
              </w:rPr>
            </w:pPr>
            <w:r>
              <w:rPr>
                <w:rFonts w:ascii="宋体" w:hAnsi="宋体" w:cs="宋体"/>
                <w:sz w:val="24"/>
                <w:highlight w:val="none"/>
              </w:rPr>
              <w:t>序号</w:t>
            </w:r>
          </w:p>
        </w:tc>
        <w:tc>
          <w:tcPr>
            <w:tcW w:w="1103" w:type="dxa"/>
            <w:tcBorders>
              <w:tl2br w:val="nil"/>
              <w:tr2bl w:val="nil"/>
            </w:tcBorders>
            <w:shd w:val="clear" w:color="auto" w:fill="auto"/>
            <w:vAlign w:val="center"/>
          </w:tcPr>
          <w:p w14:paraId="536B37A2">
            <w:pPr>
              <w:pStyle w:val="24"/>
              <w:widowControl w:val="0"/>
              <w:ind w:firstLine="0" w:firstLineChars="0"/>
              <w:jc w:val="both"/>
              <w:textAlignment w:val="auto"/>
              <w:rPr>
                <w:rFonts w:ascii="宋体" w:hAnsi="宋体" w:cs="宋体"/>
                <w:sz w:val="24"/>
                <w:highlight w:val="none"/>
              </w:rPr>
            </w:pPr>
            <w:r>
              <w:rPr>
                <w:rFonts w:ascii="宋体" w:hAnsi="宋体" w:cs="宋体"/>
                <w:sz w:val="24"/>
                <w:highlight w:val="none"/>
              </w:rPr>
              <w:t>项目名称</w:t>
            </w:r>
          </w:p>
        </w:tc>
        <w:tc>
          <w:tcPr>
            <w:tcW w:w="3412" w:type="dxa"/>
            <w:tcBorders>
              <w:tl2br w:val="nil"/>
              <w:tr2bl w:val="nil"/>
            </w:tcBorders>
            <w:shd w:val="clear" w:color="auto" w:fill="auto"/>
            <w:vAlign w:val="center"/>
          </w:tcPr>
          <w:p w14:paraId="1184D0D1">
            <w:pPr>
              <w:pStyle w:val="24"/>
              <w:widowControl w:val="0"/>
              <w:ind w:firstLine="480"/>
              <w:jc w:val="center"/>
              <w:textAlignment w:val="auto"/>
              <w:rPr>
                <w:rFonts w:ascii="宋体" w:hAnsi="宋体" w:cs="宋体"/>
                <w:sz w:val="24"/>
                <w:highlight w:val="none"/>
              </w:rPr>
            </w:pPr>
            <w:r>
              <w:rPr>
                <w:rFonts w:ascii="宋体" w:hAnsi="宋体" w:cs="宋体"/>
                <w:sz w:val="24"/>
                <w:highlight w:val="none"/>
              </w:rPr>
              <w:t>采购需求</w:t>
            </w:r>
          </w:p>
        </w:tc>
        <w:tc>
          <w:tcPr>
            <w:tcW w:w="1623" w:type="dxa"/>
            <w:tcBorders>
              <w:tl2br w:val="nil"/>
              <w:tr2bl w:val="nil"/>
            </w:tcBorders>
            <w:shd w:val="clear" w:color="auto" w:fill="auto"/>
            <w:vAlign w:val="center"/>
          </w:tcPr>
          <w:p w14:paraId="03CD7E79">
            <w:pPr>
              <w:pStyle w:val="24"/>
              <w:widowControl w:val="0"/>
              <w:ind w:firstLine="0" w:firstLineChars="0"/>
              <w:jc w:val="both"/>
              <w:textAlignment w:val="auto"/>
              <w:rPr>
                <w:rFonts w:ascii="宋体" w:hAnsi="宋体" w:cs="宋体"/>
                <w:sz w:val="24"/>
                <w:highlight w:val="none"/>
              </w:rPr>
            </w:pPr>
            <w:r>
              <w:rPr>
                <w:rFonts w:hint="eastAsia" w:ascii="宋体" w:hAnsi="宋体" w:cs="宋体"/>
                <w:sz w:val="24"/>
                <w:highlight w:val="none"/>
              </w:rPr>
              <w:t>最高限价（人民币，元）</w:t>
            </w:r>
          </w:p>
        </w:tc>
        <w:tc>
          <w:tcPr>
            <w:tcW w:w="1623" w:type="dxa"/>
            <w:tcBorders>
              <w:tl2br w:val="nil"/>
              <w:tr2bl w:val="nil"/>
            </w:tcBorders>
            <w:shd w:val="clear" w:color="auto" w:fill="auto"/>
            <w:vAlign w:val="center"/>
          </w:tcPr>
          <w:p w14:paraId="6C6EDD85">
            <w:pPr>
              <w:pStyle w:val="24"/>
              <w:widowControl w:val="0"/>
              <w:ind w:firstLine="0" w:firstLineChars="0"/>
              <w:jc w:val="both"/>
              <w:textAlignment w:val="auto"/>
              <w:rPr>
                <w:rFonts w:ascii="宋体" w:hAnsi="宋体" w:cs="宋体"/>
                <w:sz w:val="24"/>
                <w:highlight w:val="none"/>
              </w:rPr>
            </w:pPr>
            <w:r>
              <w:rPr>
                <w:rFonts w:hint="eastAsia" w:ascii="宋体" w:hAnsi="宋体" w:cs="宋体"/>
                <w:sz w:val="24"/>
                <w:highlight w:val="none"/>
              </w:rPr>
              <w:t>报价</w:t>
            </w:r>
            <w:r>
              <w:rPr>
                <w:rFonts w:ascii="宋体" w:hAnsi="宋体" w:cs="宋体"/>
                <w:sz w:val="24"/>
                <w:highlight w:val="none"/>
              </w:rPr>
              <w:t>（人民币，元）</w:t>
            </w:r>
          </w:p>
        </w:tc>
      </w:tr>
      <w:tr w14:paraId="4469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65" w:type="dxa"/>
            <w:tcBorders>
              <w:tl2br w:val="nil"/>
              <w:tr2bl w:val="nil"/>
            </w:tcBorders>
            <w:vAlign w:val="center"/>
          </w:tcPr>
          <w:p w14:paraId="247239D5">
            <w:pPr>
              <w:widowControl w:val="0"/>
              <w:ind w:firstLine="240" w:firstLineChars="100"/>
              <w:textAlignment w:val="auto"/>
              <w:rPr>
                <w:rFonts w:ascii="宋体" w:hAnsi="宋体" w:cs="宋体"/>
                <w:sz w:val="24"/>
                <w:highlight w:val="none"/>
              </w:rPr>
            </w:pPr>
            <w:r>
              <w:rPr>
                <w:rFonts w:ascii="宋体" w:hAnsi="宋体" w:cs="宋体"/>
                <w:sz w:val="24"/>
                <w:highlight w:val="none"/>
              </w:rPr>
              <w:t>1</w:t>
            </w:r>
          </w:p>
        </w:tc>
        <w:tc>
          <w:tcPr>
            <w:tcW w:w="1103" w:type="dxa"/>
            <w:tcBorders>
              <w:tl2br w:val="nil"/>
              <w:tr2bl w:val="nil"/>
            </w:tcBorders>
            <w:shd w:val="clear" w:color="auto" w:fill="auto"/>
            <w:vAlign w:val="center"/>
          </w:tcPr>
          <w:p w14:paraId="22345651">
            <w:pPr>
              <w:pStyle w:val="24"/>
              <w:widowControl w:val="0"/>
              <w:ind w:firstLine="0" w:firstLineChars="0"/>
              <w:jc w:val="both"/>
              <w:textAlignment w:val="auto"/>
              <w:rPr>
                <w:rFonts w:ascii="仿宋_GB2312" w:hAnsi="宋体" w:eastAsia="仿宋_GB2312" w:cs="宋体"/>
                <w:sz w:val="24"/>
                <w:highlight w:val="none"/>
              </w:rPr>
            </w:pPr>
            <w:r>
              <w:rPr>
                <w:rFonts w:hint="eastAsia" w:ascii="仿宋_GB2312" w:hAnsi="宋体" w:eastAsia="仿宋_GB2312" w:cs="宋体"/>
                <w:sz w:val="24"/>
                <w:highlight w:val="none"/>
              </w:rPr>
              <w:t>网络机房运维服务</w:t>
            </w:r>
          </w:p>
        </w:tc>
        <w:tc>
          <w:tcPr>
            <w:tcW w:w="3412" w:type="dxa"/>
            <w:tcBorders>
              <w:tl2br w:val="nil"/>
              <w:tr2bl w:val="nil"/>
            </w:tcBorders>
            <w:shd w:val="clear" w:color="auto" w:fill="auto"/>
          </w:tcPr>
          <w:p w14:paraId="312EDAE7">
            <w:pPr>
              <w:textAlignment w:val="auto"/>
              <w:rPr>
                <w:highlight w:val="none"/>
              </w:rPr>
            </w:pPr>
            <w:r>
              <w:rPr>
                <w:rFonts w:hint="eastAsia" w:ascii="仿宋_GB2312" w:hAnsi="宋体" w:eastAsia="仿宋_GB2312" w:cs="宋体"/>
                <w:sz w:val="24"/>
                <w:szCs w:val="22"/>
                <w:highlight w:val="none"/>
              </w:rPr>
              <w:t>提供局机关机房设备设施运行维护及网络安全运维服务，服务期一年。</w:t>
            </w:r>
          </w:p>
        </w:tc>
        <w:tc>
          <w:tcPr>
            <w:tcW w:w="1623" w:type="dxa"/>
            <w:tcBorders>
              <w:tl2br w:val="nil"/>
              <w:tr2bl w:val="nil"/>
            </w:tcBorders>
            <w:shd w:val="clear" w:color="auto" w:fill="auto"/>
            <w:vAlign w:val="center"/>
          </w:tcPr>
          <w:p w14:paraId="589AFE0A">
            <w:pPr>
              <w:pStyle w:val="24"/>
              <w:widowControl w:val="0"/>
              <w:ind w:firstLine="480"/>
              <w:jc w:val="both"/>
              <w:textAlignment w:val="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99000</w:t>
            </w:r>
          </w:p>
        </w:tc>
        <w:tc>
          <w:tcPr>
            <w:tcW w:w="1623" w:type="dxa"/>
            <w:tcBorders>
              <w:tl2br w:val="nil"/>
              <w:tr2bl w:val="nil"/>
            </w:tcBorders>
            <w:shd w:val="clear" w:color="auto" w:fill="auto"/>
            <w:vAlign w:val="center"/>
          </w:tcPr>
          <w:p w14:paraId="2027201A">
            <w:pPr>
              <w:pStyle w:val="24"/>
              <w:widowControl w:val="0"/>
              <w:ind w:firstLine="480"/>
              <w:jc w:val="both"/>
              <w:textAlignment w:val="auto"/>
              <w:rPr>
                <w:rFonts w:ascii="宋体" w:hAnsi="宋体" w:cs="宋体"/>
                <w:sz w:val="24"/>
                <w:highlight w:val="none"/>
              </w:rPr>
            </w:pPr>
          </w:p>
        </w:tc>
      </w:tr>
      <w:tr w14:paraId="4951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903" w:type="dxa"/>
            <w:gridSpan w:val="4"/>
            <w:tcBorders>
              <w:tl2br w:val="nil"/>
              <w:tr2bl w:val="nil"/>
            </w:tcBorders>
            <w:vAlign w:val="center"/>
          </w:tcPr>
          <w:p w14:paraId="37F7C77F">
            <w:pPr>
              <w:pStyle w:val="24"/>
              <w:widowControl w:val="0"/>
              <w:ind w:firstLine="5760" w:firstLineChars="2400"/>
              <w:jc w:val="both"/>
              <w:textAlignment w:val="auto"/>
              <w:rPr>
                <w:rFonts w:ascii="宋体" w:hAnsi="宋体" w:cs="宋体"/>
                <w:sz w:val="24"/>
                <w:highlight w:val="none"/>
              </w:rPr>
            </w:pPr>
            <w:r>
              <w:rPr>
                <w:rFonts w:hint="eastAsia" w:ascii="宋体" w:hAnsi="宋体" w:cs="宋体"/>
                <w:sz w:val="24"/>
                <w:highlight w:val="none"/>
              </w:rPr>
              <w:t>合计</w:t>
            </w:r>
          </w:p>
        </w:tc>
        <w:tc>
          <w:tcPr>
            <w:tcW w:w="1623" w:type="dxa"/>
            <w:tcBorders>
              <w:tl2br w:val="nil"/>
              <w:tr2bl w:val="nil"/>
            </w:tcBorders>
            <w:shd w:val="clear" w:color="auto" w:fill="auto"/>
            <w:vAlign w:val="center"/>
          </w:tcPr>
          <w:p w14:paraId="7B1DDAA9">
            <w:pPr>
              <w:pStyle w:val="24"/>
              <w:widowControl w:val="0"/>
              <w:ind w:firstLine="480"/>
              <w:jc w:val="both"/>
              <w:textAlignment w:val="auto"/>
              <w:rPr>
                <w:rFonts w:ascii="宋体" w:hAnsi="宋体" w:cs="宋体"/>
                <w:sz w:val="24"/>
                <w:highlight w:val="none"/>
              </w:rPr>
            </w:pPr>
          </w:p>
        </w:tc>
      </w:tr>
    </w:tbl>
    <w:p w14:paraId="1B5C49A0">
      <w:pPr>
        <w:pStyle w:val="24"/>
        <w:widowControl w:val="0"/>
        <w:ind w:firstLine="480"/>
        <w:jc w:val="both"/>
        <w:textAlignment w:val="auto"/>
        <w:rPr>
          <w:rFonts w:ascii="宋体" w:hAnsi="宋体" w:cs="宋体"/>
          <w:sz w:val="24"/>
          <w:highlight w:val="none"/>
        </w:rPr>
      </w:pPr>
    </w:p>
    <w:p w14:paraId="29A05BB3">
      <w:pPr>
        <w:pStyle w:val="24"/>
        <w:widowControl w:val="0"/>
        <w:ind w:firstLine="480"/>
        <w:jc w:val="both"/>
        <w:textAlignment w:val="auto"/>
        <w:rPr>
          <w:rFonts w:ascii="宋体" w:hAnsi="宋体" w:cs="宋体"/>
          <w:sz w:val="24"/>
          <w:highlight w:val="none"/>
        </w:rPr>
      </w:pPr>
    </w:p>
    <w:p w14:paraId="7C51224A">
      <w:pPr>
        <w:pStyle w:val="24"/>
        <w:widowControl w:val="0"/>
        <w:ind w:firstLine="480"/>
        <w:jc w:val="both"/>
        <w:textAlignment w:val="auto"/>
        <w:rPr>
          <w:rFonts w:ascii="宋体" w:hAnsi="宋体" w:cs="宋体"/>
          <w:sz w:val="24"/>
          <w:highlight w:val="none"/>
        </w:rPr>
      </w:pPr>
      <w:r>
        <w:rPr>
          <w:rFonts w:ascii="宋体" w:hAnsi="宋体" w:cs="宋体"/>
          <w:sz w:val="24"/>
          <w:highlight w:val="none"/>
        </w:rPr>
        <w:t>法定代表人或委托代理人（签字）：</w:t>
      </w:r>
    </w:p>
    <w:p w14:paraId="6D10D759">
      <w:pPr>
        <w:pStyle w:val="24"/>
        <w:widowControl w:val="0"/>
        <w:ind w:firstLine="480"/>
        <w:jc w:val="both"/>
        <w:textAlignment w:val="auto"/>
        <w:rPr>
          <w:rFonts w:ascii="宋体" w:hAnsi="宋体" w:cs="宋体"/>
          <w:sz w:val="24"/>
          <w:highlight w:val="none"/>
        </w:rPr>
      </w:pPr>
    </w:p>
    <w:p w14:paraId="0659FEE8">
      <w:pPr>
        <w:pStyle w:val="24"/>
        <w:widowControl w:val="0"/>
        <w:ind w:firstLine="480"/>
        <w:jc w:val="both"/>
        <w:textAlignment w:val="auto"/>
        <w:rPr>
          <w:rFonts w:ascii="宋体" w:hAnsi="宋体" w:cs="宋体"/>
          <w:sz w:val="24"/>
          <w:highlight w:val="none"/>
        </w:rPr>
      </w:pPr>
      <w:r>
        <w:rPr>
          <w:rFonts w:ascii="宋体" w:hAnsi="宋体" w:cs="宋体"/>
          <w:sz w:val="24"/>
          <w:highlight w:val="none"/>
        </w:rPr>
        <w:t>报价方（盖章）：</w:t>
      </w:r>
    </w:p>
    <w:p w14:paraId="7171A3C5">
      <w:pPr>
        <w:pStyle w:val="24"/>
        <w:widowControl w:val="0"/>
        <w:ind w:firstLine="480"/>
        <w:jc w:val="both"/>
        <w:textAlignment w:val="auto"/>
        <w:rPr>
          <w:rFonts w:ascii="宋体" w:hAnsi="宋体" w:cs="宋体"/>
          <w:sz w:val="24"/>
          <w:highlight w:val="none"/>
        </w:rPr>
      </w:pPr>
    </w:p>
    <w:p w14:paraId="467A5438">
      <w:pPr>
        <w:pStyle w:val="24"/>
        <w:widowControl w:val="0"/>
        <w:ind w:firstLine="480"/>
        <w:jc w:val="both"/>
        <w:textAlignment w:val="auto"/>
        <w:rPr>
          <w:rFonts w:ascii="宋体" w:hAnsi="宋体" w:cs="宋体"/>
          <w:sz w:val="24"/>
          <w:highlight w:val="none"/>
        </w:rPr>
      </w:pPr>
      <w:r>
        <w:rPr>
          <w:rFonts w:ascii="宋体" w:hAnsi="宋体" w:cs="宋体"/>
          <w:sz w:val="24"/>
          <w:highlight w:val="none"/>
        </w:rPr>
        <w:t>报价时间：     年    月   日</w:t>
      </w:r>
    </w:p>
    <w:p w14:paraId="77E1307E">
      <w:pPr>
        <w:pStyle w:val="24"/>
        <w:widowControl w:val="0"/>
        <w:ind w:firstLine="480"/>
        <w:jc w:val="both"/>
        <w:textAlignment w:val="auto"/>
        <w:rPr>
          <w:rFonts w:ascii="宋体" w:hAnsi="宋体" w:cs="宋体"/>
          <w:sz w:val="24"/>
          <w:highlight w:val="none"/>
        </w:rPr>
      </w:pPr>
    </w:p>
    <w:p w14:paraId="70A9A151">
      <w:pPr>
        <w:pStyle w:val="24"/>
        <w:widowControl w:val="0"/>
        <w:ind w:firstLine="480"/>
        <w:jc w:val="both"/>
        <w:textAlignment w:val="auto"/>
        <w:rPr>
          <w:rFonts w:ascii="宋体" w:hAnsi="宋体" w:cs="宋体"/>
          <w:sz w:val="24"/>
          <w:highlight w:val="none"/>
        </w:rPr>
      </w:pPr>
      <w:r>
        <w:rPr>
          <w:rFonts w:ascii="宋体" w:hAnsi="宋体" w:cs="宋体"/>
          <w:sz w:val="24"/>
          <w:highlight w:val="none"/>
        </w:rPr>
        <w:br w:type="page"/>
      </w:r>
    </w:p>
    <w:p w14:paraId="410F8B2B">
      <w:pPr>
        <w:widowControl w:val="0"/>
        <w:spacing w:line="240" w:lineRule="atLeast"/>
        <w:ind w:right="-317" w:rightChars="-151"/>
        <w:jc w:val="center"/>
        <w:textAlignment w:val="auto"/>
        <w:rPr>
          <w:rFonts w:ascii="仿宋_GB2312" w:hAnsi="楷体" w:eastAsia="仿宋_GB2312"/>
          <w:b/>
          <w:sz w:val="32"/>
          <w:szCs w:val="32"/>
          <w:highlight w:val="none"/>
        </w:rPr>
      </w:pPr>
      <w:r>
        <w:rPr>
          <w:rFonts w:ascii="仿宋_GB2312" w:hAnsi="楷体" w:eastAsia="仿宋_GB2312"/>
          <w:b/>
          <w:sz w:val="32"/>
          <w:szCs w:val="32"/>
          <w:highlight w:val="none"/>
        </w:rPr>
        <w:t>营业执照复印件</w:t>
      </w:r>
    </w:p>
    <w:p w14:paraId="788E7C19">
      <w:pPr>
        <w:pStyle w:val="19"/>
        <w:rPr>
          <w:highlight w:val="none"/>
        </w:rPr>
      </w:pPr>
    </w:p>
    <w:p w14:paraId="46909AC0">
      <w:pPr>
        <w:ind w:firstLine="3253"/>
        <w:rPr>
          <w:highlight w:val="none"/>
        </w:rPr>
      </w:pPr>
    </w:p>
    <w:p w14:paraId="7449DDB2">
      <w:pPr>
        <w:ind w:firstLine="3253"/>
        <w:rPr>
          <w:highlight w:val="none"/>
        </w:rPr>
      </w:pPr>
      <w:r>
        <w:rPr>
          <w:highlight w:val="none"/>
        </w:rPr>
        <w:br w:type="page"/>
      </w:r>
      <w:r>
        <w:rPr>
          <w:rFonts w:ascii="仿宋_GB2312" w:hAnsi="楷体" w:eastAsia="仿宋_GB2312"/>
          <w:b/>
          <w:sz w:val="32"/>
          <w:szCs w:val="32"/>
          <w:highlight w:val="none"/>
        </w:rPr>
        <w:t>法定代表人授权书</w:t>
      </w:r>
    </w:p>
    <w:p w14:paraId="465868A0">
      <w:pPr>
        <w:pStyle w:val="24"/>
        <w:rPr>
          <w:highlight w:val="none"/>
        </w:rPr>
      </w:pPr>
    </w:p>
    <w:p w14:paraId="4469970F">
      <w:pPr>
        <w:widowControl w:val="0"/>
        <w:spacing w:line="360" w:lineRule="auto"/>
        <w:jc w:val="both"/>
        <w:textAlignment w:val="auto"/>
        <w:rPr>
          <w:rFonts w:ascii="仿宋_GB2312" w:hAnsi="宋体" w:eastAsia="仿宋_GB2312"/>
          <w:sz w:val="24"/>
          <w:highlight w:val="none"/>
        </w:rPr>
      </w:pPr>
      <w:r>
        <w:rPr>
          <w:rFonts w:ascii="仿宋_GB2312" w:hAnsi="宋体" w:eastAsia="仿宋_GB2312"/>
          <w:sz w:val="24"/>
          <w:highlight w:val="none"/>
        </w:rPr>
        <w:t>广西壮族自治区交通运输综合行政执法局：</w:t>
      </w:r>
    </w:p>
    <w:p w14:paraId="72095794">
      <w:pPr>
        <w:pStyle w:val="24"/>
        <w:widowControl w:val="0"/>
        <w:spacing w:line="360" w:lineRule="auto"/>
        <w:ind w:firstLine="480"/>
        <w:jc w:val="both"/>
        <w:textAlignment w:val="auto"/>
        <w:rPr>
          <w:rFonts w:ascii="仿宋_GB2312" w:hAnsi="宋体" w:eastAsia="仿宋_GB2312"/>
          <w:sz w:val="24"/>
          <w:szCs w:val="24"/>
          <w:highlight w:val="none"/>
        </w:rPr>
      </w:pPr>
      <w:r>
        <w:rPr>
          <w:rFonts w:ascii="仿宋_GB2312" w:hAnsi="宋体" w:eastAsia="仿宋_GB2312"/>
          <w:sz w:val="24"/>
          <w:szCs w:val="24"/>
          <w:highlight w:val="none"/>
        </w:rPr>
        <w:t>兹授权</w:t>
      </w:r>
      <w:r>
        <w:rPr>
          <w:rFonts w:hint="eastAsia" w:ascii="仿宋_GB2312" w:hAnsi="宋体" w:eastAsia="仿宋_GB2312"/>
          <w:sz w:val="24"/>
          <w:szCs w:val="24"/>
          <w:highlight w:val="none"/>
          <w:u w:val="single"/>
        </w:rPr>
        <w:t xml:space="preserve">      </w:t>
      </w:r>
      <w:r>
        <w:rPr>
          <w:rFonts w:ascii="仿宋_GB2312" w:hAnsi="宋体" w:eastAsia="仿宋_GB2312"/>
          <w:sz w:val="24"/>
          <w:szCs w:val="24"/>
          <w:highlight w:val="none"/>
        </w:rPr>
        <w:t>同志为我公司参加贵单位组织的</w:t>
      </w:r>
      <w:r>
        <w:rPr>
          <w:rFonts w:hint="eastAsia" w:ascii="仿宋_GB2312" w:hAnsi="宋体" w:eastAsia="仿宋_GB2312"/>
          <w:sz w:val="24"/>
          <w:szCs w:val="24"/>
          <w:highlight w:val="none"/>
          <w:u w:val="single"/>
        </w:rPr>
        <w:t>网络机房运维服务项目</w:t>
      </w:r>
      <w:r>
        <w:rPr>
          <w:rFonts w:ascii="仿宋_GB2312" w:hAnsi="宋体" w:eastAsia="仿宋_GB2312"/>
          <w:sz w:val="24"/>
          <w:szCs w:val="24"/>
          <w:highlight w:val="none"/>
        </w:rPr>
        <w:t>的委托代理人，全权代表我公司处理在该项目活动中的一切事宜。代理期限从   年  月  日起至   年  月  日止。</w:t>
      </w:r>
    </w:p>
    <w:p w14:paraId="0A1AF9E7">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授权单位（盖章）：</w:t>
      </w:r>
    </w:p>
    <w:p w14:paraId="18CB4984">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法定代表人(签字或盖章)：</w:t>
      </w:r>
    </w:p>
    <w:p w14:paraId="0D3E2381">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签发日期：   年  月  日</w:t>
      </w:r>
    </w:p>
    <w:p w14:paraId="4E81D694">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委托代理人工作单位：</w:t>
      </w:r>
    </w:p>
    <w:p w14:paraId="2C0AA33D">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职务：        性别：</w:t>
      </w:r>
    </w:p>
    <w:p w14:paraId="199D48B7">
      <w:pPr>
        <w:widowControl w:val="0"/>
        <w:spacing w:line="360" w:lineRule="auto"/>
        <w:ind w:firstLine="480" w:firstLineChars="200"/>
        <w:jc w:val="both"/>
        <w:textAlignment w:val="auto"/>
        <w:rPr>
          <w:rFonts w:ascii="仿宋_GB2312" w:hAnsi="宋体" w:eastAsia="仿宋_GB2312"/>
          <w:sz w:val="24"/>
          <w:highlight w:val="none"/>
        </w:rPr>
      </w:pPr>
      <w:r>
        <w:rPr>
          <w:rFonts w:ascii="仿宋_GB2312" w:hAnsi="宋体" w:eastAsia="仿宋_GB2312"/>
          <w:sz w:val="24"/>
          <w:highlight w:val="none"/>
        </w:rPr>
        <w:t>身份证号码：</w:t>
      </w:r>
    </w:p>
    <w:p w14:paraId="47EB44E7">
      <w:pPr>
        <w:pStyle w:val="24"/>
        <w:widowControl w:val="0"/>
        <w:spacing w:line="360" w:lineRule="auto"/>
        <w:ind w:firstLine="480"/>
        <w:jc w:val="both"/>
        <w:textAlignment w:val="auto"/>
        <w:rPr>
          <w:rFonts w:ascii="仿宋_GB2312" w:hAnsi="宋体" w:eastAsia="仿宋_GB2312"/>
          <w:sz w:val="24"/>
          <w:szCs w:val="24"/>
          <w:highlight w:val="none"/>
        </w:rPr>
      </w:pPr>
    </w:p>
    <w:p w14:paraId="17BAA1B6">
      <w:pPr>
        <w:pStyle w:val="24"/>
        <w:widowControl w:val="0"/>
        <w:spacing w:line="360" w:lineRule="auto"/>
        <w:ind w:firstLine="480"/>
        <w:jc w:val="both"/>
        <w:textAlignment w:val="auto"/>
        <w:rPr>
          <w:rFonts w:ascii="仿宋_GB2312" w:hAnsi="宋体" w:eastAsia="仿宋_GB2312"/>
          <w:sz w:val="24"/>
          <w:szCs w:val="24"/>
          <w:highlight w:val="none"/>
        </w:rPr>
      </w:pPr>
      <w:r>
        <w:rPr>
          <w:rFonts w:ascii="仿宋_GB2312" w:hAnsi="宋体" w:eastAsia="仿宋_GB2312"/>
          <w:sz w:val="24"/>
          <w:szCs w:val="24"/>
          <w:highlight w:val="none"/>
        </w:rPr>
        <w:t>附：法定代表人身份证复印件、委托代理人身份证复印件</w:t>
      </w:r>
    </w:p>
    <w:p w14:paraId="73B584FE">
      <w:pPr>
        <w:pStyle w:val="19"/>
        <w:rPr>
          <w:highlight w:val="none"/>
        </w:rPr>
      </w:pPr>
    </w:p>
    <w:p w14:paraId="589106C5">
      <w:pPr>
        <w:ind w:firstLine="3253"/>
        <w:rPr>
          <w:highlight w:val="none"/>
        </w:rPr>
      </w:pPr>
    </w:p>
    <w:p w14:paraId="4F3A68B7">
      <w:pPr>
        <w:ind w:firstLine="3253"/>
        <w:rPr>
          <w:highlight w:val="none"/>
        </w:rPr>
      </w:pPr>
    </w:p>
    <w:p w14:paraId="1F07373B">
      <w:pPr>
        <w:ind w:firstLine="3253"/>
        <w:rPr>
          <w:highlight w:val="none"/>
        </w:rPr>
      </w:pPr>
    </w:p>
    <w:p w14:paraId="521BD4DF">
      <w:pPr>
        <w:ind w:firstLine="3253"/>
        <w:rPr>
          <w:highlight w:val="none"/>
        </w:rPr>
      </w:pPr>
    </w:p>
    <w:p w14:paraId="1FF6DBF7">
      <w:pPr>
        <w:ind w:firstLine="3253"/>
        <w:rPr>
          <w:highlight w:val="none"/>
        </w:rPr>
      </w:pPr>
    </w:p>
    <w:p w14:paraId="0E3E4E5A">
      <w:pPr>
        <w:ind w:firstLine="3253"/>
        <w:rPr>
          <w:highlight w:val="none"/>
        </w:rPr>
      </w:pPr>
    </w:p>
    <w:p w14:paraId="59403B0D">
      <w:pPr>
        <w:ind w:firstLine="3253"/>
        <w:rPr>
          <w:highlight w:val="none"/>
        </w:rPr>
      </w:pPr>
    </w:p>
    <w:p w14:paraId="3A3252F6">
      <w:pPr>
        <w:ind w:firstLine="3253"/>
        <w:rPr>
          <w:highlight w:val="none"/>
        </w:rPr>
      </w:pPr>
    </w:p>
    <w:p w14:paraId="611C885C">
      <w:pPr>
        <w:ind w:firstLine="3253"/>
        <w:rPr>
          <w:highlight w:val="none"/>
        </w:rPr>
      </w:pPr>
    </w:p>
    <w:p w14:paraId="0284BB7B">
      <w:pPr>
        <w:ind w:firstLine="3253"/>
        <w:rPr>
          <w:highlight w:val="none"/>
        </w:rPr>
      </w:pPr>
    </w:p>
    <w:p w14:paraId="7E401D08">
      <w:pPr>
        <w:pStyle w:val="2"/>
        <w:rPr>
          <w:highlight w:val="none"/>
        </w:rPr>
      </w:pPr>
    </w:p>
    <w:p w14:paraId="71ADEB08">
      <w:pPr>
        <w:pStyle w:val="2"/>
        <w:rPr>
          <w:highlight w:val="none"/>
        </w:rPr>
      </w:pPr>
    </w:p>
    <w:p w14:paraId="2264E34C">
      <w:pPr>
        <w:pStyle w:val="2"/>
        <w:rPr>
          <w:highlight w:val="none"/>
        </w:rPr>
      </w:pPr>
    </w:p>
    <w:p w14:paraId="598C5F69">
      <w:pPr>
        <w:pStyle w:val="2"/>
        <w:rPr>
          <w:highlight w:val="none"/>
        </w:rPr>
      </w:pPr>
    </w:p>
    <w:p w14:paraId="4CCF1786">
      <w:pPr>
        <w:pStyle w:val="2"/>
        <w:rPr>
          <w:highlight w:val="none"/>
        </w:rPr>
      </w:pPr>
    </w:p>
    <w:p w14:paraId="7D59F865">
      <w:pPr>
        <w:pStyle w:val="2"/>
        <w:rPr>
          <w:highlight w:val="none"/>
        </w:rPr>
      </w:pPr>
    </w:p>
    <w:p w14:paraId="23B43664">
      <w:pPr>
        <w:pStyle w:val="2"/>
        <w:rPr>
          <w:highlight w:val="none"/>
        </w:rPr>
      </w:pPr>
    </w:p>
    <w:p w14:paraId="66FE8A5D">
      <w:pPr>
        <w:widowControl w:val="0"/>
        <w:spacing w:line="240" w:lineRule="atLeast"/>
        <w:ind w:right="-317" w:rightChars="-151" w:firstLine="4320"/>
        <w:jc w:val="center"/>
        <w:textAlignment w:val="auto"/>
        <w:rPr>
          <w:rFonts w:ascii="仿宋_GB2312" w:hAnsi="楷体" w:eastAsia="仿宋_GB2312"/>
          <w:b/>
          <w:sz w:val="32"/>
          <w:szCs w:val="32"/>
          <w:highlight w:val="none"/>
        </w:rPr>
      </w:pPr>
    </w:p>
    <w:p w14:paraId="7C02E048">
      <w:pPr>
        <w:widowControl w:val="0"/>
        <w:spacing w:line="240" w:lineRule="atLeast"/>
        <w:ind w:right="-317" w:rightChars="-151"/>
        <w:jc w:val="center"/>
        <w:textAlignment w:val="auto"/>
        <w:rPr>
          <w:rFonts w:ascii="仿宋_GB2312" w:hAnsi="楷体" w:eastAsia="仿宋_GB2312"/>
          <w:b/>
          <w:sz w:val="32"/>
          <w:szCs w:val="32"/>
          <w:highlight w:val="none"/>
        </w:rPr>
      </w:pPr>
      <w:r>
        <w:rPr>
          <w:rFonts w:ascii="仿宋_GB2312" w:hAnsi="楷体" w:eastAsia="仿宋_GB2312"/>
          <w:b/>
          <w:sz w:val="32"/>
          <w:szCs w:val="32"/>
          <w:highlight w:val="none"/>
        </w:rPr>
        <w:t>相关业绩证明材料（成交通知书、项目合同等）</w:t>
      </w:r>
    </w:p>
    <w:p w14:paraId="17E91586">
      <w:pPr>
        <w:widowControl w:val="0"/>
        <w:spacing w:line="240" w:lineRule="atLeast"/>
        <w:ind w:right="-317" w:rightChars="-151" w:firstLine="4320"/>
        <w:jc w:val="center"/>
        <w:textAlignment w:val="auto"/>
        <w:rPr>
          <w:rFonts w:ascii="仿宋_GB2312" w:hAnsi="楷体" w:eastAsia="仿宋_GB2312"/>
          <w:b/>
          <w:sz w:val="32"/>
          <w:szCs w:val="32"/>
          <w:highlight w:val="none"/>
        </w:rPr>
      </w:pPr>
    </w:p>
    <w:p w14:paraId="094A0357">
      <w:pPr>
        <w:widowControl w:val="0"/>
        <w:spacing w:line="240" w:lineRule="atLeast"/>
        <w:ind w:right="-317" w:rightChars="-151" w:firstLine="4320"/>
        <w:jc w:val="center"/>
        <w:textAlignment w:val="auto"/>
        <w:rPr>
          <w:rFonts w:ascii="仿宋_GB2312" w:hAnsi="楷体" w:eastAsia="仿宋_GB2312"/>
          <w:b/>
          <w:sz w:val="32"/>
          <w:szCs w:val="32"/>
          <w:highlight w:val="none"/>
        </w:rPr>
      </w:pPr>
    </w:p>
    <w:p w14:paraId="103F6074">
      <w:pPr>
        <w:ind w:firstLine="3253"/>
        <w:jc w:val="center"/>
        <w:rPr>
          <w:highlight w:val="none"/>
        </w:rPr>
      </w:pPr>
    </w:p>
    <w:p w14:paraId="0C20BFD7">
      <w:pPr>
        <w:ind w:firstLine="3253"/>
        <w:jc w:val="center"/>
        <w:rPr>
          <w:highlight w:val="none"/>
        </w:rPr>
      </w:pPr>
    </w:p>
    <w:p w14:paraId="18BD23EE">
      <w:pPr>
        <w:ind w:firstLine="3253"/>
        <w:jc w:val="center"/>
        <w:rPr>
          <w:highlight w:val="none"/>
        </w:rPr>
      </w:pPr>
    </w:p>
    <w:p w14:paraId="4A673AC1">
      <w:pPr>
        <w:ind w:firstLine="3253"/>
        <w:jc w:val="center"/>
        <w:rPr>
          <w:highlight w:val="none"/>
        </w:rPr>
      </w:pPr>
    </w:p>
    <w:p w14:paraId="1FD02B12">
      <w:pPr>
        <w:ind w:firstLine="3253"/>
        <w:jc w:val="center"/>
        <w:rPr>
          <w:highlight w:val="none"/>
        </w:rPr>
      </w:pPr>
    </w:p>
    <w:p w14:paraId="21695B69">
      <w:pPr>
        <w:ind w:firstLine="3253"/>
        <w:jc w:val="center"/>
        <w:rPr>
          <w:highlight w:val="none"/>
        </w:rPr>
      </w:pPr>
    </w:p>
    <w:p w14:paraId="77C72459">
      <w:pPr>
        <w:ind w:firstLine="3253"/>
        <w:jc w:val="center"/>
        <w:rPr>
          <w:highlight w:val="none"/>
        </w:rPr>
      </w:pPr>
    </w:p>
    <w:p w14:paraId="0F016ADC">
      <w:pPr>
        <w:ind w:firstLine="3253"/>
        <w:jc w:val="center"/>
        <w:rPr>
          <w:highlight w:val="none"/>
        </w:rPr>
      </w:pPr>
    </w:p>
    <w:p w14:paraId="3FDECB7D">
      <w:pPr>
        <w:ind w:firstLine="3253"/>
        <w:jc w:val="center"/>
        <w:rPr>
          <w:highlight w:val="none"/>
        </w:rPr>
      </w:pPr>
    </w:p>
    <w:p w14:paraId="2752AF5B">
      <w:pPr>
        <w:ind w:firstLine="3253"/>
        <w:jc w:val="center"/>
        <w:rPr>
          <w:highlight w:val="none"/>
        </w:rPr>
      </w:pPr>
    </w:p>
    <w:p w14:paraId="152660CA">
      <w:pPr>
        <w:ind w:firstLine="3253"/>
        <w:jc w:val="center"/>
        <w:rPr>
          <w:highlight w:val="none"/>
        </w:rPr>
      </w:pPr>
    </w:p>
    <w:p w14:paraId="5F14EFB2">
      <w:pPr>
        <w:ind w:firstLine="3253"/>
        <w:jc w:val="center"/>
        <w:rPr>
          <w:highlight w:val="none"/>
        </w:rPr>
      </w:pPr>
    </w:p>
    <w:p w14:paraId="5D5413DE">
      <w:pPr>
        <w:ind w:firstLine="3253"/>
        <w:jc w:val="center"/>
        <w:rPr>
          <w:highlight w:val="none"/>
        </w:rPr>
      </w:pPr>
    </w:p>
    <w:p w14:paraId="5F794799">
      <w:pPr>
        <w:ind w:firstLine="3253"/>
        <w:jc w:val="center"/>
        <w:rPr>
          <w:highlight w:val="none"/>
        </w:rPr>
      </w:pPr>
    </w:p>
    <w:p w14:paraId="39E98EF8">
      <w:pPr>
        <w:ind w:firstLine="3253"/>
        <w:jc w:val="center"/>
        <w:rPr>
          <w:highlight w:val="none"/>
        </w:rPr>
      </w:pPr>
    </w:p>
    <w:p w14:paraId="428261F9">
      <w:pPr>
        <w:ind w:firstLine="3253"/>
        <w:jc w:val="center"/>
        <w:rPr>
          <w:highlight w:val="none"/>
        </w:rPr>
      </w:pPr>
    </w:p>
    <w:p w14:paraId="1E066108">
      <w:pPr>
        <w:ind w:firstLine="3253"/>
        <w:jc w:val="center"/>
        <w:rPr>
          <w:highlight w:val="none"/>
        </w:rPr>
      </w:pPr>
    </w:p>
    <w:p w14:paraId="21DFF4FB">
      <w:pPr>
        <w:ind w:firstLine="3253"/>
        <w:jc w:val="center"/>
        <w:rPr>
          <w:highlight w:val="none"/>
        </w:rPr>
      </w:pPr>
    </w:p>
    <w:p w14:paraId="0244FC65">
      <w:pPr>
        <w:ind w:firstLine="3253"/>
        <w:jc w:val="center"/>
        <w:rPr>
          <w:highlight w:val="none"/>
        </w:rPr>
      </w:pPr>
    </w:p>
    <w:p w14:paraId="7D1AE976">
      <w:pPr>
        <w:ind w:firstLine="3253"/>
        <w:jc w:val="center"/>
        <w:rPr>
          <w:highlight w:val="none"/>
        </w:rPr>
      </w:pPr>
    </w:p>
    <w:p w14:paraId="234560B2">
      <w:pPr>
        <w:ind w:firstLine="3253"/>
        <w:jc w:val="center"/>
        <w:rPr>
          <w:highlight w:val="none"/>
        </w:rPr>
      </w:pPr>
    </w:p>
    <w:p w14:paraId="340AE958">
      <w:pPr>
        <w:ind w:firstLine="3253"/>
        <w:jc w:val="center"/>
        <w:rPr>
          <w:highlight w:val="none"/>
        </w:rPr>
      </w:pPr>
    </w:p>
    <w:p w14:paraId="1ADF4237">
      <w:pPr>
        <w:ind w:firstLine="3253"/>
        <w:jc w:val="center"/>
        <w:rPr>
          <w:highlight w:val="none"/>
        </w:rPr>
      </w:pPr>
    </w:p>
    <w:p w14:paraId="47CB7153">
      <w:pPr>
        <w:ind w:firstLine="3253"/>
        <w:jc w:val="center"/>
        <w:rPr>
          <w:highlight w:val="none"/>
        </w:rPr>
      </w:pPr>
    </w:p>
    <w:p w14:paraId="25437974">
      <w:pPr>
        <w:ind w:firstLine="3253"/>
        <w:jc w:val="center"/>
        <w:rPr>
          <w:highlight w:val="none"/>
        </w:rPr>
      </w:pPr>
    </w:p>
    <w:p w14:paraId="0D07994A">
      <w:pPr>
        <w:ind w:firstLine="3253"/>
        <w:jc w:val="center"/>
        <w:rPr>
          <w:highlight w:val="none"/>
        </w:rPr>
      </w:pPr>
    </w:p>
    <w:p w14:paraId="28C3022C">
      <w:pPr>
        <w:ind w:firstLine="3253"/>
        <w:jc w:val="center"/>
        <w:rPr>
          <w:highlight w:val="none"/>
        </w:rPr>
      </w:pPr>
    </w:p>
    <w:p w14:paraId="317A39DA">
      <w:pPr>
        <w:ind w:firstLine="3253"/>
        <w:jc w:val="center"/>
        <w:rPr>
          <w:highlight w:val="none"/>
        </w:rPr>
      </w:pPr>
    </w:p>
    <w:p w14:paraId="74B3D013">
      <w:pPr>
        <w:ind w:firstLine="3253"/>
        <w:jc w:val="center"/>
        <w:rPr>
          <w:highlight w:val="none"/>
        </w:rPr>
      </w:pPr>
    </w:p>
    <w:p w14:paraId="6FA9DECB">
      <w:pPr>
        <w:ind w:firstLine="3253"/>
        <w:jc w:val="center"/>
        <w:rPr>
          <w:highlight w:val="none"/>
        </w:rPr>
      </w:pPr>
    </w:p>
    <w:p w14:paraId="00450382">
      <w:pPr>
        <w:ind w:firstLine="3253"/>
        <w:jc w:val="center"/>
        <w:rPr>
          <w:highlight w:val="none"/>
        </w:rPr>
      </w:pPr>
    </w:p>
    <w:p w14:paraId="1A0E8662">
      <w:pPr>
        <w:ind w:firstLine="3253"/>
        <w:jc w:val="center"/>
        <w:rPr>
          <w:highlight w:val="none"/>
        </w:rPr>
      </w:pPr>
    </w:p>
    <w:p w14:paraId="17E92E0B">
      <w:pPr>
        <w:ind w:firstLine="3253"/>
        <w:jc w:val="center"/>
        <w:rPr>
          <w:highlight w:val="none"/>
        </w:rPr>
      </w:pPr>
    </w:p>
    <w:p w14:paraId="27AF17A2">
      <w:pPr>
        <w:ind w:firstLine="3253"/>
        <w:jc w:val="center"/>
        <w:rPr>
          <w:highlight w:val="none"/>
        </w:rPr>
      </w:pPr>
    </w:p>
    <w:p w14:paraId="5AEEAF72">
      <w:pPr>
        <w:ind w:firstLine="3253"/>
        <w:jc w:val="center"/>
        <w:rPr>
          <w:highlight w:val="none"/>
        </w:rPr>
      </w:pPr>
    </w:p>
    <w:p w14:paraId="0D263566">
      <w:pPr>
        <w:ind w:firstLine="3253"/>
        <w:jc w:val="center"/>
        <w:rPr>
          <w:highlight w:val="none"/>
        </w:rPr>
      </w:pPr>
    </w:p>
    <w:p w14:paraId="3BC57353">
      <w:pPr>
        <w:widowControl w:val="0"/>
        <w:spacing w:line="240" w:lineRule="atLeast"/>
        <w:ind w:right="-317" w:rightChars="-151" w:firstLine="4320"/>
        <w:jc w:val="center"/>
        <w:textAlignment w:val="auto"/>
        <w:rPr>
          <w:rFonts w:ascii="仿宋_GB2312" w:hAnsi="楷体" w:eastAsia="仿宋_GB2312"/>
          <w:b/>
          <w:sz w:val="32"/>
          <w:szCs w:val="32"/>
          <w:highlight w:val="none"/>
        </w:rPr>
      </w:pPr>
    </w:p>
    <w:p w14:paraId="3179A3B2">
      <w:pPr>
        <w:widowControl w:val="0"/>
        <w:spacing w:line="240" w:lineRule="atLeast"/>
        <w:ind w:right="-317" w:rightChars="-151"/>
        <w:jc w:val="center"/>
        <w:textAlignment w:val="auto"/>
        <w:rPr>
          <w:rFonts w:ascii="仿宋_GB2312" w:hAnsi="楷体" w:eastAsia="仿宋_GB2312"/>
          <w:b/>
          <w:sz w:val="32"/>
          <w:szCs w:val="32"/>
          <w:highlight w:val="none"/>
        </w:rPr>
      </w:pPr>
      <w:r>
        <w:rPr>
          <w:rFonts w:ascii="仿宋_GB2312" w:hAnsi="楷体" w:eastAsia="仿宋_GB2312"/>
          <w:b/>
          <w:sz w:val="32"/>
          <w:szCs w:val="32"/>
          <w:highlight w:val="none"/>
        </w:rPr>
        <w:t>其他需要提供的材料</w:t>
      </w:r>
    </w:p>
    <w:p w14:paraId="2F03D0C1">
      <w:pPr>
        <w:ind w:firstLine="3253"/>
        <w:rPr>
          <w:highlight w:val="none"/>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313047"/>
      <w:docPartObj>
        <w:docPartGallery w:val="autotext"/>
      </w:docPartObj>
    </w:sdtPr>
    <w:sdtContent>
      <w:p w14:paraId="728C2787">
        <w:pPr>
          <w:pStyle w:val="10"/>
          <w:jc w:val="center"/>
        </w:pPr>
        <w:r>
          <w:fldChar w:fldCharType="begin"/>
        </w:r>
        <w:r>
          <w:instrText xml:space="preserve">PAGE   \* MERGEFORMAT</w:instrText>
        </w:r>
        <w:r>
          <w:fldChar w:fldCharType="separate"/>
        </w:r>
        <w:r>
          <w:rPr>
            <w:lang w:val="zh-CN"/>
          </w:rPr>
          <w:t>2</w:t>
        </w:r>
        <w:r>
          <w:fldChar w:fldCharType="end"/>
        </w:r>
      </w:p>
    </w:sdtContent>
  </w:sdt>
  <w:p w14:paraId="5393BB44">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yZTBiNzEwY2UwZjMzYjBiMjMwZTU0ZmI4NTZlYzAifQ=="/>
    <w:docVar w:name="KSO_WPS_MARK_KEY" w:val="912c0c22-27d1-43fc-8fee-f722edd5dc7c"/>
  </w:docVars>
  <w:rsids>
    <w:rsidRoot w:val="00FD0BBE"/>
    <w:rsid w:val="0000311C"/>
    <w:rsid w:val="00003F59"/>
    <w:rsid w:val="00006A38"/>
    <w:rsid w:val="00012E71"/>
    <w:rsid w:val="000201ED"/>
    <w:rsid w:val="000366D3"/>
    <w:rsid w:val="0003724A"/>
    <w:rsid w:val="00046619"/>
    <w:rsid w:val="0006363D"/>
    <w:rsid w:val="00072530"/>
    <w:rsid w:val="00084058"/>
    <w:rsid w:val="00092BD5"/>
    <w:rsid w:val="00095C9A"/>
    <w:rsid w:val="000A07BD"/>
    <w:rsid w:val="000A14EA"/>
    <w:rsid w:val="000B46CF"/>
    <w:rsid w:val="000B4AA0"/>
    <w:rsid w:val="000D27F8"/>
    <w:rsid w:val="000D5475"/>
    <w:rsid w:val="000D554B"/>
    <w:rsid w:val="000F5964"/>
    <w:rsid w:val="000F769B"/>
    <w:rsid w:val="0010546C"/>
    <w:rsid w:val="001146F3"/>
    <w:rsid w:val="00122604"/>
    <w:rsid w:val="001431CF"/>
    <w:rsid w:val="00150762"/>
    <w:rsid w:val="00154211"/>
    <w:rsid w:val="00185455"/>
    <w:rsid w:val="00192340"/>
    <w:rsid w:val="001A1BC3"/>
    <w:rsid w:val="001A57EA"/>
    <w:rsid w:val="001A6E3E"/>
    <w:rsid w:val="001B7786"/>
    <w:rsid w:val="001B7C34"/>
    <w:rsid w:val="001C3FBE"/>
    <w:rsid w:val="001D1716"/>
    <w:rsid w:val="001F32FB"/>
    <w:rsid w:val="001F4583"/>
    <w:rsid w:val="001F5613"/>
    <w:rsid w:val="00213926"/>
    <w:rsid w:val="002279CF"/>
    <w:rsid w:val="00235A78"/>
    <w:rsid w:val="0023715A"/>
    <w:rsid w:val="00256068"/>
    <w:rsid w:val="00267434"/>
    <w:rsid w:val="00271F9B"/>
    <w:rsid w:val="002814AD"/>
    <w:rsid w:val="00296732"/>
    <w:rsid w:val="0029772E"/>
    <w:rsid w:val="002B3B82"/>
    <w:rsid w:val="002B631F"/>
    <w:rsid w:val="002C1FFE"/>
    <w:rsid w:val="002D1ADD"/>
    <w:rsid w:val="002E3862"/>
    <w:rsid w:val="002E6308"/>
    <w:rsid w:val="002F76B6"/>
    <w:rsid w:val="003018E3"/>
    <w:rsid w:val="00304CAC"/>
    <w:rsid w:val="00306A9B"/>
    <w:rsid w:val="00315EF6"/>
    <w:rsid w:val="00343EC0"/>
    <w:rsid w:val="00360614"/>
    <w:rsid w:val="0037109C"/>
    <w:rsid w:val="00376924"/>
    <w:rsid w:val="00384BF8"/>
    <w:rsid w:val="00397668"/>
    <w:rsid w:val="003B18E7"/>
    <w:rsid w:val="003B3DD1"/>
    <w:rsid w:val="003B7973"/>
    <w:rsid w:val="003E73BE"/>
    <w:rsid w:val="003F0DB6"/>
    <w:rsid w:val="004034A0"/>
    <w:rsid w:val="004047BB"/>
    <w:rsid w:val="00422CEA"/>
    <w:rsid w:val="0042687D"/>
    <w:rsid w:val="00435AAA"/>
    <w:rsid w:val="0043788F"/>
    <w:rsid w:val="00437D9E"/>
    <w:rsid w:val="004455D0"/>
    <w:rsid w:val="00482314"/>
    <w:rsid w:val="00482ADF"/>
    <w:rsid w:val="004963D1"/>
    <w:rsid w:val="004A2531"/>
    <w:rsid w:val="004A5698"/>
    <w:rsid w:val="004B0725"/>
    <w:rsid w:val="004B3785"/>
    <w:rsid w:val="004D1DCF"/>
    <w:rsid w:val="004E0201"/>
    <w:rsid w:val="004F39D7"/>
    <w:rsid w:val="005027DE"/>
    <w:rsid w:val="00511F98"/>
    <w:rsid w:val="005175BA"/>
    <w:rsid w:val="00524ECC"/>
    <w:rsid w:val="00525A1D"/>
    <w:rsid w:val="00563C6E"/>
    <w:rsid w:val="0057027B"/>
    <w:rsid w:val="00596600"/>
    <w:rsid w:val="005A38B0"/>
    <w:rsid w:val="005A4982"/>
    <w:rsid w:val="005D1022"/>
    <w:rsid w:val="00604F38"/>
    <w:rsid w:val="00607AAA"/>
    <w:rsid w:val="006228BC"/>
    <w:rsid w:val="00647907"/>
    <w:rsid w:val="0065710F"/>
    <w:rsid w:val="00662DA2"/>
    <w:rsid w:val="00665B9C"/>
    <w:rsid w:val="006716CC"/>
    <w:rsid w:val="00676EC3"/>
    <w:rsid w:val="006775C9"/>
    <w:rsid w:val="00687538"/>
    <w:rsid w:val="00693773"/>
    <w:rsid w:val="00694726"/>
    <w:rsid w:val="006C4DB1"/>
    <w:rsid w:val="006D4206"/>
    <w:rsid w:val="006D4AB2"/>
    <w:rsid w:val="006D5DC7"/>
    <w:rsid w:val="006E5E0A"/>
    <w:rsid w:val="006E6120"/>
    <w:rsid w:val="006F4BE7"/>
    <w:rsid w:val="006F6203"/>
    <w:rsid w:val="00703F38"/>
    <w:rsid w:val="0070580F"/>
    <w:rsid w:val="00720C64"/>
    <w:rsid w:val="0074621A"/>
    <w:rsid w:val="00747828"/>
    <w:rsid w:val="007529EE"/>
    <w:rsid w:val="00760711"/>
    <w:rsid w:val="00764CA2"/>
    <w:rsid w:val="00767CA3"/>
    <w:rsid w:val="00773D62"/>
    <w:rsid w:val="00775B36"/>
    <w:rsid w:val="007A0921"/>
    <w:rsid w:val="007A3DE3"/>
    <w:rsid w:val="007C393C"/>
    <w:rsid w:val="007C645C"/>
    <w:rsid w:val="007D7A55"/>
    <w:rsid w:val="00800B23"/>
    <w:rsid w:val="00801082"/>
    <w:rsid w:val="008047D5"/>
    <w:rsid w:val="008058FA"/>
    <w:rsid w:val="00810DAA"/>
    <w:rsid w:val="00811DDB"/>
    <w:rsid w:val="00832FC2"/>
    <w:rsid w:val="00833C4C"/>
    <w:rsid w:val="008463AE"/>
    <w:rsid w:val="008564A9"/>
    <w:rsid w:val="00866A33"/>
    <w:rsid w:val="008728C9"/>
    <w:rsid w:val="0088210A"/>
    <w:rsid w:val="00885135"/>
    <w:rsid w:val="00885FC4"/>
    <w:rsid w:val="00887A27"/>
    <w:rsid w:val="008947A6"/>
    <w:rsid w:val="008A15A0"/>
    <w:rsid w:val="008B0A16"/>
    <w:rsid w:val="008B11B8"/>
    <w:rsid w:val="008C043D"/>
    <w:rsid w:val="008C382F"/>
    <w:rsid w:val="008C4013"/>
    <w:rsid w:val="008C4710"/>
    <w:rsid w:val="008C4D55"/>
    <w:rsid w:val="008D24F7"/>
    <w:rsid w:val="008D54DC"/>
    <w:rsid w:val="008E4635"/>
    <w:rsid w:val="009015E4"/>
    <w:rsid w:val="00906FAA"/>
    <w:rsid w:val="00910632"/>
    <w:rsid w:val="009108AD"/>
    <w:rsid w:val="009248D0"/>
    <w:rsid w:val="0093027D"/>
    <w:rsid w:val="00936DB3"/>
    <w:rsid w:val="00941B6D"/>
    <w:rsid w:val="00957816"/>
    <w:rsid w:val="00961F0E"/>
    <w:rsid w:val="00986A5D"/>
    <w:rsid w:val="00987F27"/>
    <w:rsid w:val="0099685A"/>
    <w:rsid w:val="009B7AC7"/>
    <w:rsid w:val="009C1AFA"/>
    <w:rsid w:val="009C5D02"/>
    <w:rsid w:val="009D03AC"/>
    <w:rsid w:val="009F13BE"/>
    <w:rsid w:val="009F5657"/>
    <w:rsid w:val="00A00303"/>
    <w:rsid w:val="00A26720"/>
    <w:rsid w:val="00A369EA"/>
    <w:rsid w:val="00A53F6D"/>
    <w:rsid w:val="00A600A5"/>
    <w:rsid w:val="00A61183"/>
    <w:rsid w:val="00A70283"/>
    <w:rsid w:val="00A74C84"/>
    <w:rsid w:val="00A83051"/>
    <w:rsid w:val="00A918B3"/>
    <w:rsid w:val="00A92526"/>
    <w:rsid w:val="00A95F35"/>
    <w:rsid w:val="00AB1B6F"/>
    <w:rsid w:val="00AC32EC"/>
    <w:rsid w:val="00AD4119"/>
    <w:rsid w:val="00AD4844"/>
    <w:rsid w:val="00AE2AA1"/>
    <w:rsid w:val="00AF0B29"/>
    <w:rsid w:val="00B07CB1"/>
    <w:rsid w:val="00B13A00"/>
    <w:rsid w:val="00B172D8"/>
    <w:rsid w:val="00B3149F"/>
    <w:rsid w:val="00B34468"/>
    <w:rsid w:val="00B513F8"/>
    <w:rsid w:val="00B54B9C"/>
    <w:rsid w:val="00B601B3"/>
    <w:rsid w:val="00B942A6"/>
    <w:rsid w:val="00BA284B"/>
    <w:rsid w:val="00BB22DE"/>
    <w:rsid w:val="00BB5692"/>
    <w:rsid w:val="00BB6CC9"/>
    <w:rsid w:val="00BE7EF8"/>
    <w:rsid w:val="00BF3D3F"/>
    <w:rsid w:val="00BF47D6"/>
    <w:rsid w:val="00C261C6"/>
    <w:rsid w:val="00C40F35"/>
    <w:rsid w:val="00C43427"/>
    <w:rsid w:val="00C45883"/>
    <w:rsid w:val="00C51237"/>
    <w:rsid w:val="00C643BB"/>
    <w:rsid w:val="00C70DD2"/>
    <w:rsid w:val="00C736F3"/>
    <w:rsid w:val="00C8690F"/>
    <w:rsid w:val="00C9550B"/>
    <w:rsid w:val="00CB185A"/>
    <w:rsid w:val="00CB72EF"/>
    <w:rsid w:val="00CC09F1"/>
    <w:rsid w:val="00CC17D4"/>
    <w:rsid w:val="00CC41B0"/>
    <w:rsid w:val="00CC52F7"/>
    <w:rsid w:val="00CC69A3"/>
    <w:rsid w:val="00CD152C"/>
    <w:rsid w:val="00CE19A2"/>
    <w:rsid w:val="00D10024"/>
    <w:rsid w:val="00D12DD4"/>
    <w:rsid w:val="00D3218A"/>
    <w:rsid w:val="00D34163"/>
    <w:rsid w:val="00D348E3"/>
    <w:rsid w:val="00D5239C"/>
    <w:rsid w:val="00D54330"/>
    <w:rsid w:val="00D55363"/>
    <w:rsid w:val="00D60FFB"/>
    <w:rsid w:val="00D612C9"/>
    <w:rsid w:val="00D6228A"/>
    <w:rsid w:val="00D6302F"/>
    <w:rsid w:val="00D65B79"/>
    <w:rsid w:val="00D73515"/>
    <w:rsid w:val="00D82252"/>
    <w:rsid w:val="00D8724F"/>
    <w:rsid w:val="00DA4223"/>
    <w:rsid w:val="00DA6F92"/>
    <w:rsid w:val="00DC3B6D"/>
    <w:rsid w:val="00DD659D"/>
    <w:rsid w:val="00DE2ED5"/>
    <w:rsid w:val="00DE3B95"/>
    <w:rsid w:val="00DE706C"/>
    <w:rsid w:val="00DF37AD"/>
    <w:rsid w:val="00DF4846"/>
    <w:rsid w:val="00E21F7D"/>
    <w:rsid w:val="00E27341"/>
    <w:rsid w:val="00E47EB0"/>
    <w:rsid w:val="00E83BEC"/>
    <w:rsid w:val="00E96A9E"/>
    <w:rsid w:val="00EA0DC7"/>
    <w:rsid w:val="00EB09A4"/>
    <w:rsid w:val="00EB2285"/>
    <w:rsid w:val="00EB3373"/>
    <w:rsid w:val="00EB7061"/>
    <w:rsid w:val="00EC072F"/>
    <w:rsid w:val="00EC743F"/>
    <w:rsid w:val="00ED41D0"/>
    <w:rsid w:val="00EE5E36"/>
    <w:rsid w:val="00F23AEF"/>
    <w:rsid w:val="00F242C3"/>
    <w:rsid w:val="00F251E6"/>
    <w:rsid w:val="00F35A98"/>
    <w:rsid w:val="00F54A55"/>
    <w:rsid w:val="00F554FC"/>
    <w:rsid w:val="00F6219E"/>
    <w:rsid w:val="00F76742"/>
    <w:rsid w:val="00F76CF5"/>
    <w:rsid w:val="00F82B33"/>
    <w:rsid w:val="00F84578"/>
    <w:rsid w:val="00F86C2F"/>
    <w:rsid w:val="00F92EC2"/>
    <w:rsid w:val="00F9589B"/>
    <w:rsid w:val="00F978B7"/>
    <w:rsid w:val="00FD0BBE"/>
    <w:rsid w:val="00FD69C4"/>
    <w:rsid w:val="00FE1E81"/>
    <w:rsid w:val="00FF5DB7"/>
    <w:rsid w:val="02053585"/>
    <w:rsid w:val="036E6B8F"/>
    <w:rsid w:val="08D6430E"/>
    <w:rsid w:val="09DE78F8"/>
    <w:rsid w:val="0A67530A"/>
    <w:rsid w:val="0B035072"/>
    <w:rsid w:val="0CF22A69"/>
    <w:rsid w:val="105A5E61"/>
    <w:rsid w:val="108A2DF9"/>
    <w:rsid w:val="11AA47E0"/>
    <w:rsid w:val="1266656A"/>
    <w:rsid w:val="131F5562"/>
    <w:rsid w:val="13AD63F3"/>
    <w:rsid w:val="14391855"/>
    <w:rsid w:val="16306096"/>
    <w:rsid w:val="17C77300"/>
    <w:rsid w:val="19502AFF"/>
    <w:rsid w:val="1B291601"/>
    <w:rsid w:val="1CB50EF1"/>
    <w:rsid w:val="1EC23530"/>
    <w:rsid w:val="204503B4"/>
    <w:rsid w:val="20DA4B74"/>
    <w:rsid w:val="22F216A1"/>
    <w:rsid w:val="233E37DA"/>
    <w:rsid w:val="25173FCE"/>
    <w:rsid w:val="27A91D03"/>
    <w:rsid w:val="27CD3B44"/>
    <w:rsid w:val="27FF0A5B"/>
    <w:rsid w:val="2B10631A"/>
    <w:rsid w:val="2C847ADB"/>
    <w:rsid w:val="2D0B64C8"/>
    <w:rsid w:val="2D391D32"/>
    <w:rsid w:val="2D46497D"/>
    <w:rsid w:val="3053286B"/>
    <w:rsid w:val="30B0352C"/>
    <w:rsid w:val="315E5DFF"/>
    <w:rsid w:val="326E666F"/>
    <w:rsid w:val="328C6216"/>
    <w:rsid w:val="33B666B0"/>
    <w:rsid w:val="33B913DF"/>
    <w:rsid w:val="340A210E"/>
    <w:rsid w:val="34AF0959"/>
    <w:rsid w:val="34D66156"/>
    <w:rsid w:val="35637F9E"/>
    <w:rsid w:val="36E663B5"/>
    <w:rsid w:val="37574FAB"/>
    <w:rsid w:val="38EA61E0"/>
    <w:rsid w:val="38F22CCA"/>
    <w:rsid w:val="395D4074"/>
    <w:rsid w:val="3A3E72E2"/>
    <w:rsid w:val="3A6B73AC"/>
    <w:rsid w:val="3B867CFA"/>
    <w:rsid w:val="3C123DE9"/>
    <w:rsid w:val="3E0D49DA"/>
    <w:rsid w:val="3F6673F9"/>
    <w:rsid w:val="4026103C"/>
    <w:rsid w:val="415F544E"/>
    <w:rsid w:val="419E39E2"/>
    <w:rsid w:val="41EF6E0A"/>
    <w:rsid w:val="429C3397"/>
    <w:rsid w:val="42B13EE8"/>
    <w:rsid w:val="434C6AD0"/>
    <w:rsid w:val="440151C0"/>
    <w:rsid w:val="45E4788C"/>
    <w:rsid w:val="45F2200E"/>
    <w:rsid w:val="465124F1"/>
    <w:rsid w:val="46C500F1"/>
    <w:rsid w:val="475A1448"/>
    <w:rsid w:val="47EF2794"/>
    <w:rsid w:val="4826706B"/>
    <w:rsid w:val="48EF04F5"/>
    <w:rsid w:val="4AA707D6"/>
    <w:rsid w:val="4CC96E79"/>
    <w:rsid w:val="4CD763F9"/>
    <w:rsid w:val="4D9F49DA"/>
    <w:rsid w:val="4E011FAF"/>
    <w:rsid w:val="4F7F0520"/>
    <w:rsid w:val="4FF26343"/>
    <w:rsid w:val="501A5998"/>
    <w:rsid w:val="5053621A"/>
    <w:rsid w:val="547A6E78"/>
    <w:rsid w:val="54AB4E41"/>
    <w:rsid w:val="54CA08DE"/>
    <w:rsid w:val="567820CA"/>
    <w:rsid w:val="568048F7"/>
    <w:rsid w:val="56866800"/>
    <w:rsid w:val="575874D7"/>
    <w:rsid w:val="58C12AF6"/>
    <w:rsid w:val="58F87475"/>
    <w:rsid w:val="5AE72B3A"/>
    <w:rsid w:val="5B3E66B6"/>
    <w:rsid w:val="5C497514"/>
    <w:rsid w:val="5FD46D3D"/>
    <w:rsid w:val="604275B7"/>
    <w:rsid w:val="65A605D0"/>
    <w:rsid w:val="66730C11"/>
    <w:rsid w:val="67FB7465"/>
    <w:rsid w:val="68D63C0D"/>
    <w:rsid w:val="690A6225"/>
    <w:rsid w:val="695F21C6"/>
    <w:rsid w:val="69747285"/>
    <w:rsid w:val="6A9360E0"/>
    <w:rsid w:val="6B513865"/>
    <w:rsid w:val="6D1D463D"/>
    <w:rsid w:val="6D6303D8"/>
    <w:rsid w:val="6DBC0971"/>
    <w:rsid w:val="6DD00D5A"/>
    <w:rsid w:val="6E305C2D"/>
    <w:rsid w:val="6E631312"/>
    <w:rsid w:val="6E9A3775"/>
    <w:rsid w:val="6F0C0052"/>
    <w:rsid w:val="71801AB8"/>
    <w:rsid w:val="73F109DD"/>
    <w:rsid w:val="74BD2234"/>
    <w:rsid w:val="769D4E6E"/>
    <w:rsid w:val="784C7759"/>
    <w:rsid w:val="7A561865"/>
    <w:rsid w:val="7E0B21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center"/>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Text"/>
    <w:qFormat/>
    <w:uiPriority w:val="0"/>
    <w:pPr>
      <w:widowControl w:val="0"/>
      <w:spacing w:after="120"/>
      <w:jc w:val="both"/>
      <w:textAlignment w:val="baseline"/>
    </w:pPr>
    <w:rPr>
      <w:rFonts w:ascii="Times New Roman" w:hAnsi="Times New Roman" w:eastAsia="宋体" w:cs="Times New Roman"/>
      <w:kern w:val="2"/>
      <w:sz w:val="21"/>
      <w:szCs w:val="24"/>
      <w:lang w:val="en-US" w:eastAsia="zh-CN" w:bidi="ar-SA"/>
    </w:rPr>
  </w:style>
  <w:style w:type="paragraph" w:styleId="5">
    <w:name w:val="Document Map"/>
    <w:basedOn w:val="1"/>
    <w:link w:val="25"/>
    <w:semiHidden/>
    <w:unhideWhenUsed/>
    <w:qFormat/>
    <w:uiPriority w:val="99"/>
    <w:rPr>
      <w:rFonts w:ascii="宋体"/>
      <w:sz w:val="18"/>
      <w:szCs w:val="18"/>
    </w:rPr>
  </w:style>
  <w:style w:type="paragraph" w:styleId="6">
    <w:name w:val="annotation text"/>
    <w:basedOn w:val="1"/>
    <w:link w:val="29"/>
    <w:unhideWhenUsed/>
    <w:qFormat/>
    <w:uiPriority w:val="99"/>
  </w:style>
  <w:style w:type="paragraph" w:styleId="7">
    <w:name w:val="Body Text"/>
    <w:basedOn w:val="1"/>
    <w:next w:val="1"/>
    <w:qFormat/>
    <w:uiPriority w:val="0"/>
    <w:pPr>
      <w:spacing w:after="120"/>
    </w:pPr>
    <w:rPr>
      <w:rFonts w:ascii="Calibri" w:hAnsi="Calibri"/>
    </w:rPr>
  </w:style>
  <w:style w:type="paragraph" w:styleId="8">
    <w:name w:val="Plain Text"/>
    <w:basedOn w:val="1"/>
    <w:link w:val="23"/>
    <w:qFormat/>
    <w:uiPriority w:val="0"/>
    <w:rPr>
      <w:rFonts w:ascii="宋体" w:hAnsi="Courier New"/>
      <w:szCs w:val="20"/>
    </w:rPr>
  </w:style>
  <w:style w:type="paragraph" w:styleId="9">
    <w:name w:val="Balloon Text"/>
    <w:basedOn w:val="1"/>
    <w:link w:val="28"/>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pPr>
    <w:rPr>
      <w:sz w:val="18"/>
      <w:szCs w:val="18"/>
    </w:rPr>
  </w:style>
  <w:style w:type="paragraph" w:styleId="11">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30"/>
    <w:semiHidden/>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character" w:customStyle="1" w:styleId="17">
    <w:name w:val="页眉 字符"/>
    <w:basedOn w:val="15"/>
    <w:link w:val="11"/>
    <w:semiHidden/>
    <w:qFormat/>
    <w:uiPriority w:val="99"/>
    <w:rPr>
      <w:sz w:val="18"/>
      <w:szCs w:val="18"/>
    </w:rPr>
  </w:style>
  <w:style w:type="character" w:customStyle="1" w:styleId="18">
    <w:name w:val="页脚 字符"/>
    <w:basedOn w:val="15"/>
    <w:link w:val="10"/>
    <w:qFormat/>
    <w:uiPriority w:val="99"/>
    <w:rPr>
      <w:sz w:val="18"/>
      <w:szCs w:val="18"/>
    </w:rPr>
  </w:style>
  <w:style w:type="paragraph" w:customStyle="1" w:styleId="19">
    <w:name w:val="_Style 1"/>
    <w:basedOn w:val="1"/>
    <w:qFormat/>
    <w:uiPriority w:val="34"/>
    <w:pPr>
      <w:ind w:firstLine="420" w:firstLineChars="200"/>
    </w:pPr>
    <w:rPr>
      <w:rFonts w:ascii="Calibri" w:hAnsi="Calibri"/>
      <w:szCs w:val="22"/>
    </w:rPr>
  </w:style>
  <w:style w:type="character" w:customStyle="1" w:styleId="20">
    <w:name w:val="Character Style 2"/>
    <w:qFormat/>
    <w:uiPriority w:val="99"/>
    <w:rPr>
      <w:sz w:val="20"/>
      <w:szCs w:val="20"/>
    </w:rPr>
  </w:style>
  <w:style w:type="character" w:customStyle="1" w:styleId="21">
    <w:name w:val="Character Style 1"/>
    <w:qFormat/>
    <w:uiPriority w:val="99"/>
    <w:rPr>
      <w:sz w:val="20"/>
    </w:rPr>
  </w:style>
  <w:style w:type="character" w:customStyle="1" w:styleId="22">
    <w:name w:val="纯文本 Char"/>
    <w:basedOn w:val="15"/>
    <w:semiHidden/>
    <w:qFormat/>
    <w:uiPriority w:val="99"/>
    <w:rPr>
      <w:rFonts w:ascii="宋体" w:hAnsi="Courier New" w:eastAsia="宋体" w:cs="Courier New"/>
      <w:szCs w:val="21"/>
    </w:rPr>
  </w:style>
  <w:style w:type="character" w:customStyle="1" w:styleId="23">
    <w:name w:val="纯文本 字符"/>
    <w:link w:val="8"/>
    <w:qFormat/>
    <w:locked/>
    <w:uiPriority w:val="0"/>
    <w:rPr>
      <w:rFonts w:ascii="宋体" w:hAnsi="Courier New" w:eastAsia="宋体" w:cs="Times New Roman"/>
      <w:szCs w:val="20"/>
    </w:rPr>
  </w:style>
  <w:style w:type="paragraph" w:styleId="24">
    <w:name w:val="List Paragraph"/>
    <w:basedOn w:val="1"/>
    <w:qFormat/>
    <w:uiPriority w:val="34"/>
    <w:pPr>
      <w:ind w:firstLine="420" w:firstLineChars="200"/>
    </w:pPr>
    <w:rPr>
      <w:rFonts w:ascii="Calibri" w:hAnsi="Calibri"/>
      <w:szCs w:val="22"/>
    </w:rPr>
  </w:style>
  <w:style w:type="character" w:customStyle="1" w:styleId="25">
    <w:name w:val="文档结构图 字符"/>
    <w:basedOn w:val="15"/>
    <w:link w:val="5"/>
    <w:semiHidden/>
    <w:qFormat/>
    <w:uiPriority w:val="99"/>
    <w:rPr>
      <w:rFonts w:ascii="宋体" w:hAnsi="Times New Roman" w:eastAsia="宋体" w:cs="Times New Roman"/>
      <w:sz w:val="18"/>
      <w:szCs w:val="18"/>
    </w:rPr>
  </w:style>
  <w:style w:type="character" w:customStyle="1" w:styleId="26">
    <w:name w:val="标题 1 字符"/>
    <w:basedOn w:val="15"/>
    <w:link w:val="3"/>
    <w:qFormat/>
    <w:uiPriority w:val="9"/>
    <w:rPr>
      <w:rFonts w:ascii="Times New Roman" w:hAnsi="Times New Roman" w:eastAsia="宋体" w:cs="Times New Roman"/>
      <w:b/>
      <w:bCs/>
      <w:kern w:val="44"/>
      <w:sz w:val="44"/>
      <w:szCs w:val="44"/>
    </w:rPr>
  </w:style>
  <w:style w:type="character" w:customStyle="1" w:styleId="27">
    <w:name w:val="标题 2 字符"/>
    <w:basedOn w:val="15"/>
    <w:link w:val="4"/>
    <w:qFormat/>
    <w:uiPriority w:val="9"/>
    <w:rPr>
      <w:rFonts w:asciiTheme="majorHAnsi" w:hAnsiTheme="majorHAnsi" w:eastAsiaTheme="majorEastAsia" w:cstheme="majorBidi"/>
      <w:b/>
      <w:bCs/>
      <w:kern w:val="2"/>
      <w:sz w:val="32"/>
      <w:szCs w:val="32"/>
    </w:rPr>
  </w:style>
  <w:style w:type="character" w:customStyle="1" w:styleId="28">
    <w:name w:val="批注框文本 字符"/>
    <w:basedOn w:val="15"/>
    <w:link w:val="9"/>
    <w:semiHidden/>
    <w:qFormat/>
    <w:uiPriority w:val="99"/>
    <w:rPr>
      <w:rFonts w:ascii="Times New Roman" w:hAnsi="Times New Roman" w:eastAsia="宋体" w:cs="Times New Roman"/>
      <w:kern w:val="2"/>
      <w:sz w:val="18"/>
      <w:szCs w:val="18"/>
    </w:rPr>
  </w:style>
  <w:style w:type="character" w:customStyle="1" w:styleId="29">
    <w:name w:val="批注文字 字符"/>
    <w:basedOn w:val="15"/>
    <w:link w:val="6"/>
    <w:qFormat/>
    <w:uiPriority w:val="99"/>
    <w:rPr>
      <w:kern w:val="2"/>
      <w:sz w:val="21"/>
      <w:szCs w:val="24"/>
    </w:rPr>
  </w:style>
  <w:style w:type="character" w:customStyle="1" w:styleId="30">
    <w:name w:val="批注主题 字符"/>
    <w:basedOn w:val="29"/>
    <w:link w:val="12"/>
    <w:semiHidden/>
    <w:qFormat/>
    <w:uiPriority w:val="99"/>
    <w:rPr>
      <w:b/>
      <w:bCs/>
      <w:kern w:val="2"/>
      <w:sz w:val="21"/>
      <w:szCs w:val="24"/>
    </w:r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CAE914-945C-48AF-976B-C34E3F933103}">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19</Pages>
  <Words>5638</Words>
  <Characters>5809</Characters>
  <Lines>52</Lines>
  <Paragraphs>14</Paragraphs>
  <TotalTime>10</TotalTime>
  <ScaleCrop>false</ScaleCrop>
  <LinksUpToDate>false</LinksUpToDate>
  <CharactersWithSpaces>6010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2025-02-28T02:25:00Z</dcterms:created>
  <dc:creator>禤炜安</dc:creator>
  <cp:lastModifiedBy>上邪</cp:lastModifiedBy>
  <cp:lastPrinted>2026-03-17T01:33:22Z</cp:lastPrinted>
  <dcterms:modified xsi:type="dcterms:W3CDTF">2026-03-17T01:33:36Z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94F568F966324D769AC85AEE9CAD4415_13</vt:lpwstr>
  </property>
  <property fmtid="{D5CDD505-2E9C-101B-9397-08002B2CF9AE}" pid="4" name="KSOTemplateDocerSaveRecord">
    <vt:lpwstr>eyJoZGlkIjoiYjJjOTQxYzhjODMyMDAzZmE0MDJkMWFkNmJlNDkwYTUiLCJ1c2VySWQiOiI0MzI4NDczNDUifQ==</vt:lpwstr>
  </property>
</Properties>
</file>