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8CD96">
      <w:pPr>
        <w:rPr>
          <w:color w:val="auto"/>
          <w:highlight w:val="none"/>
        </w:rPr>
      </w:pPr>
    </w:p>
    <w:p w14:paraId="0C29A01F">
      <w:pPr>
        <w:spacing w:line="560" w:lineRule="exact"/>
        <w:jc w:val="center"/>
        <w:rPr>
          <w:rFonts w:ascii="华文中宋" w:hAnsi="华文中宋" w:eastAsia="华文中宋"/>
          <w:b/>
          <w:color w:val="auto"/>
          <w:sz w:val="52"/>
          <w:szCs w:val="52"/>
          <w:highlight w:val="none"/>
        </w:rPr>
      </w:pPr>
    </w:p>
    <w:p w14:paraId="3B94930E">
      <w:pPr>
        <w:spacing w:line="560" w:lineRule="exact"/>
        <w:jc w:val="center"/>
        <w:rPr>
          <w:rFonts w:hint="eastAsia" w:ascii="方正小标宋_GBK" w:hAnsi="黑体" w:eastAsia="方正小标宋_GBK"/>
          <w:color w:val="auto"/>
          <w:spacing w:val="-10"/>
          <w:sz w:val="48"/>
          <w:szCs w:val="44"/>
          <w:highlight w:val="none"/>
        </w:rPr>
      </w:pPr>
      <w:r>
        <w:rPr>
          <w:rFonts w:hint="eastAsia" w:ascii="方正小标宋_GBK" w:hAnsi="黑体" w:eastAsia="方正小标宋_GBK"/>
          <w:color w:val="auto"/>
          <w:spacing w:val="-10"/>
          <w:sz w:val="48"/>
          <w:szCs w:val="44"/>
          <w:highlight w:val="none"/>
        </w:rPr>
        <w:t>广西壮族自治区交通运输综合行政执法局桌面软件运维服务项目</w:t>
      </w:r>
    </w:p>
    <w:p w14:paraId="7176BE3B">
      <w:pPr>
        <w:spacing w:line="560" w:lineRule="exact"/>
        <w:jc w:val="center"/>
        <w:rPr>
          <w:rFonts w:ascii="方正小标宋_GBK" w:hAnsi="黑体" w:eastAsia="方正小标宋_GBK"/>
          <w:color w:val="auto"/>
          <w:sz w:val="48"/>
          <w:szCs w:val="44"/>
          <w:highlight w:val="none"/>
        </w:rPr>
      </w:pPr>
      <w:r>
        <w:rPr>
          <w:rFonts w:hint="eastAsia" w:ascii="方正小标宋_GBK" w:hAnsi="黑体" w:eastAsia="方正小标宋_GBK"/>
          <w:color w:val="auto"/>
          <w:spacing w:val="-10"/>
          <w:sz w:val="48"/>
          <w:szCs w:val="44"/>
          <w:highlight w:val="none"/>
        </w:rPr>
        <w:t>询价采购文件</w:t>
      </w:r>
    </w:p>
    <w:p w14:paraId="325CB580">
      <w:pPr>
        <w:rPr>
          <w:color w:val="auto"/>
          <w:highlight w:val="none"/>
        </w:rPr>
      </w:pPr>
    </w:p>
    <w:p w14:paraId="278FEDF3">
      <w:pPr>
        <w:rPr>
          <w:color w:val="auto"/>
          <w:highlight w:val="none"/>
        </w:rPr>
      </w:pPr>
    </w:p>
    <w:p w14:paraId="1CFFC11D">
      <w:pPr>
        <w:rPr>
          <w:color w:val="auto"/>
          <w:highlight w:val="none"/>
        </w:rPr>
      </w:pPr>
    </w:p>
    <w:p w14:paraId="6DC17FB0">
      <w:pPr>
        <w:rPr>
          <w:color w:val="auto"/>
          <w:highlight w:val="none"/>
        </w:rPr>
      </w:pPr>
    </w:p>
    <w:p w14:paraId="5D8D9AAC">
      <w:pPr>
        <w:rPr>
          <w:color w:val="auto"/>
          <w:highlight w:val="none"/>
        </w:rPr>
      </w:pPr>
    </w:p>
    <w:p w14:paraId="75498E1D">
      <w:pPr>
        <w:jc w:val="center"/>
        <w:rPr>
          <w:b/>
          <w:color w:val="auto"/>
          <w:sz w:val="84"/>
          <w:szCs w:val="84"/>
          <w:highlight w:val="none"/>
        </w:rPr>
      </w:pPr>
    </w:p>
    <w:p w14:paraId="6C7A1B61">
      <w:pPr>
        <w:rPr>
          <w:color w:val="auto"/>
          <w:highlight w:val="none"/>
        </w:rPr>
      </w:pPr>
    </w:p>
    <w:p w14:paraId="6DF0B91A">
      <w:pPr>
        <w:rPr>
          <w:color w:val="auto"/>
          <w:highlight w:val="none"/>
        </w:rPr>
      </w:pPr>
    </w:p>
    <w:p w14:paraId="1838F8ED">
      <w:pPr>
        <w:rPr>
          <w:color w:val="auto"/>
          <w:highlight w:val="none"/>
        </w:rPr>
      </w:pPr>
    </w:p>
    <w:p w14:paraId="49C7F83A">
      <w:pPr>
        <w:rPr>
          <w:color w:val="auto"/>
          <w:highlight w:val="none"/>
        </w:rPr>
      </w:pPr>
    </w:p>
    <w:p w14:paraId="7CBDB16D">
      <w:pPr>
        <w:rPr>
          <w:color w:val="auto"/>
          <w:highlight w:val="none"/>
        </w:rPr>
      </w:pPr>
    </w:p>
    <w:p w14:paraId="2B20D711">
      <w:pPr>
        <w:rPr>
          <w:b/>
          <w:color w:val="auto"/>
          <w:sz w:val="36"/>
          <w:szCs w:val="36"/>
          <w:highlight w:val="none"/>
        </w:rPr>
      </w:pPr>
    </w:p>
    <w:p w14:paraId="2551015B">
      <w:pPr>
        <w:rPr>
          <w:b/>
          <w:color w:val="auto"/>
          <w:sz w:val="36"/>
          <w:szCs w:val="36"/>
          <w:highlight w:val="none"/>
        </w:rPr>
      </w:pPr>
    </w:p>
    <w:p w14:paraId="5B69E5F0">
      <w:pPr>
        <w:rPr>
          <w:b/>
          <w:color w:val="auto"/>
          <w:sz w:val="36"/>
          <w:szCs w:val="36"/>
          <w:highlight w:val="none"/>
        </w:rPr>
      </w:pPr>
    </w:p>
    <w:p w14:paraId="03C501B9">
      <w:pPr>
        <w:rPr>
          <w:b/>
          <w:color w:val="auto"/>
          <w:sz w:val="36"/>
          <w:szCs w:val="36"/>
          <w:highlight w:val="none"/>
        </w:rPr>
      </w:pPr>
    </w:p>
    <w:p w14:paraId="5C15F5C8">
      <w:pPr>
        <w:rPr>
          <w:b/>
          <w:color w:val="auto"/>
          <w:sz w:val="36"/>
          <w:szCs w:val="36"/>
          <w:highlight w:val="none"/>
        </w:rPr>
      </w:pPr>
    </w:p>
    <w:p w14:paraId="3CD07DDA">
      <w:pPr>
        <w:rPr>
          <w:b/>
          <w:color w:val="auto"/>
          <w:sz w:val="44"/>
          <w:szCs w:val="44"/>
          <w:highlight w:val="none"/>
        </w:rPr>
      </w:pPr>
    </w:p>
    <w:p w14:paraId="0DF49458">
      <w:pPr>
        <w:rPr>
          <w:b/>
          <w:color w:val="auto"/>
          <w:sz w:val="44"/>
          <w:szCs w:val="44"/>
          <w:highlight w:val="none"/>
        </w:rPr>
      </w:pPr>
    </w:p>
    <w:p w14:paraId="417FFD3F">
      <w:pPr>
        <w:rPr>
          <w:rFonts w:ascii="仿宋_GB2312" w:eastAsia="仿宋_GB2312"/>
          <w:b/>
          <w:color w:val="auto"/>
          <w:sz w:val="36"/>
          <w:szCs w:val="36"/>
          <w:highlight w:val="none"/>
        </w:rPr>
      </w:pPr>
      <w:r>
        <w:rPr>
          <w:rFonts w:hint="eastAsia" w:ascii="仿宋_GB2312" w:eastAsia="仿宋_GB2312"/>
          <w:b/>
          <w:color w:val="auto"/>
          <w:sz w:val="36"/>
          <w:szCs w:val="36"/>
          <w:highlight w:val="none"/>
        </w:rPr>
        <w:t>采购单位：广西壮族自治区交通运输综合行政执法局</w:t>
      </w:r>
    </w:p>
    <w:p w14:paraId="30EFEB62">
      <w:pPr>
        <w:rPr>
          <w:rFonts w:ascii="仿宋_GB2312" w:eastAsia="仿宋_GB2312"/>
          <w:b/>
          <w:color w:val="auto"/>
          <w:sz w:val="36"/>
          <w:szCs w:val="36"/>
          <w:highlight w:val="none"/>
        </w:rPr>
      </w:pPr>
      <w:r>
        <w:rPr>
          <w:rFonts w:hint="eastAsia" w:ascii="仿宋_GB2312" w:eastAsia="仿宋_GB2312"/>
          <w:b/>
          <w:color w:val="auto"/>
          <w:sz w:val="36"/>
          <w:szCs w:val="36"/>
          <w:highlight w:val="none"/>
        </w:rPr>
        <w:t>日    期：        2026年</w:t>
      </w:r>
      <w:r>
        <w:rPr>
          <w:rFonts w:hint="eastAsia" w:ascii="仿宋_GB2312" w:eastAsia="仿宋_GB2312"/>
          <w:b/>
          <w:color w:val="auto"/>
          <w:sz w:val="36"/>
          <w:szCs w:val="36"/>
          <w:highlight w:val="none"/>
          <w:lang w:val="en-US" w:eastAsia="zh-CN"/>
        </w:rPr>
        <w:t>3</w:t>
      </w:r>
      <w:r>
        <w:rPr>
          <w:rFonts w:hint="eastAsia" w:ascii="仿宋_GB2312" w:eastAsia="仿宋_GB2312"/>
          <w:b/>
          <w:color w:val="auto"/>
          <w:sz w:val="36"/>
          <w:szCs w:val="36"/>
          <w:highlight w:val="none"/>
        </w:rPr>
        <w:t>月</w:t>
      </w:r>
      <w:r>
        <w:rPr>
          <w:rFonts w:hint="eastAsia" w:ascii="仿宋_GB2312" w:eastAsia="仿宋_GB2312"/>
          <w:b/>
          <w:color w:val="auto"/>
          <w:sz w:val="36"/>
          <w:szCs w:val="36"/>
          <w:highlight w:val="none"/>
          <w:lang w:val="en-US" w:eastAsia="zh-CN"/>
        </w:rPr>
        <w:t>17</w:t>
      </w:r>
      <w:r>
        <w:rPr>
          <w:rFonts w:hint="eastAsia" w:ascii="仿宋_GB2312" w:eastAsia="仿宋_GB2312"/>
          <w:b/>
          <w:color w:val="auto"/>
          <w:sz w:val="36"/>
          <w:szCs w:val="36"/>
          <w:highlight w:val="none"/>
        </w:rPr>
        <w:t>日</w:t>
      </w:r>
    </w:p>
    <w:p w14:paraId="4BDEFC48">
      <w:pPr>
        <w:rPr>
          <w:b/>
          <w:color w:val="auto"/>
          <w:sz w:val="36"/>
          <w:szCs w:val="36"/>
          <w:highlight w:val="none"/>
        </w:rPr>
      </w:pPr>
    </w:p>
    <w:p w14:paraId="014A62A8">
      <w:pPr>
        <w:rPr>
          <w:b/>
          <w:color w:val="auto"/>
          <w:sz w:val="36"/>
          <w:szCs w:val="36"/>
          <w:highlight w:val="none"/>
        </w:rPr>
      </w:pPr>
    </w:p>
    <w:p w14:paraId="7E659ACD">
      <w:pPr>
        <w:rPr>
          <w:b/>
          <w:color w:val="auto"/>
          <w:sz w:val="36"/>
          <w:szCs w:val="36"/>
          <w:highlight w:val="none"/>
        </w:rPr>
      </w:pPr>
    </w:p>
    <w:p w14:paraId="5D53B1DC">
      <w:pPr>
        <w:spacing w:line="560" w:lineRule="exact"/>
        <w:jc w:val="center"/>
        <w:rPr>
          <w:rFonts w:ascii="方正小标宋_GBK" w:hAnsi="华文中宋" w:eastAsia="方正小标宋_GBK"/>
          <w:color w:val="auto"/>
          <w:spacing w:val="-10"/>
          <w:sz w:val="44"/>
          <w:szCs w:val="44"/>
          <w:highlight w:val="none"/>
        </w:rPr>
      </w:pPr>
      <w:r>
        <w:rPr>
          <w:rFonts w:hint="eastAsia" w:ascii="方正小标宋_GBK" w:hAnsi="华文中宋" w:eastAsia="方正小标宋_GBK"/>
          <w:color w:val="auto"/>
          <w:spacing w:val="-10"/>
          <w:sz w:val="44"/>
          <w:szCs w:val="44"/>
          <w:highlight w:val="none"/>
        </w:rPr>
        <w:t>广西壮族自治区交通运输综合行政执法局</w:t>
      </w:r>
    </w:p>
    <w:p w14:paraId="15827C0E">
      <w:pPr>
        <w:spacing w:line="560" w:lineRule="exact"/>
        <w:jc w:val="center"/>
        <w:rPr>
          <w:rFonts w:ascii="方正小标宋_GBK" w:hAnsi="华文中宋" w:eastAsia="方正小标宋_GBK"/>
          <w:color w:val="auto"/>
          <w:spacing w:val="-10"/>
          <w:sz w:val="44"/>
          <w:szCs w:val="44"/>
          <w:highlight w:val="none"/>
        </w:rPr>
      </w:pPr>
      <w:r>
        <w:rPr>
          <w:rFonts w:hint="eastAsia" w:ascii="方正小标宋_GBK" w:hAnsi="黑体" w:eastAsia="方正小标宋_GBK"/>
          <w:color w:val="auto"/>
          <w:spacing w:val="-10"/>
          <w:sz w:val="48"/>
          <w:szCs w:val="44"/>
          <w:highlight w:val="none"/>
        </w:rPr>
        <w:t>桌面软件运维服务</w:t>
      </w:r>
      <w:r>
        <w:rPr>
          <w:rFonts w:hint="eastAsia" w:ascii="方正小标宋_GBK" w:hAnsi="华文中宋" w:eastAsia="方正小标宋_GBK"/>
          <w:color w:val="auto"/>
          <w:spacing w:val="-10"/>
          <w:sz w:val="44"/>
          <w:szCs w:val="44"/>
          <w:highlight w:val="none"/>
        </w:rPr>
        <w:t>项目采购报价供应商需知</w:t>
      </w:r>
    </w:p>
    <w:p w14:paraId="5A4B2147">
      <w:pPr>
        <w:pStyle w:val="3"/>
        <w:spacing w:before="0" w:after="0"/>
        <w:ind w:firstLine="562" w:firstLineChars="200"/>
        <w:rPr>
          <w:rFonts w:ascii="仿宋_GB2312" w:eastAsia="仿宋_GB2312"/>
          <w:color w:val="auto"/>
          <w:sz w:val="28"/>
          <w:szCs w:val="28"/>
          <w:highlight w:val="none"/>
        </w:rPr>
      </w:pPr>
    </w:p>
    <w:p w14:paraId="175CA9AC">
      <w:pPr>
        <w:pStyle w:val="3"/>
        <w:spacing w:before="0" w:after="0"/>
        <w:ind w:firstLine="562"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一、报价的准备和报价</w:t>
      </w:r>
    </w:p>
    <w:p w14:paraId="06D88CFE">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（一）报价方应认真审阅本询价采购文件，并按本文件的规定，提交完整的报价文件。</w:t>
      </w:r>
    </w:p>
    <w:p w14:paraId="4C5CBB9C">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（二）报价方应用人民币作报价。</w:t>
      </w:r>
    </w:p>
    <w:p w14:paraId="4CAE99D8">
      <w:pPr>
        <w:ind w:firstLine="600"/>
        <w:rPr>
          <w:rFonts w:ascii="仿宋_GB2312" w:eastAsia="仿宋_GB2312"/>
          <w:color w:val="auto"/>
          <w:sz w:val="28"/>
          <w:szCs w:val="28"/>
          <w:highlight w:val="none"/>
        </w:rPr>
      </w:pPr>
      <w:r>
        <w:rPr>
          <w:rFonts w:hint="eastAsia" w:ascii="仿宋_GB2312" w:eastAsia="仿宋_GB2312"/>
          <w:color w:val="auto"/>
          <w:sz w:val="28"/>
          <w:szCs w:val="28"/>
          <w:highlight w:val="none"/>
        </w:rPr>
        <w:t>（三）报价文件</w:t>
      </w:r>
    </w:p>
    <w:p w14:paraId="32E2F839">
      <w:pPr>
        <w:ind w:firstLine="600"/>
        <w:rPr>
          <w:rFonts w:ascii="仿宋_GB2312" w:eastAsia="仿宋_GB2312"/>
          <w:color w:val="auto"/>
          <w:sz w:val="28"/>
          <w:szCs w:val="28"/>
          <w:highlight w:val="none"/>
        </w:rPr>
      </w:pPr>
      <w:r>
        <w:rPr>
          <w:rFonts w:hint="eastAsia" w:ascii="仿宋_GB2312" w:eastAsia="仿宋_GB2312"/>
          <w:color w:val="auto"/>
          <w:sz w:val="28"/>
          <w:szCs w:val="28"/>
          <w:highlight w:val="none"/>
        </w:rPr>
        <w:t>1.报价文件应由报价方法定代表签署，如由代理人签字应有法定代表人的授权书，授权书必须有法定代表人的签字并盖章方可生效。报价文件不得涂改，否则报价文件作废。</w:t>
      </w:r>
    </w:p>
    <w:p w14:paraId="1B859E08">
      <w:pPr>
        <w:ind w:firstLine="600"/>
        <w:rPr>
          <w:rFonts w:ascii="仿宋_GB2312" w:eastAsia="仿宋_GB2312"/>
          <w:color w:val="auto"/>
          <w:sz w:val="28"/>
          <w:szCs w:val="28"/>
          <w:highlight w:val="none"/>
        </w:rPr>
      </w:pPr>
      <w:r>
        <w:rPr>
          <w:rFonts w:hint="eastAsia" w:ascii="仿宋_GB2312" w:eastAsia="仿宋_GB2312"/>
          <w:color w:val="auto"/>
          <w:sz w:val="28"/>
          <w:szCs w:val="28"/>
          <w:highlight w:val="none"/>
        </w:rPr>
        <w:t>2.报价方资格证明文件视为报价文件不可分割的一部分。</w:t>
      </w:r>
    </w:p>
    <w:p w14:paraId="00915D3B">
      <w:pPr>
        <w:ind w:firstLine="600"/>
        <w:rPr>
          <w:rFonts w:ascii="仿宋_GB2312" w:eastAsia="仿宋_GB2312"/>
          <w:color w:val="auto"/>
          <w:sz w:val="28"/>
          <w:szCs w:val="28"/>
          <w:highlight w:val="none"/>
        </w:rPr>
      </w:pPr>
      <w:r>
        <w:rPr>
          <w:rFonts w:hint="eastAsia" w:ascii="仿宋_GB2312" w:eastAsia="仿宋_GB2312"/>
          <w:color w:val="auto"/>
          <w:sz w:val="28"/>
          <w:szCs w:val="28"/>
          <w:highlight w:val="none"/>
        </w:rPr>
        <w:t>3.报价方应将报价文件用信封密封，信封封口处应加贴密封条，密封条应加盖公章或密封章。</w:t>
      </w:r>
    </w:p>
    <w:p w14:paraId="1A7DA14E">
      <w:pPr>
        <w:ind w:firstLine="600"/>
        <w:rPr>
          <w:rFonts w:ascii="仿宋_GB2312" w:eastAsia="仿宋_GB2312"/>
          <w:color w:val="auto"/>
          <w:sz w:val="28"/>
          <w:szCs w:val="28"/>
          <w:highlight w:val="none"/>
        </w:rPr>
      </w:pPr>
      <w:r>
        <w:rPr>
          <w:rFonts w:hint="eastAsia" w:ascii="仿宋_GB2312" w:eastAsia="仿宋_GB2312"/>
          <w:color w:val="auto"/>
          <w:sz w:val="28"/>
          <w:szCs w:val="28"/>
          <w:highlight w:val="none"/>
        </w:rPr>
        <w:t>4.报价方应对报价文件仔细核对和检查，报价后采购方不接收修改报价文件的意见，除非采购方</w:t>
      </w:r>
      <w:bookmarkStart w:id="4" w:name="_GoBack"/>
      <w:bookmarkEnd w:id="4"/>
      <w:r>
        <w:rPr>
          <w:rFonts w:hint="eastAsia" w:ascii="仿宋_GB2312" w:eastAsia="仿宋_GB2312"/>
          <w:color w:val="auto"/>
          <w:sz w:val="28"/>
          <w:szCs w:val="28"/>
          <w:highlight w:val="none"/>
        </w:rPr>
        <w:t>对采购文件某部分内容进行澄清，所有报价方应在规定的时间内书面答复。</w:t>
      </w:r>
    </w:p>
    <w:p w14:paraId="33F85B80">
      <w:pPr>
        <w:ind w:firstLine="600"/>
        <w:rPr>
          <w:rFonts w:ascii="仿宋_GB2312" w:eastAsia="仿宋_GB2312"/>
          <w:color w:val="auto"/>
          <w:sz w:val="28"/>
          <w:szCs w:val="28"/>
          <w:highlight w:val="none"/>
        </w:rPr>
      </w:pPr>
      <w:r>
        <w:rPr>
          <w:rFonts w:hint="eastAsia" w:ascii="仿宋_GB2312" w:eastAsia="仿宋_GB2312"/>
          <w:color w:val="auto"/>
          <w:sz w:val="28"/>
          <w:szCs w:val="28"/>
          <w:highlight w:val="none"/>
        </w:rPr>
        <w:t>5.报价时间及地点：报价方请于2026年</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25</w:t>
      </w:r>
      <w:r>
        <w:rPr>
          <w:rFonts w:hint="eastAsia" w:ascii="仿宋_GB2312" w:eastAsia="仿宋_GB2312"/>
          <w:color w:val="auto"/>
          <w:sz w:val="28"/>
          <w:szCs w:val="28"/>
          <w:highlight w:val="none"/>
        </w:rPr>
        <w:t>日中午12点前将装订成册的报价文件（一式三份）以信封密封好，送至我局财务科（南宁市滨湖路66号公路大厦808室）。如需邮寄送达，请用信封密封好并在邮寄封面注明投标资料和投标单位，联系人：张微，联系电话：0771-2115929。逾期将拒绝接收报价文件。</w:t>
      </w:r>
    </w:p>
    <w:p w14:paraId="61D35FA5">
      <w:pPr>
        <w:ind w:firstLine="600"/>
        <w:rPr>
          <w:rFonts w:ascii="仿宋_GB2312" w:eastAsia="仿宋_GB2312"/>
          <w:color w:val="auto"/>
          <w:sz w:val="28"/>
          <w:szCs w:val="28"/>
          <w:highlight w:val="none"/>
        </w:rPr>
      </w:pPr>
      <w:r>
        <w:rPr>
          <w:rFonts w:hint="eastAsia" w:ascii="仿宋_GB2312" w:eastAsia="仿宋_GB2312"/>
          <w:color w:val="auto"/>
          <w:sz w:val="28"/>
          <w:szCs w:val="28"/>
          <w:highlight w:val="none"/>
        </w:rPr>
        <w:t>（四）签订合同</w:t>
      </w:r>
    </w:p>
    <w:p w14:paraId="002162A3">
      <w:pPr>
        <w:ind w:firstLine="600"/>
        <w:rPr>
          <w:rFonts w:ascii="仿宋_GB2312" w:eastAsia="仿宋_GB2312"/>
          <w:color w:val="auto"/>
          <w:sz w:val="28"/>
          <w:szCs w:val="28"/>
          <w:highlight w:val="none"/>
        </w:rPr>
      </w:pPr>
      <w:r>
        <w:rPr>
          <w:rFonts w:hint="eastAsia" w:ascii="仿宋_GB2312" w:eastAsia="仿宋_GB2312"/>
          <w:color w:val="auto"/>
          <w:sz w:val="28"/>
          <w:szCs w:val="28"/>
          <w:highlight w:val="none"/>
        </w:rPr>
        <w:t>1.成交方应在成交通知书规定的时间内，由法定代表人或委托代理人到采购单位签订合同。</w:t>
      </w:r>
    </w:p>
    <w:p w14:paraId="0994644E">
      <w:pPr>
        <w:ind w:firstLine="600"/>
        <w:rPr>
          <w:rFonts w:ascii="仿宋_GB2312" w:eastAsia="仿宋_GB2312"/>
          <w:color w:val="auto"/>
          <w:sz w:val="28"/>
          <w:szCs w:val="28"/>
          <w:highlight w:val="none"/>
        </w:rPr>
      </w:pPr>
      <w:r>
        <w:rPr>
          <w:rFonts w:hint="eastAsia" w:ascii="仿宋_GB2312" w:eastAsia="仿宋_GB2312"/>
          <w:color w:val="auto"/>
          <w:sz w:val="28"/>
          <w:szCs w:val="28"/>
          <w:highlight w:val="none"/>
        </w:rPr>
        <w:t>2.成交通知书、本询价采购文件和成交方的报价文件是双方签订合同的依据，合同文本应符合国家相关政策要求。成交方在签订合同时对上述文件有异议，不愿遵照执行，将视情节取消成交方的成交资格，以及赔偿采购方的经济损失。</w:t>
      </w:r>
    </w:p>
    <w:p w14:paraId="19249A85">
      <w:pPr>
        <w:pStyle w:val="3"/>
        <w:spacing w:before="0" w:after="0"/>
        <w:ind w:firstLine="562" w:firstLineChars="200"/>
        <w:rPr>
          <w:rFonts w:ascii="仿宋_GB2312" w:eastAsia="仿宋_GB2312"/>
          <w:color w:val="auto"/>
          <w:sz w:val="28"/>
          <w:szCs w:val="28"/>
          <w:highlight w:val="none"/>
        </w:rPr>
      </w:pPr>
      <w:bookmarkStart w:id="0" w:name="_Toc453359044"/>
      <w:r>
        <w:rPr>
          <w:rFonts w:hint="eastAsia" w:ascii="仿宋_GB2312" w:eastAsia="仿宋_GB2312"/>
          <w:color w:val="auto"/>
          <w:sz w:val="28"/>
          <w:szCs w:val="28"/>
          <w:highlight w:val="none"/>
        </w:rPr>
        <w:t>二、</w:t>
      </w:r>
      <w:bookmarkEnd w:id="0"/>
      <w:r>
        <w:rPr>
          <w:rFonts w:hint="eastAsia" w:ascii="仿宋_GB2312" w:eastAsia="仿宋_GB2312"/>
          <w:color w:val="auto"/>
          <w:sz w:val="28"/>
          <w:szCs w:val="28"/>
          <w:highlight w:val="none"/>
        </w:rPr>
        <w:t>采购需求内容</w:t>
      </w:r>
    </w:p>
    <w:p w14:paraId="70C47456">
      <w:pPr>
        <w:ind w:firstLine="562" w:firstLineChars="200"/>
        <w:rPr>
          <w:rFonts w:ascii="仿宋" w:hAnsi="仿宋" w:eastAsia="仿宋"/>
          <w:color w:val="auto"/>
          <w:sz w:val="28"/>
          <w:szCs w:val="32"/>
          <w:highlight w:val="none"/>
        </w:rPr>
      </w:pPr>
      <w:r>
        <w:rPr>
          <w:rFonts w:hint="eastAsia" w:ascii="仿宋_GB2312" w:eastAsia="仿宋_GB2312"/>
          <w:b/>
          <w:color w:val="auto"/>
          <w:sz w:val="28"/>
          <w:szCs w:val="32"/>
          <w:highlight w:val="none"/>
        </w:rPr>
        <w:t>（一）</w:t>
      </w:r>
      <w:r>
        <w:rPr>
          <w:rFonts w:hint="eastAsia" w:ascii="仿宋" w:hAnsi="仿宋" w:eastAsia="仿宋"/>
          <w:color w:val="auto"/>
          <w:sz w:val="28"/>
          <w:szCs w:val="32"/>
          <w:highlight w:val="none"/>
        </w:rPr>
        <w:t>采购项目名称：桌面软件运维服务</w:t>
      </w:r>
    </w:p>
    <w:p w14:paraId="2255AB94">
      <w:pPr>
        <w:ind w:firstLine="562" w:firstLineChars="200"/>
        <w:rPr>
          <w:rFonts w:ascii="仿宋_GB2312" w:eastAsia="仿宋"/>
          <w:b/>
          <w:color w:val="auto"/>
          <w:sz w:val="28"/>
          <w:szCs w:val="32"/>
          <w:highlight w:val="none"/>
        </w:rPr>
      </w:pPr>
      <w:r>
        <w:rPr>
          <w:rFonts w:hint="eastAsia" w:ascii="仿宋_GB2312" w:eastAsia="仿宋_GB2312"/>
          <w:b/>
          <w:color w:val="auto"/>
          <w:sz w:val="28"/>
          <w:szCs w:val="32"/>
          <w:highlight w:val="none"/>
        </w:rPr>
        <w:t>（二）</w:t>
      </w:r>
      <w:r>
        <w:rPr>
          <w:rFonts w:hint="eastAsia" w:ascii="仿宋" w:hAnsi="仿宋" w:eastAsia="仿宋"/>
          <w:color w:val="auto"/>
          <w:sz w:val="28"/>
          <w:szCs w:val="32"/>
          <w:highlight w:val="none"/>
        </w:rPr>
        <w:t>采购项目最高限价金额（人民币）：9.8万元。</w:t>
      </w:r>
    </w:p>
    <w:p w14:paraId="097DE941">
      <w:pPr>
        <w:ind w:firstLine="562" w:firstLineChars="200"/>
        <w:rPr>
          <w:rFonts w:ascii="仿宋" w:hAnsi="仿宋" w:eastAsia="仿宋"/>
          <w:color w:val="auto"/>
          <w:sz w:val="28"/>
          <w:szCs w:val="28"/>
          <w:highlight w:val="none"/>
        </w:rPr>
      </w:pPr>
      <w:r>
        <w:rPr>
          <w:rFonts w:hint="eastAsia" w:ascii="仿宋_GB2312" w:eastAsia="仿宋_GB2312"/>
          <w:b/>
          <w:color w:val="auto"/>
          <w:sz w:val="28"/>
          <w:szCs w:val="32"/>
          <w:highlight w:val="none"/>
        </w:rPr>
        <w:t>（三）</w:t>
      </w:r>
      <w:bookmarkStart w:id="1" w:name="OLE_LINK1"/>
      <w:r>
        <w:rPr>
          <w:rFonts w:hint="eastAsia" w:ascii="仿宋" w:hAnsi="仿宋" w:eastAsia="仿宋"/>
          <w:color w:val="auto"/>
          <w:sz w:val="28"/>
          <w:szCs w:val="32"/>
          <w:highlight w:val="none"/>
        </w:rPr>
        <w:t>采购项目内容</w:t>
      </w:r>
      <w:bookmarkEnd w:id="1"/>
      <w:r>
        <w:rPr>
          <w:rFonts w:hint="eastAsia" w:ascii="仿宋" w:hAnsi="仿宋" w:eastAsia="仿宋"/>
          <w:color w:val="auto"/>
          <w:sz w:val="28"/>
          <w:szCs w:val="32"/>
          <w:highlight w:val="none"/>
        </w:rPr>
        <w:t>：服务供应商为我局提供一年的桌面软件运维服务，保障执法局机关及14个下设机构日常办公软件使用正常运行需求，提高行政办公效能。</w:t>
      </w:r>
      <w:r>
        <w:rPr>
          <w:rFonts w:hint="eastAsia" w:ascii="仿宋" w:hAnsi="仿宋" w:eastAsia="仿宋"/>
          <w:color w:val="auto"/>
          <w:sz w:val="28"/>
          <w:szCs w:val="28"/>
          <w:highlight w:val="none"/>
        </w:rPr>
        <w:t>本次项目具体采购内容如下：</w:t>
      </w:r>
    </w:p>
    <w:p w14:paraId="51F3955E">
      <w:pPr>
        <w:rPr>
          <w:rFonts w:ascii="仿宋" w:hAnsi="仿宋" w:eastAsia="仿宋"/>
          <w:color w:val="auto"/>
          <w:sz w:val="28"/>
          <w:szCs w:val="28"/>
          <w:highlight w:val="none"/>
        </w:rPr>
      </w:pPr>
    </w:p>
    <w:p w14:paraId="6AA107C0">
      <w:pPr>
        <w:ind w:firstLine="560" w:firstLineChars="200"/>
        <w:rPr>
          <w:rFonts w:ascii="仿宋" w:hAnsi="仿宋" w:eastAsia="仿宋"/>
          <w:color w:val="auto"/>
          <w:sz w:val="28"/>
          <w:szCs w:val="28"/>
          <w:highlight w:val="none"/>
        </w:rPr>
        <w:sectPr>
          <w:headerReference r:id="rId3" w:type="default"/>
          <w:footerReference r:id="rId4" w:type="default"/>
          <w:pgSz w:w="11906" w:h="16838"/>
          <w:pgMar w:top="1440" w:right="1800" w:bottom="1440" w:left="1800" w:header="851" w:footer="992" w:gutter="0"/>
          <w:cols w:space="720" w:num="1"/>
          <w:docGrid w:type="lines" w:linePitch="312" w:charSpace="0"/>
        </w:sectPr>
      </w:pPr>
    </w:p>
    <w:tbl>
      <w:tblPr>
        <w:tblStyle w:val="11"/>
        <w:tblW w:w="13742" w:type="dxa"/>
        <w:tblInd w:w="258" w:type="dxa"/>
        <w:tblLayout w:type="fixed"/>
        <w:tblCellMar>
          <w:top w:w="0" w:type="dxa"/>
          <w:left w:w="108" w:type="dxa"/>
          <w:bottom w:w="0" w:type="dxa"/>
          <w:right w:w="108" w:type="dxa"/>
        </w:tblCellMar>
      </w:tblPr>
      <w:tblGrid>
        <w:gridCol w:w="843"/>
        <w:gridCol w:w="1275"/>
        <w:gridCol w:w="8789"/>
        <w:gridCol w:w="567"/>
        <w:gridCol w:w="567"/>
        <w:gridCol w:w="992"/>
        <w:gridCol w:w="709"/>
      </w:tblGrid>
      <w:tr w14:paraId="4660B19D">
        <w:tblPrEx>
          <w:tblCellMar>
            <w:top w:w="0" w:type="dxa"/>
            <w:left w:w="108" w:type="dxa"/>
            <w:bottom w:w="0" w:type="dxa"/>
            <w:right w:w="108" w:type="dxa"/>
          </w:tblCellMar>
        </w:tblPrEx>
        <w:trPr>
          <w:trHeight w:val="132" w:hRule="atLeast"/>
        </w:trPr>
        <w:tc>
          <w:tcPr>
            <w:tcW w:w="843" w:type="dxa"/>
            <w:tcBorders>
              <w:top w:val="single" w:color="000000" w:sz="4" w:space="0"/>
              <w:left w:val="single" w:color="000000" w:sz="4" w:space="0"/>
              <w:bottom w:val="single" w:color="auto" w:sz="4" w:space="0"/>
              <w:right w:val="single" w:color="000000" w:sz="4" w:space="0"/>
            </w:tcBorders>
            <w:shd w:val="clear" w:color="auto" w:fill="auto"/>
            <w:vAlign w:val="center"/>
          </w:tcPr>
          <w:p w14:paraId="17BD18D7">
            <w:pPr>
              <w:widowControl/>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rPr>
              <w:t>序号</w:t>
            </w:r>
          </w:p>
        </w:tc>
        <w:tc>
          <w:tcPr>
            <w:tcW w:w="1275" w:type="dxa"/>
            <w:tcBorders>
              <w:top w:val="single" w:color="000000" w:sz="4" w:space="0"/>
              <w:left w:val="single" w:color="000000" w:sz="4" w:space="0"/>
              <w:bottom w:val="single" w:color="auto" w:sz="4" w:space="0"/>
              <w:right w:val="single" w:color="000000" w:sz="4" w:space="0"/>
            </w:tcBorders>
            <w:shd w:val="clear" w:color="auto" w:fill="auto"/>
            <w:vAlign w:val="center"/>
          </w:tcPr>
          <w:p w14:paraId="3EA0A0E4">
            <w:pPr>
              <w:widowControl/>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rPr>
              <w:t>项目</w:t>
            </w:r>
          </w:p>
        </w:tc>
        <w:tc>
          <w:tcPr>
            <w:tcW w:w="8789" w:type="dxa"/>
            <w:tcBorders>
              <w:top w:val="single" w:color="000000" w:sz="4" w:space="0"/>
              <w:left w:val="single" w:color="000000" w:sz="4" w:space="0"/>
              <w:bottom w:val="single" w:color="auto" w:sz="4" w:space="0"/>
              <w:right w:val="single" w:color="000000" w:sz="4" w:space="0"/>
            </w:tcBorders>
            <w:shd w:val="clear" w:color="auto" w:fill="auto"/>
            <w:vAlign w:val="center"/>
          </w:tcPr>
          <w:p w14:paraId="0E4E7973">
            <w:pPr>
              <w:widowControl/>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rPr>
              <w:t>采购需求说明</w:t>
            </w:r>
          </w:p>
        </w:tc>
        <w:tc>
          <w:tcPr>
            <w:tcW w:w="56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8C3985B">
            <w:pPr>
              <w:widowControl/>
              <w:jc w:val="center"/>
              <w:textAlignment w:val="center"/>
              <w:rPr>
                <w:rFonts w:ascii="等线" w:hAnsi="等线" w:eastAsia="等线" w:cs="等线"/>
                <w:color w:val="auto"/>
                <w:sz w:val="22"/>
                <w:szCs w:val="22"/>
                <w:highlight w:val="none"/>
              </w:rPr>
            </w:pPr>
            <w:r>
              <w:rPr>
                <w:rFonts w:hint="eastAsia" w:ascii="等线" w:hAnsi="等线" w:eastAsia="等线" w:cs="等线"/>
                <w:color w:val="auto"/>
                <w:kern w:val="0"/>
                <w:sz w:val="22"/>
                <w:szCs w:val="22"/>
                <w:highlight w:val="none"/>
              </w:rPr>
              <w:t>数量</w:t>
            </w:r>
          </w:p>
        </w:tc>
        <w:tc>
          <w:tcPr>
            <w:tcW w:w="56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22609A8">
            <w:pPr>
              <w:widowControl/>
              <w:jc w:val="center"/>
              <w:textAlignment w:val="center"/>
              <w:rPr>
                <w:rFonts w:ascii="等线" w:hAnsi="等线" w:eastAsia="等线" w:cs="等线"/>
                <w:color w:val="auto"/>
                <w:sz w:val="22"/>
                <w:szCs w:val="22"/>
                <w:highlight w:val="none"/>
              </w:rPr>
            </w:pPr>
            <w:r>
              <w:rPr>
                <w:rFonts w:hint="eastAsia" w:ascii="等线" w:hAnsi="等线" w:eastAsia="等线" w:cs="等线"/>
                <w:color w:val="auto"/>
                <w:kern w:val="0"/>
                <w:sz w:val="22"/>
                <w:szCs w:val="22"/>
                <w:highlight w:val="none"/>
              </w:rPr>
              <w:t>单位</w:t>
            </w:r>
          </w:p>
        </w:tc>
        <w:tc>
          <w:tcPr>
            <w:tcW w:w="99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6706598">
            <w:pPr>
              <w:widowControl/>
              <w:jc w:val="center"/>
              <w:textAlignment w:val="center"/>
              <w:rPr>
                <w:rFonts w:ascii="等线" w:hAnsi="等线" w:eastAsia="等线" w:cs="等线"/>
                <w:color w:val="auto"/>
                <w:sz w:val="22"/>
                <w:szCs w:val="22"/>
                <w:highlight w:val="none"/>
              </w:rPr>
            </w:pPr>
            <w:r>
              <w:rPr>
                <w:rFonts w:hint="eastAsia" w:ascii="等线" w:hAnsi="等线" w:eastAsia="等线" w:cs="等线"/>
                <w:color w:val="auto"/>
                <w:sz w:val="22"/>
                <w:szCs w:val="22"/>
                <w:highlight w:val="none"/>
              </w:rPr>
              <w:t>报价</w:t>
            </w:r>
          </w:p>
          <w:p w14:paraId="00EB3673">
            <w:pPr>
              <w:widowControl/>
              <w:jc w:val="center"/>
              <w:textAlignment w:val="center"/>
              <w:rPr>
                <w:rFonts w:ascii="等线" w:hAnsi="等线" w:eastAsia="等线" w:cs="等线"/>
                <w:color w:val="auto"/>
                <w:sz w:val="22"/>
                <w:szCs w:val="22"/>
                <w:highlight w:val="none"/>
              </w:rPr>
            </w:pPr>
            <w:r>
              <w:rPr>
                <w:rFonts w:hint="eastAsia" w:ascii="等线" w:hAnsi="等线" w:eastAsia="等线" w:cs="等线"/>
                <w:color w:val="auto"/>
                <w:sz w:val="22"/>
                <w:szCs w:val="22"/>
                <w:highlight w:val="none"/>
              </w:rPr>
              <w:t>（万元）</w:t>
            </w:r>
          </w:p>
        </w:tc>
        <w:tc>
          <w:tcPr>
            <w:tcW w:w="70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DFF01A7">
            <w:pPr>
              <w:widowControl/>
              <w:jc w:val="center"/>
              <w:textAlignment w:val="center"/>
              <w:rPr>
                <w:rFonts w:ascii="等线" w:hAnsi="等线" w:eastAsia="等线" w:cs="等线"/>
                <w:color w:val="auto"/>
                <w:sz w:val="22"/>
                <w:szCs w:val="22"/>
                <w:highlight w:val="none"/>
              </w:rPr>
            </w:pPr>
            <w:r>
              <w:rPr>
                <w:rFonts w:hint="eastAsia" w:ascii="等线" w:hAnsi="等线" w:eastAsia="等线" w:cs="等线"/>
                <w:color w:val="auto"/>
                <w:sz w:val="22"/>
                <w:szCs w:val="22"/>
                <w:highlight w:val="none"/>
              </w:rPr>
              <w:t>响应情况</w:t>
            </w:r>
          </w:p>
        </w:tc>
      </w:tr>
      <w:tr w14:paraId="19CCA665">
        <w:tblPrEx>
          <w:tblCellMar>
            <w:top w:w="0" w:type="dxa"/>
            <w:left w:w="108" w:type="dxa"/>
            <w:bottom w:w="0" w:type="dxa"/>
            <w:right w:w="108" w:type="dxa"/>
          </w:tblCellMar>
        </w:tblPrEx>
        <w:trPr>
          <w:trHeight w:val="6960" w:hRule="atLeast"/>
        </w:trPr>
        <w:tc>
          <w:tcPr>
            <w:tcW w:w="843" w:type="dxa"/>
            <w:tcBorders>
              <w:top w:val="single" w:color="auto" w:sz="4" w:space="0"/>
              <w:left w:val="single" w:color="000000" w:sz="4" w:space="0"/>
              <w:bottom w:val="single" w:color="auto" w:sz="4" w:space="0"/>
              <w:right w:val="single" w:color="000000" w:sz="4" w:space="0"/>
            </w:tcBorders>
            <w:shd w:val="clear" w:color="auto" w:fill="auto"/>
            <w:vAlign w:val="center"/>
          </w:tcPr>
          <w:p w14:paraId="289898E3">
            <w:pPr>
              <w:jc w:val="center"/>
              <w:rPr>
                <w:rFonts w:ascii="宋体" w:hAnsi="宋体" w:cs="宋体"/>
                <w:color w:val="auto"/>
                <w:sz w:val="22"/>
                <w:highlight w:val="none"/>
              </w:rPr>
            </w:pPr>
            <w:bookmarkStart w:id="2" w:name="_Hlk129039039"/>
            <w:r>
              <w:rPr>
                <w:rFonts w:hint="eastAsia" w:ascii="宋体" w:hAnsi="宋体" w:cs="宋体"/>
                <w:color w:val="auto"/>
                <w:sz w:val="22"/>
                <w:highlight w:val="none"/>
              </w:rPr>
              <w:t>1</w:t>
            </w:r>
          </w:p>
        </w:tc>
        <w:tc>
          <w:tcPr>
            <w:tcW w:w="1275" w:type="dxa"/>
            <w:tcBorders>
              <w:top w:val="single" w:color="auto" w:sz="4" w:space="0"/>
              <w:left w:val="single" w:color="000000" w:sz="4" w:space="0"/>
              <w:bottom w:val="single" w:color="auto" w:sz="4" w:space="0"/>
              <w:right w:val="single" w:color="000000" w:sz="4" w:space="0"/>
            </w:tcBorders>
            <w:shd w:val="clear" w:color="auto" w:fill="auto"/>
            <w:vAlign w:val="center"/>
          </w:tcPr>
          <w:p w14:paraId="2EC33D86">
            <w:pPr>
              <w:pStyle w:val="21"/>
              <w:numPr>
                <w:ilvl w:val="255"/>
                <w:numId w:val="0"/>
              </w:numPr>
              <w:spacing w:line="300" w:lineRule="exact"/>
              <w:rPr>
                <w:rFonts w:ascii="宋体" w:hAnsi="宋体" w:cs="宋体"/>
                <w:color w:val="auto"/>
                <w:sz w:val="22"/>
                <w:highlight w:val="none"/>
              </w:rPr>
            </w:pPr>
            <w:r>
              <w:rPr>
                <w:rFonts w:hint="eastAsia" w:ascii="宋体" w:hAnsi="宋体" w:cs="宋体"/>
                <w:color w:val="auto"/>
                <w:sz w:val="24"/>
                <w:highlight w:val="none"/>
              </w:rPr>
              <w:t>桌面软件运维服务</w:t>
            </w:r>
          </w:p>
        </w:tc>
        <w:tc>
          <w:tcPr>
            <w:tcW w:w="8789" w:type="dxa"/>
            <w:tcBorders>
              <w:top w:val="single" w:color="auto" w:sz="4" w:space="0"/>
              <w:left w:val="single" w:color="000000" w:sz="4" w:space="0"/>
              <w:bottom w:val="single" w:color="auto" w:sz="4" w:space="0"/>
              <w:right w:val="single" w:color="000000" w:sz="4" w:space="0"/>
            </w:tcBorders>
            <w:shd w:val="clear" w:color="auto" w:fill="auto"/>
          </w:tcPr>
          <w:p w14:paraId="66D48094">
            <w:pPr>
              <w:pStyle w:val="21"/>
              <w:numPr>
                <w:ilvl w:val="255"/>
                <w:numId w:val="0"/>
              </w:numPr>
              <w:spacing w:line="3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本项目服务保障范围包括局机关及下设机构（办公地点分布我区14个地市）在综合办公平台</w:t>
            </w:r>
            <w:r>
              <w:rPr>
                <w:rFonts w:hint="eastAsia" w:ascii="宋体" w:hAnsi="宋体" w:cs="宋体"/>
                <w:color w:val="auto"/>
                <w:sz w:val="24"/>
                <w:highlight w:val="none"/>
                <w:lang w:val="en-US" w:eastAsia="zh-CN"/>
              </w:rPr>
              <w:t>等</w:t>
            </w:r>
            <w:r>
              <w:rPr>
                <w:rFonts w:hint="eastAsia" w:ascii="宋体" w:hAnsi="宋体" w:cs="宋体"/>
                <w:color w:val="auto"/>
                <w:sz w:val="24"/>
                <w:highlight w:val="none"/>
              </w:rPr>
              <w:t>日常办公软件</w:t>
            </w:r>
            <w:r>
              <w:rPr>
                <w:rFonts w:hint="eastAsia" w:ascii="宋体" w:hAnsi="宋体" w:cs="宋体"/>
                <w:color w:val="auto"/>
                <w:sz w:val="24"/>
                <w:highlight w:val="none"/>
                <w:lang w:val="en-US" w:eastAsia="zh-CN"/>
              </w:rPr>
              <w:t>使用</w:t>
            </w:r>
            <w:r>
              <w:rPr>
                <w:rFonts w:hint="eastAsia" w:ascii="宋体" w:hAnsi="宋体" w:cs="宋体"/>
                <w:color w:val="auto"/>
                <w:sz w:val="24"/>
                <w:highlight w:val="none"/>
              </w:rPr>
              <w:t>过程中，提供问题解决服务、运行保障服务、运行优化服务、业务培训服务等内容。</w:t>
            </w:r>
          </w:p>
          <w:p w14:paraId="1C049ACF">
            <w:pPr>
              <w:pStyle w:val="21"/>
              <w:numPr>
                <w:ilvl w:val="255"/>
                <w:numId w:val="0"/>
              </w:numPr>
              <w:spacing w:line="3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在一年服务保障期内，供应商运维保障团队提供7</w:t>
            </w:r>
            <w:r>
              <w:rPr>
                <w:rFonts w:hint="eastAsia" w:ascii="仿宋_GB2312" w:hAnsi="宋体" w:eastAsia="仿宋_GB2312" w:cs="Tahoma"/>
                <w:color w:val="auto"/>
                <w:kern w:val="0"/>
                <w:sz w:val="24"/>
                <w:highlight w:val="none"/>
              </w:rPr>
              <w:t>×</w:t>
            </w:r>
            <w:r>
              <w:rPr>
                <w:rFonts w:hint="eastAsia" w:ascii="宋体" w:hAnsi="宋体" w:cs="宋体"/>
                <w:color w:val="auto"/>
                <w:sz w:val="24"/>
                <w:highlight w:val="none"/>
              </w:rPr>
              <w:t>24小时电话技术支持，日常运维服务保障以远程服务的方式开展工作，对于远程支持无法解决的故障问题，须1小时内做出明确响应和安排，3个小时之内应安排技术人员进行实地故障处理。具体服务内容如下：</w:t>
            </w:r>
          </w:p>
          <w:p w14:paraId="51C90A06">
            <w:pPr>
              <w:pStyle w:val="21"/>
              <w:numPr>
                <w:ilvl w:val="255"/>
                <w:numId w:val="0"/>
              </w:numPr>
              <w:spacing w:line="300" w:lineRule="exact"/>
              <w:ind w:firstLine="480"/>
              <w:rPr>
                <w:rFonts w:ascii="宋体" w:hAnsi="宋体" w:cs="宋体"/>
                <w:color w:val="auto"/>
                <w:sz w:val="24"/>
                <w:highlight w:val="none"/>
              </w:rPr>
            </w:pPr>
            <w:r>
              <w:rPr>
                <w:rFonts w:hint="eastAsia" w:ascii="宋体" w:hAnsi="宋体" w:cs="宋体"/>
                <w:color w:val="auto"/>
                <w:sz w:val="24"/>
                <w:highlight w:val="none"/>
              </w:rPr>
              <w:t>一、问题解决服务。提供7</w:t>
            </w:r>
            <w:r>
              <w:rPr>
                <w:rFonts w:hint="eastAsia" w:ascii="仿宋_GB2312" w:hAnsi="宋体" w:eastAsia="仿宋_GB2312" w:cs="Tahoma"/>
                <w:color w:val="auto"/>
                <w:kern w:val="0"/>
                <w:sz w:val="24"/>
                <w:highlight w:val="none"/>
              </w:rPr>
              <w:t>×</w:t>
            </w:r>
            <w:r>
              <w:rPr>
                <w:rFonts w:hint="eastAsia" w:ascii="宋体" w:hAnsi="宋体" w:cs="宋体"/>
                <w:color w:val="auto"/>
                <w:sz w:val="24"/>
                <w:highlight w:val="none"/>
              </w:rPr>
              <w:t>24小时电话、网络技术支持，远程专家支持，服务器应用支持，数据库应用支持；</w:t>
            </w:r>
          </w:p>
          <w:p w14:paraId="18125191">
            <w:pPr>
              <w:pStyle w:val="21"/>
              <w:numPr>
                <w:ilvl w:val="255"/>
                <w:numId w:val="0"/>
              </w:numPr>
              <w:spacing w:line="300" w:lineRule="exact"/>
              <w:ind w:firstLine="480"/>
              <w:rPr>
                <w:rFonts w:ascii="宋体" w:hAnsi="宋体" w:cs="宋体"/>
                <w:color w:val="auto"/>
                <w:sz w:val="24"/>
                <w:highlight w:val="none"/>
              </w:rPr>
            </w:pPr>
            <w:r>
              <w:rPr>
                <w:rFonts w:hint="eastAsia" w:ascii="宋体" w:hAnsi="宋体" w:cs="宋体"/>
                <w:color w:val="auto"/>
                <w:sz w:val="24"/>
                <w:highlight w:val="none"/>
              </w:rPr>
              <w:t>二、运行保障服务。提供系统升级更新，系统应用维护，系统数据维护；协助完成涉及办公平台有关网络安全管理工作；</w:t>
            </w:r>
          </w:p>
          <w:p w14:paraId="2FEBF2F6">
            <w:pPr>
              <w:pStyle w:val="21"/>
              <w:numPr>
                <w:ilvl w:val="255"/>
                <w:numId w:val="0"/>
              </w:numPr>
              <w:spacing w:line="300" w:lineRule="exact"/>
              <w:ind w:firstLine="480"/>
              <w:rPr>
                <w:rFonts w:ascii="宋体" w:hAnsi="宋体" w:cs="宋体"/>
                <w:color w:val="auto"/>
                <w:sz w:val="24"/>
                <w:highlight w:val="none"/>
              </w:rPr>
            </w:pPr>
            <w:r>
              <w:rPr>
                <w:rFonts w:hint="eastAsia" w:ascii="宋体" w:hAnsi="宋体" w:cs="宋体"/>
                <w:color w:val="auto"/>
                <w:sz w:val="24"/>
                <w:highlight w:val="none"/>
              </w:rPr>
              <w:t>三、运行优化服务。提供系统应用巡检，制作约</w:t>
            </w:r>
            <w:r>
              <w:rPr>
                <w:rFonts w:hint="eastAsia" w:ascii="宋体" w:hAnsi="宋体" w:cs="宋体"/>
                <w:color w:val="auto"/>
                <w:sz w:val="24"/>
                <w:highlight w:val="none"/>
                <w:lang w:val="en-US" w:eastAsia="zh-CN"/>
              </w:rPr>
              <w:t>300</w:t>
            </w:r>
            <w:r>
              <w:rPr>
                <w:rFonts w:hint="eastAsia" w:ascii="宋体" w:hAnsi="宋体" w:cs="宋体"/>
                <w:color w:val="auto"/>
                <w:sz w:val="24"/>
                <w:highlight w:val="none"/>
              </w:rPr>
              <w:t>个用户U-KEY（根据采购方实际需求）、用户信息维护、功能模块和流程优化以及系统漏洞修复，每年度系统健康巡检服务，提供巡检报告；</w:t>
            </w:r>
          </w:p>
          <w:p w14:paraId="638FB600">
            <w:pPr>
              <w:pStyle w:val="21"/>
              <w:numPr>
                <w:ilvl w:val="255"/>
                <w:numId w:val="0"/>
              </w:numPr>
              <w:spacing w:line="300" w:lineRule="exact"/>
              <w:ind w:firstLine="480"/>
              <w:rPr>
                <w:rFonts w:ascii="宋体" w:hAnsi="宋体" w:cs="宋体"/>
                <w:color w:val="auto"/>
                <w:sz w:val="24"/>
                <w:highlight w:val="none"/>
              </w:rPr>
            </w:pPr>
            <w:r>
              <w:rPr>
                <w:rFonts w:hint="eastAsia" w:ascii="宋体" w:hAnsi="宋体" w:cs="宋体"/>
                <w:color w:val="auto"/>
                <w:sz w:val="24"/>
                <w:highlight w:val="none"/>
              </w:rPr>
              <w:t>四、业务培训服务。提供系统培训指导，对执法局各下设机构安排至少1天的驻场服务，服务期内开展相关培训不少于</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次；</w:t>
            </w:r>
          </w:p>
          <w:p w14:paraId="359AC37F">
            <w:pPr>
              <w:pStyle w:val="21"/>
              <w:numPr>
                <w:ilvl w:val="255"/>
                <w:numId w:val="0"/>
              </w:numPr>
              <w:spacing w:line="300" w:lineRule="exact"/>
              <w:ind w:firstLine="480"/>
              <w:rPr>
                <w:rFonts w:ascii="宋体" w:hAnsi="宋体" w:cs="宋体"/>
                <w:color w:val="auto"/>
                <w:sz w:val="24"/>
                <w:highlight w:val="none"/>
              </w:rPr>
            </w:pPr>
            <w:r>
              <w:rPr>
                <w:rFonts w:hint="eastAsia" w:ascii="宋体" w:hAnsi="宋体" w:cs="宋体"/>
                <w:color w:val="auto"/>
                <w:sz w:val="24"/>
                <w:highlight w:val="none"/>
              </w:rPr>
              <w:t>五、提供技术咨询服务。提供系统数据分析、系统功能应用咨询、国产终端技术咨询、打印机技术咨询、其他技术支持服务（如系统扩展、迁移、改造等）。</w:t>
            </w:r>
          </w:p>
          <w:p w14:paraId="44A8824C">
            <w:pPr>
              <w:pStyle w:val="21"/>
              <w:numPr>
                <w:ilvl w:val="255"/>
                <w:numId w:val="0"/>
              </w:numPr>
              <w:spacing w:line="300" w:lineRule="exact"/>
              <w:ind w:firstLine="480"/>
              <w:rPr>
                <w:rFonts w:ascii="宋体" w:hAnsi="宋体" w:cs="宋体"/>
                <w:color w:val="auto"/>
                <w:sz w:val="24"/>
                <w:highlight w:val="none"/>
              </w:rPr>
            </w:pPr>
            <w:r>
              <w:rPr>
                <w:rFonts w:hint="eastAsia" w:ascii="宋体" w:hAnsi="宋体" w:cs="宋体"/>
                <w:color w:val="auto"/>
                <w:sz w:val="24"/>
                <w:highlight w:val="none"/>
              </w:rPr>
              <w:t>六、提供年度单位收发文数据导出服务，支撑数据备份及存档。</w:t>
            </w:r>
          </w:p>
        </w:tc>
        <w:tc>
          <w:tcPr>
            <w:tcW w:w="56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A37289B">
            <w:pPr>
              <w:jc w:val="center"/>
              <w:textAlignment w:val="center"/>
              <w:rPr>
                <w:rFonts w:ascii="等线" w:hAnsi="等线" w:eastAsia="等线" w:cs="等线"/>
                <w:color w:val="auto"/>
                <w:kern w:val="0"/>
                <w:sz w:val="22"/>
                <w:szCs w:val="22"/>
                <w:highlight w:val="none"/>
              </w:rPr>
            </w:pPr>
            <w:r>
              <w:rPr>
                <w:rFonts w:hint="eastAsia" w:ascii="等线" w:hAnsi="等线" w:eastAsia="等线" w:cs="等线"/>
                <w:color w:val="auto"/>
                <w:kern w:val="0"/>
                <w:sz w:val="22"/>
                <w:szCs w:val="22"/>
                <w:highlight w:val="none"/>
              </w:rPr>
              <w:t>1</w:t>
            </w:r>
          </w:p>
        </w:tc>
        <w:tc>
          <w:tcPr>
            <w:tcW w:w="567" w:type="dxa"/>
            <w:tcBorders>
              <w:top w:val="single" w:color="auto" w:sz="4" w:space="0"/>
              <w:left w:val="single" w:color="000000" w:sz="4" w:space="0"/>
              <w:bottom w:val="single" w:color="auto" w:sz="4" w:space="0"/>
              <w:right w:val="single" w:color="000000" w:sz="4" w:space="0"/>
            </w:tcBorders>
            <w:shd w:val="clear" w:color="auto" w:fill="auto"/>
            <w:vAlign w:val="center"/>
          </w:tcPr>
          <w:p w14:paraId="2337D257">
            <w:pPr>
              <w:widowControl/>
              <w:jc w:val="center"/>
              <w:textAlignment w:val="center"/>
              <w:rPr>
                <w:rFonts w:ascii="等线" w:hAnsi="等线" w:eastAsia="等线" w:cs="等线"/>
                <w:color w:val="auto"/>
                <w:kern w:val="0"/>
                <w:sz w:val="22"/>
                <w:szCs w:val="22"/>
                <w:highlight w:val="none"/>
              </w:rPr>
            </w:pPr>
            <w:r>
              <w:rPr>
                <w:rFonts w:hint="eastAsia" w:ascii="等线" w:hAnsi="等线" w:eastAsia="等线" w:cs="等线"/>
                <w:color w:val="auto"/>
                <w:kern w:val="0"/>
                <w:sz w:val="22"/>
                <w:szCs w:val="22"/>
                <w:highlight w:val="none"/>
              </w:rPr>
              <w:t>项</w:t>
            </w:r>
          </w:p>
        </w:tc>
        <w:tc>
          <w:tcPr>
            <w:tcW w:w="992"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025B1A7">
            <w:pPr>
              <w:widowControl/>
              <w:jc w:val="center"/>
              <w:textAlignment w:val="center"/>
              <w:rPr>
                <w:rFonts w:ascii="等线" w:hAnsi="等线" w:eastAsia="等线" w:cs="等线"/>
                <w:color w:val="auto"/>
                <w:kern w:val="0"/>
                <w:sz w:val="22"/>
                <w:szCs w:val="22"/>
                <w:highlight w:val="none"/>
              </w:rPr>
            </w:pPr>
          </w:p>
        </w:tc>
        <w:tc>
          <w:tcPr>
            <w:tcW w:w="70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5ABBAD7">
            <w:pPr>
              <w:widowControl/>
              <w:jc w:val="center"/>
              <w:textAlignment w:val="center"/>
              <w:rPr>
                <w:rFonts w:ascii="等线" w:hAnsi="等线" w:eastAsia="等线" w:cs="等线"/>
                <w:color w:val="auto"/>
                <w:kern w:val="0"/>
                <w:sz w:val="22"/>
                <w:szCs w:val="22"/>
                <w:highlight w:val="none"/>
              </w:rPr>
            </w:pPr>
          </w:p>
        </w:tc>
      </w:tr>
      <w:bookmarkEnd w:id="2"/>
      <w:tr w14:paraId="36D90E38">
        <w:tblPrEx>
          <w:tblCellMar>
            <w:top w:w="0" w:type="dxa"/>
            <w:left w:w="108" w:type="dxa"/>
            <w:bottom w:w="0" w:type="dxa"/>
            <w:right w:w="108" w:type="dxa"/>
          </w:tblCellMar>
        </w:tblPrEx>
        <w:trPr>
          <w:trHeight w:val="241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C4D87">
            <w:pPr>
              <w:pStyle w:val="21"/>
              <w:numPr>
                <w:ilvl w:val="255"/>
                <w:numId w:val="0"/>
              </w:numPr>
              <w:spacing w:line="300" w:lineRule="exact"/>
              <w:ind w:firstLine="480"/>
              <w:rPr>
                <w:rFonts w:ascii="宋体" w:hAnsi="宋体" w:cs="宋体"/>
                <w:color w:val="auto"/>
                <w:sz w:val="24"/>
                <w:highlight w:val="none"/>
              </w:rPr>
            </w:pPr>
          </w:p>
          <w:p w14:paraId="2EA27A9D">
            <w:pPr>
              <w:pStyle w:val="21"/>
              <w:numPr>
                <w:ilvl w:val="255"/>
                <w:numId w:val="0"/>
              </w:numPr>
              <w:spacing w:line="300" w:lineRule="exact"/>
              <w:jc w:val="left"/>
              <w:rPr>
                <w:rFonts w:ascii="等线" w:hAnsi="等线" w:eastAsia="等线" w:cs="等线"/>
                <w:color w:val="auto"/>
                <w:sz w:val="22"/>
                <w:highlight w:val="none"/>
              </w:rPr>
            </w:pPr>
            <w:r>
              <w:rPr>
                <w:rFonts w:hint="eastAsia" w:ascii="宋体" w:hAnsi="宋体" w:cs="宋体"/>
                <w:color w:val="auto"/>
                <w:sz w:val="24"/>
                <w:highlight w:val="none"/>
              </w:rPr>
              <w:t>商务要求</w:t>
            </w:r>
          </w:p>
        </w:tc>
        <w:tc>
          <w:tcPr>
            <w:tcW w:w="1289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C7810">
            <w:pPr>
              <w:pStyle w:val="21"/>
              <w:numPr>
                <w:ilvl w:val="255"/>
                <w:numId w:val="0"/>
              </w:numPr>
              <w:spacing w:line="300" w:lineRule="exact"/>
              <w:rPr>
                <w:rFonts w:ascii="宋体" w:hAnsi="宋体" w:cs="宋体"/>
                <w:color w:val="auto"/>
                <w:sz w:val="24"/>
                <w:highlight w:val="none"/>
              </w:rPr>
            </w:pPr>
            <w:r>
              <w:rPr>
                <w:rFonts w:hint="eastAsia" w:ascii="宋体" w:hAnsi="宋体" w:cs="宋体"/>
                <w:color w:val="auto"/>
                <w:sz w:val="24"/>
                <w:highlight w:val="none"/>
              </w:rPr>
              <w:t>一、报价人必须在报价文件中提供完整的服务方案和实施方案。</w:t>
            </w:r>
          </w:p>
          <w:p w14:paraId="083FD3C6">
            <w:pPr>
              <w:pStyle w:val="21"/>
              <w:numPr>
                <w:ilvl w:val="255"/>
                <w:numId w:val="0"/>
              </w:numPr>
              <w:spacing w:line="300" w:lineRule="exact"/>
              <w:rPr>
                <w:rFonts w:ascii="宋体" w:hAnsi="宋体" w:cs="宋体"/>
                <w:color w:val="auto"/>
                <w:sz w:val="24"/>
                <w:highlight w:val="none"/>
              </w:rPr>
            </w:pPr>
            <w:r>
              <w:rPr>
                <w:rFonts w:hint="eastAsia" w:ascii="宋体" w:hAnsi="宋体" w:cs="宋体"/>
                <w:color w:val="auto"/>
                <w:sz w:val="24"/>
                <w:highlight w:val="none"/>
              </w:rPr>
              <w:t>二、服务范围：广西区内指定地点（执法局机关及14个下设机构）。</w:t>
            </w:r>
          </w:p>
          <w:p w14:paraId="17BE36B5">
            <w:pPr>
              <w:pStyle w:val="21"/>
              <w:numPr>
                <w:ilvl w:val="255"/>
                <w:numId w:val="0"/>
              </w:numPr>
              <w:spacing w:line="300" w:lineRule="exact"/>
              <w:rPr>
                <w:rFonts w:ascii="宋体" w:hAnsi="宋体" w:cs="宋体"/>
                <w:color w:val="auto"/>
                <w:sz w:val="24"/>
                <w:highlight w:val="none"/>
              </w:rPr>
            </w:pPr>
            <w:r>
              <w:rPr>
                <w:rFonts w:hint="eastAsia" w:ascii="宋体" w:hAnsi="宋体" w:cs="宋体"/>
                <w:color w:val="auto"/>
                <w:sz w:val="24"/>
                <w:highlight w:val="none"/>
              </w:rPr>
              <w:t>三、响应要求：</w:t>
            </w:r>
          </w:p>
          <w:p w14:paraId="4416BAF0">
            <w:pPr>
              <w:pStyle w:val="21"/>
              <w:numPr>
                <w:ilvl w:val="255"/>
                <w:numId w:val="0"/>
              </w:numPr>
              <w:spacing w:line="300" w:lineRule="exact"/>
              <w:rPr>
                <w:rFonts w:ascii="宋体" w:hAnsi="宋体" w:cs="宋体"/>
                <w:color w:val="auto"/>
                <w:sz w:val="24"/>
                <w:highlight w:val="none"/>
              </w:rPr>
            </w:pPr>
            <w:r>
              <w:rPr>
                <w:rFonts w:hint="eastAsia" w:ascii="宋体" w:hAnsi="宋体" w:cs="宋体"/>
                <w:color w:val="auto"/>
                <w:sz w:val="24"/>
                <w:highlight w:val="none"/>
              </w:rPr>
              <w:t>1.报价方应承诺投入本项目运维团队不少于10人。</w:t>
            </w:r>
          </w:p>
          <w:p w14:paraId="4ADCF459">
            <w:pPr>
              <w:pStyle w:val="21"/>
              <w:numPr>
                <w:ilvl w:val="255"/>
                <w:numId w:val="0"/>
              </w:numPr>
              <w:spacing w:line="300" w:lineRule="exact"/>
              <w:rPr>
                <w:rFonts w:ascii="宋体" w:hAnsi="宋体" w:cs="宋体"/>
                <w:color w:val="auto"/>
                <w:sz w:val="24"/>
                <w:highlight w:val="none"/>
              </w:rPr>
            </w:pPr>
            <w:r>
              <w:rPr>
                <w:rFonts w:hint="eastAsia" w:ascii="宋体" w:hAnsi="宋体" w:cs="宋体"/>
                <w:color w:val="auto"/>
                <w:sz w:val="24"/>
                <w:highlight w:val="none"/>
              </w:rPr>
              <w:t>2.服务期：1年，自合同签订后，采购方通知入场服务之日起计算。</w:t>
            </w:r>
          </w:p>
          <w:p w14:paraId="6F795FAC">
            <w:pPr>
              <w:pStyle w:val="21"/>
              <w:numPr>
                <w:ilvl w:val="255"/>
                <w:numId w:val="0"/>
              </w:numPr>
              <w:spacing w:line="300" w:lineRule="exact"/>
              <w:rPr>
                <w:rFonts w:ascii="宋体" w:hAnsi="宋体" w:cs="宋体"/>
                <w:color w:val="auto"/>
                <w:sz w:val="24"/>
                <w:highlight w:val="none"/>
              </w:rPr>
            </w:pPr>
            <w:r>
              <w:rPr>
                <w:rFonts w:hint="eastAsia" w:ascii="宋体" w:hAnsi="宋体" w:cs="宋体"/>
                <w:color w:val="auto"/>
                <w:sz w:val="24"/>
                <w:highlight w:val="none"/>
              </w:rPr>
              <w:t>3.服务期内，成交方在接到采购方故障报修后，30分钟内实质响应，1小时内确认修复方案，如确需现场进行解决的，应在3小时内实地修复。</w:t>
            </w:r>
          </w:p>
          <w:p w14:paraId="18265E47">
            <w:pPr>
              <w:pStyle w:val="21"/>
              <w:numPr>
                <w:ilvl w:val="255"/>
                <w:numId w:val="0"/>
              </w:numPr>
              <w:spacing w:line="300" w:lineRule="exact"/>
              <w:rPr>
                <w:rFonts w:ascii="宋体" w:hAnsi="宋体" w:cs="宋体"/>
                <w:color w:val="auto"/>
                <w:sz w:val="24"/>
                <w:highlight w:val="none"/>
              </w:rPr>
            </w:pPr>
            <w:r>
              <w:rPr>
                <w:rFonts w:hint="eastAsia" w:ascii="宋体" w:hAnsi="宋体" w:cs="宋体"/>
                <w:color w:val="auto"/>
                <w:sz w:val="24"/>
                <w:highlight w:val="none"/>
              </w:rPr>
              <w:t>4.报价人在报价书中必须明确承诺达到用户的服务响应要求。</w:t>
            </w:r>
          </w:p>
          <w:p w14:paraId="197E6F23">
            <w:pPr>
              <w:pStyle w:val="21"/>
              <w:numPr>
                <w:ilvl w:val="255"/>
                <w:numId w:val="0"/>
              </w:numPr>
              <w:spacing w:line="300" w:lineRule="exact"/>
              <w:rPr>
                <w:rFonts w:ascii="宋体" w:hAnsi="宋体" w:cs="宋体"/>
                <w:color w:val="auto"/>
                <w:sz w:val="24"/>
                <w:highlight w:val="none"/>
              </w:rPr>
            </w:pPr>
            <w:r>
              <w:rPr>
                <w:rFonts w:hint="eastAsia" w:ascii="宋体" w:hAnsi="宋体" w:cs="宋体"/>
                <w:color w:val="auto"/>
                <w:sz w:val="24"/>
                <w:highlight w:val="none"/>
              </w:rPr>
              <w:t>5.服务期过后，报价人提供免费电话咨询服务，采购方需要继续由原报价人提供售后服务的，该报价人应以优惠价格提供售后服务。</w:t>
            </w:r>
          </w:p>
          <w:p w14:paraId="7A931C89">
            <w:pPr>
              <w:pStyle w:val="21"/>
              <w:numPr>
                <w:ilvl w:val="255"/>
                <w:numId w:val="0"/>
              </w:numPr>
              <w:spacing w:line="300" w:lineRule="exact"/>
              <w:rPr>
                <w:rFonts w:ascii="宋体" w:hAnsi="宋体" w:cs="宋体"/>
                <w:color w:val="auto"/>
                <w:sz w:val="24"/>
                <w:highlight w:val="none"/>
              </w:rPr>
            </w:pPr>
            <w:r>
              <w:rPr>
                <w:rFonts w:hint="eastAsia" w:ascii="宋体" w:hAnsi="宋体" w:cs="宋体"/>
                <w:color w:val="auto"/>
                <w:sz w:val="24"/>
                <w:highlight w:val="none"/>
              </w:rPr>
              <w:t>6.因成交方的原因，导致采购方系统出现安全事故，由成交方承担造成的所有损失。</w:t>
            </w:r>
          </w:p>
          <w:p w14:paraId="1F73D9EE">
            <w:pPr>
              <w:pStyle w:val="21"/>
              <w:numPr>
                <w:ilvl w:val="255"/>
                <w:numId w:val="0"/>
              </w:numPr>
              <w:spacing w:line="300" w:lineRule="exact"/>
              <w:rPr>
                <w:rFonts w:ascii="宋体" w:hAnsi="宋体" w:cs="宋体"/>
                <w:color w:val="auto"/>
                <w:sz w:val="24"/>
                <w:highlight w:val="none"/>
              </w:rPr>
            </w:pPr>
            <w:r>
              <w:rPr>
                <w:rFonts w:hint="eastAsia" w:ascii="宋体" w:hAnsi="宋体" w:cs="宋体"/>
                <w:color w:val="auto"/>
                <w:sz w:val="24"/>
                <w:highlight w:val="none"/>
              </w:rPr>
              <w:t>7.成交方必须签署相关保密协议，严格遵守协议及有关保密要求。</w:t>
            </w:r>
          </w:p>
          <w:p w14:paraId="4A36A7B5">
            <w:pPr>
              <w:pStyle w:val="21"/>
              <w:numPr>
                <w:ilvl w:val="255"/>
                <w:numId w:val="0"/>
              </w:numPr>
              <w:spacing w:line="300" w:lineRule="exact"/>
              <w:rPr>
                <w:rFonts w:ascii="等线" w:hAnsi="等线" w:eastAsia="等线" w:cs="等线"/>
                <w:b/>
                <w:bCs/>
                <w:color w:val="auto"/>
                <w:kern w:val="0"/>
                <w:sz w:val="22"/>
                <w:highlight w:val="none"/>
              </w:rPr>
            </w:pPr>
            <w:r>
              <w:rPr>
                <w:rFonts w:hint="eastAsia" w:ascii="宋体" w:hAnsi="宋体" w:cs="宋体"/>
                <w:b/>
                <w:bCs/>
                <w:color w:val="auto"/>
                <w:sz w:val="24"/>
                <w:highlight w:val="none"/>
              </w:rPr>
              <w:t>四、报价人在报价书中必须明确响应本项目所有商务和技术要求，性能技术参数达到或优于需求说明，否则报价无效。</w:t>
            </w:r>
          </w:p>
        </w:tc>
      </w:tr>
    </w:tbl>
    <w:p w14:paraId="0A958664">
      <w:pPr>
        <w:ind w:firstLine="560" w:firstLineChars="200"/>
        <w:rPr>
          <w:rFonts w:ascii="仿宋" w:hAnsi="仿宋" w:eastAsia="仿宋"/>
          <w:color w:val="auto"/>
          <w:sz w:val="28"/>
          <w:szCs w:val="28"/>
          <w:highlight w:val="none"/>
        </w:rPr>
      </w:pPr>
    </w:p>
    <w:p w14:paraId="62C11E6E">
      <w:pPr>
        <w:ind w:firstLine="560" w:firstLineChars="200"/>
        <w:rPr>
          <w:rFonts w:ascii="仿宋" w:hAnsi="仿宋" w:eastAsia="仿宋"/>
          <w:color w:val="auto"/>
          <w:sz w:val="28"/>
          <w:szCs w:val="28"/>
          <w:highlight w:val="none"/>
        </w:rPr>
        <w:sectPr>
          <w:pgSz w:w="16838" w:h="11906" w:orient="landscape"/>
          <w:pgMar w:top="1800" w:right="1440" w:bottom="1800" w:left="1440" w:header="851" w:footer="992" w:gutter="0"/>
          <w:cols w:space="720" w:num="1"/>
          <w:docGrid w:type="lines" w:linePitch="312" w:charSpace="0"/>
        </w:sectPr>
      </w:pPr>
    </w:p>
    <w:p w14:paraId="5F71C84F">
      <w:pPr>
        <w:pStyle w:val="3"/>
        <w:spacing w:before="0" w:after="0"/>
        <w:ind w:firstLine="562" w:firstLineChars="200"/>
        <w:rPr>
          <w:rFonts w:ascii="仿宋" w:hAnsi="仿宋" w:eastAsia="仿宋"/>
          <w:b w:val="0"/>
          <w:bCs w:val="0"/>
          <w:color w:val="auto"/>
          <w:sz w:val="28"/>
          <w:szCs w:val="28"/>
          <w:highlight w:val="none"/>
        </w:rPr>
      </w:pPr>
      <w:r>
        <w:rPr>
          <w:rFonts w:ascii="仿宋" w:hAnsi="仿宋" w:eastAsia="仿宋"/>
          <w:color w:val="auto"/>
          <w:sz w:val="28"/>
          <w:szCs w:val="28"/>
          <w:highlight w:val="none"/>
        </w:rPr>
        <w:t>三、商务条款</w:t>
      </w:r>
    </w:p>
    <w:p w14:paraId="14067E2D">
      <w:pPr>
        <w:ind w:firstLine="560" w:firstLineChars="200"/>
        <w:rPr>
          <w:color w:val="auto"/>
          <w:highlight w:val="none"/>
        </w:rPr>
      </w:pPr>
      <w:r>
        <w:rPr>
          <w:rFonts w:ascii="仿宋" w:hAnsi="仿宋" w:eastAsia="仿宋"/>
          <w:color w:val="auto"/>
          <w:sz w:val="28"/>
          <w:szCs w:val="28"/>
          <w:highlight w:val="none"/>
        </w:rPr>
        <w:t>（一）</w:t>
      </w:r>
      <w:r>
        <w:rPr>
          <w:rFonts w:hint="eastAsia" w:ascii="仿宋" w:hAnsi="仿宋" w:eastAsia="仿宋"/>
          <w:color w:val="auto"/>
          <w:sz w:val="28"/>
          <w:szCs w:val="28"/>
          <w:highlight w:val="none"/>
        </w:rPr>
        <w:t>报价</w:t>
      </w:r>
      <w:r>
        <w:rPr>
          <w:rFonts w:ascii="仿宋" w:hAnsi="仿宋" w:eastAsia="仿宋"/>
          <w:color w:val="auto"/>
          <w:sz w:val="28"/>
          <w:szCs w:val="28"/>
          <w:highlight w:val="none"/>
        </w:rPr>
        <w:t>方须有合法的经营资格，必须提供下列有效证照材料：营业执照、法人身份证（复印件）以及</w:t>
      </w:r>
      <w:r>
        <w:rPr>
          <w:rFonts w:hint="eastAsia" w:ascii="仿宋" w:hAnsi="仿宋" w:eastAsia="仿宋"/>
          <w:color w:val="auto"/>
          <w:sz w:val="28"/>
          <w:szCs w:val="28"/>
          <w:highlight w:val="none"/>
        </w:rPr>
        <w:t>报价</w:t>
      </w:r>
      <w:r>
        <w:rPr>
          <w:rFonts w:ascii="仿宋" w:hAnsi="仿宋" w:eastAsia="仿宋"/>
          <w:color w:val="auto"/>
          <w:sz w:val="28"/>
          <w:szCs w:val="28"/>
          <w:highlight w:val="none"/>
        </w:rPr>
        <w:t>方认为需要提供的资料</w:t>
      </w:r>
      <w:r>
        <w:rPr>
          <w:rFonts w:hint="eastAsia" w:ascii="仿宋" w:hAnsi="仿宋" w:eastAsia="仿宋"/>
          <w:color w:val="auto"/>
          <w:sz w:val="28"/>
          <w:szCs w:val="28"/>
          <w:highlight w:val="none"/>
        </w:rPr>
        <w:t>,</w:t>
      </w:r>
      <w:r>
        <w:rPr>
          <w:rFonts w:hint="eastAsia" w:ascii="仿宋" w:hAnsi="仿宋" w:eastAsia="仿宋"/>
          <w:b/>
          <w:bCs/>
          <w:color w:val="auto"/>
          <w:sz w:val="28"/>
          <w:szCs w:val="28"/>
          <w:highlight w:val="none"/>
        </w:rPr>
        <w:t>相关复印件需签“与原件相符”并盖单位公章（下同）</w:t>
      </w:r>
      <w:r>
        <w:rPr>
          <w:rFonts w:ascii="仿宋" w:hAnsi="仿宋" w:eastAsia="仿宋"/>
          <w:b/>
          <w:bCs/>
          <w:color w:val="auto"/>
          <w:sz w:val="28"/>
          <w:szCs w:val="28"/>
          <w:highlight w:val="none"/>
        </w:rPr>
        <w:t>。</w:t>
      </w:r>
    </w:p>
    <w:p w14:paraId="66E170C3">
      <w:pPr>
        <w:numPr>
          <w:ilvl w:val="0"/>
          <w:numId w:val="1"/>
        </w:num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报价方未被“信用中国”（www.creditchina.gov.cn）、中国政府采购网（www.ccgp.gov.cn）列入失信被执行人、重大税收违法案件当事人名单、政府采购严重违法失信行为记录名单。供应商需提供相关网页资料打印件等材料。</w:t>
      </w:r>
    </w:p>
    <w:p w14:paraId="15ED85EB">
      <w:pPr>
        <w:numPr>
          <w:ilvl w:val="0"/>
          <w:numId w:val="1"/>
        </w:num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报价</w:t>
      </w:r>
      <w:r>
        <w:rPr>
          <w:rFonts w:ascii="仿宋" w:hAnsi="仿宋" w:eastAsia="仿宋"/>
          <w:color w:val="auto"/>
          <w:sz w:val="28"/>
          <w:szCs w:val="28"/>
          <w:highlight w:val="none"/>
        </w:rPr>
        <w:t>方必须至少提供</w:t>
      </w:r>
      <w:r>
        <w:rPr>
          <w:rFonts w:hint="eastAsia" w:ascii="仿宋" w:hAnsi="仿宋" w:eastAsia="仿宋"/>
          <w:color w:val="auto"/>
          <w:sz w:val="28"/>
          <w:szCs w:val="28"/>
          <w:highlight w:val="none"/>
        </w:rPr>
        <w:t>3</w:t>
      </w:r>
      <w:r>
        <w:rPr>
          <w:rFonts w:ascii="仿宋" w:hAnsi="仿宋" w:eastAsia="仿宋"/>
          <w:color w:val="auto"/>
          <w:sz w:val="28"/>
          <w:szCs w:val="28"/>
          <w:highlight w:val="none"/>
        </w:rPr>
        <w:t>份自202</w:t>
      </w:r>
      <w:r>
        <w:rPr>
          <w:rFonts w:hint="eastAsia" w:ascii="仿宋" w:hAnsi="仿宋" w:eastAsia="仿宋"/>
          <w:color w:val="auto"/>
          <w:sz w:val="28"/>
          <w:szCs w:val="28"/>
          <w:highlight w:val="none"/>
        </w:rPr>
        <w:t>4</w:t>
      </w:r>
      <w:r>
        <w:rPr>
          <w:rFonts w:ascii="仿宋" w:hAnsi="仿宋" w:eastAsia="仿宋"/>
          <w:color w:val="auto"/>
          <w:sz w:val="28"/>
          <w:szCs w:val="28"/>
          <w:highlight w:val="none"/>
        </w:rPr>
        <w:t>年（含）以来具有同类项目或服务内容的业绩证明</w:t>
      </w:r>
      <w:r>
        <w:rPr>
          <w:rFonts w:hint="eastAsia" w:ascii="仿宋" w:hAnsi="仿宋" w:eastAsia="仿宋"/>
          <w:color w:val="auto"/>
          <w:sz w:val="28"/>
          <w:szCs w:val="28"/>
          <w:highlight w:val="none"/>
        </w:rPr>
        <w:t>（办公系统平台运维服务），</w:t>
      </w:r>
      <w:r>
        <w:rPr>
          <w:rFonts w:ascii="仿宋" w:hAnsi="仿宋" w:eastAsia="仿宋"/>
          <w:color w:val="auto"/>
          <w:sz w:val="28"/>
          <w:szCs w:val="28"/>
          <w:highlight w:val="none"/>
        </w:rPr>
        <w:t>以</w:t>
      </w:r>
      <w:r>
        <w:rPr>
          <w:rFonts w:hint="eastAsia" w:ascii="仿宋" w:hAnsi="仿宋" w:eastAsia="仿宋"/>
          <w:color w:val="auto"/>
          <w:sz w:val="28"/>
          <w:szCs w:val="28"/>
          <w:highlight w:val="none"/>
        </w:rPr>
        <w:t>成交</w:t>
      </w:r>
      <w:r>
        <w:rPr>
          <w:rFonts w:ascii="仿宋" w:hAnsi="仿宋" w:eastAsia="仿宋"/>
          <w:color w:val="auto"/>
          <w:sz w:val="28"/>
          <w:szCs w:val="28"/>
          <w:highlight w:val="none"/>
        </w:rPr>
        <w:t>通知书或合同复印件关键页为准（提供合同复印件，原件备查）。</w:t>
      </w:r>
    </w:p>
    <w:p w14:paraId="697D8CF1">
      <w:pPr>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w:t>
      </w:r>
      <w:r>
        <w:rPr>
          <w:rFonts w:hint="eastAsia" w:ascii="仿宋" w:hAnsi="仿宋" w:eastAsia="仿宋"/>
          <w:color w:val="auto"/>
          <w:sz w:val="28"/>
          <w:szCs w:val="28"/>
          <w:highlight w:val="none"/>
        </w:rPr>
        <w:t>四</w:t>
      </w:r>
      <w:r>
        <w:rPr>
          <w:rFonts w:ascii="仿宋" w:hAnsi="仿宋" w:eastAsia="仿宋"/>
          <w:color w:val="auto"/>
          <w:sz w:val="28"/>
          <w:szCs w:val="28"/>
          <w:highlight w:val="none"/>
        </w:rPr>
        <w:t>）</w:t>
      </w:r>
      <w:r>
        <w:rPr>
          <w:rFonts w:hint="eastAsia" w:ascii="仿宋" w:hAnsi="仿宋" w:eastAsia="仿宋"/>
          <w:color w:val="auto"/>
          <w:sz w:val="28"/>
          <w:szCs w:val="28"/>
          <w:highlight w:val="none"/>
        </w:rPr>
        <w:t>成交方</w:t>
      </w:r>
      <w:r>
        <w:rPr>
          <w:rFonts w:ascii="仿宋" w:hAnsi="仿宋" w:eastAsia="仿宋"/>
          <w:color w:val="auto"/>
          <w:sz w:val="28"/>
          <w:szCs w:val="28"/>
          <w:highlight w:val="none"/>
        </w:rPr>
        <w:t>须按照双方约定提供执法局</w:t>
      </w:r>
      <w:r>
        <w:rPr>
          <w:rFonts w:hint="eastAsia" w:ascii="仿宋" w:hAnsi="仿宋" w:eastAsia="仿宋"/>
          <w:color w:val="auto"/>
          <w:sz w:val="28"/>
          <w:szCs w:val="28"/>
          <w:highlight w:val="none"/>
          <w:lang w:val="en-US" w:eastAsia="zh-CN"/>
        </w:rPr>
        <w:t>桌面软件运维服务</w:t>
      </w:r>
      <w:r>
        <w:rPr>
          <w:rFonts w:ascii="仿宋" w:hAnsi="仿宋" w:eastAsia="仿宋"/>
          <w:color w:val="auto"/>
          <w:sz w:val="28"/>
          <w:szCs w:val="28"/>
          <w:highlight w:val="none"/>
        </w:rPr>
        <w:t>，未按</w:t>
      </w:r>
      <w:r>
        <w:rPr>
          <w:rFonts w:hint="eastAsia" w:ascii="仿宋" w:hAnsi="仿宋" w:eastAsia="仿宋"/>
          <w:color w:val="auto"/>
          <w:sz w:val="28"/>
          <w:szCs w:val="28"/>
          <w:highlight w:val="none"/>
        </w:rPr>
        <w:t>合同</w:t>
      </w:r>
      <w:r>
        <w:rPr>
          <w:rFonts w:ascii="仿宋" w:hAnsi="仿宋" w:eastAsia="仿宋"/>
          <w:color w:val="auto"/>
          <w:sz w:val="28"/>
          <w:szCs w:val="28"/>
          <w:highlight w:val="none"/>
        </w:rPr>
        <w:t>提供服务或服务内容、标准未达到合同约定要求的，采购方有权拒绝付款，并中止履行合同；造成采购方经济损失的，依法追究</w:t>
      </w:r>
      <w:r>
        <w:rPr>
          <w:rFonts w:hint="eastAsia" w:ascii="仿宋" w:hAnsi="仿宋" w:eastAsia="仿宋"/>
          <w:color w:val="auto"/>
          <w:sz w:val="28"/>
          <w:szCs w:val="28"/>
          <w:highlight w:val="none"/>
        </w:rPr>
        <w:t>成交方</w:t>
      </w:r>
      <w:r>
        <w:rPr>
          <w:rFonts w:ascii="仿宋" w:hAnsi="仿宋" w:eastAsia="仿宋"/>
          <w:color w:val="auto"/>
          <w:sz w:val="28"/>
          <w:szCs w:val="28"/>
          <w:highlight w:val="none"/>
        </w:rPr>
        <w:t>相关责任。</w:t>
      </w:r>
    </w:p>
    <w:p w14:paraId="71DDCF6C">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（五）成交方</w:t>
      </w:r>
      <w:r>
        <w:rPr>
          <w:rFonts w:ascii="仿宋" w:hAnsi="仿宋" w:eastAsia="仿宋"/>
          <w:color w:val="auto"/>
          <w:sz w:val="28"/>
          <w:szCs w:val="28"/>
          <w:highlight w:val="none"/>
        </w:rPr>
        <w:t>必须签署相关保密协议，严格遵守协议及有关保密要求。</w:t>
      </w:r>
    </w:p>
    <w:p w14:paraId="0E492E97">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（六）</w:t>
      </w:r>
      <w:r>
        <w:rPr>
          <w:rFonts w:ascii="仿宋" w:hAnsi="仿宋" w:eastAsia="仿宋"/>
          <w:color w:val="auto"/>
          <w:sz w:val="28"/>
          <w:szCs w:val="28"/>
          <w:highlight w:val="none"/>
        </w:rPr>
        <w:t>不可抗力：如因不可抗</w:t>
      </w:r>
      <w:r>
        <w:rPr>
          <w:rFonts w:hint="eastAsia" w:ascii="仿宋" w:hAnsi="仿宋" w:eastAsia="仿宋"/>
          <w:color w:val="auto"/>
          <w:sz w:val="28"/>
          <w:szCs w:val="28"/>
          <w:highlight w:val="none"/>
        </w:rPr>
        <w:t>力</w:t>
      </w:r>
      <w:r>
        <w:rPr>
          <w:rFonts w:ascii="仿宋" w:hAnsi="仿宋" w:eastAsia="仿宋"/>
          <w:color w:val="auto"/>
          <w:sz w:val="28"/>
          <w:szCs w:val="28"/>
          <w:highlight w:val="none"/>
        </w:rPr>
        <w:t>问题导致无法或延迟履行合同的，应在不可抗力事件发生后三天内通知对方，并协商寻求减少损失的办法或对双方都公正合理的另外安排。</w:t>
      </w:r>
    </w:p>
    <w:p w14:paraId="5E702F65">
      <w:pPr>
        <w:pStyle w:val="3"/>
        <w:spacing w:before="0" w:after="0"/>
        <w:ind w:firstLine="562" w:firstLineChars="200"/>
        <w:rPr>
          <w:rFonts w:ascii="仿宋" w:hAnsi="仿宋" w:eastAsia="仿宋"/>
          <w:b w:val="0"/>
          <w:bCs w:val="0"/>
          <w:color w:val="auto"/>
          <w:sz w:val="28"/>
          <w:szCs w:val="28"/>
          <w:highlight w:val="none"/>
        </w:rPr>
      </w:pPr>
      <w:r>
        <w:rPr>
          <w:rFonts w:hint="eastAsia" w:ascii="仿宋" w:hAnsi="仿宋" w:eastAsia="仿宋"/>
          <w:color w:val="auto"/>
          <w:sz w:val="28"/>
          <w:szCs w:val="28"/>
          <w:highlight w:val="none"/>
        </w:rPr>
        <w:t>四、验收标准</w:t>
      </w:r>
    </w:p>
    <w:p w14:paraId="74B27F3C">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成交方按合同要求完成桌面软件运维服务，提供年度运维报告</w:t>
      </w:r>
      <w:r>
        <w:rPr>
          <w:rFonts w:hint="eastAsia" w:ascii="仿宋" w:hAnsi="仿宋" w:eastAsia="仿宋"/>
          <w:color w:val="auto"/>
          <w:sz w:val="28"/>
          <w:szCs w:val="28"/>
          <w:highlight w:val="none"/>
          <w:lang w:val="en-US" w:eastAsia="zh-CN"/>
        </w:rPr>
        <w:t>和文档备份数据</w:t>
      </w:r>
      <w:r>
        <w:rPr>
          <w:rFonts w:hint="eastAsia" w:ascii="仿宋" w:hAnsi="仿宋" w:eastAsia="仿宋"/>
          <w:color w:val="auto"/>
          <w:sz w:val="28"/>
          <w:szCs w:val="28"/>
          <w:highlight w:val="none"/>
        </w:rPr>
        <w:t>，保障局机关及各下设机构综合办公平台使用正常，验收通过。</w:t>
      </w:r>
    </w:p>
    <w:p w14:paraId="79F6A395">
      <w:pPr>
        <w:pStyle w:val="3"/>
        <w:spacing w:before="0" w:after="0"/>
        <w:ind w:firstLine="562" w:firstLineChars="200"/>
        <w:rPr>
          <w:rFonts w:ascii="仿宋" w:hAnsi="仿宋" w:eastAsia="仿宋"/>
          <w:b w:val="0"/>
          <w:bCs w:val="0"/>
          <w:color w:val="auto"/>
          <w:sz w:val="28"/>
          <w:szCs w:val="28"/>
          <w:highlight w:val="none"/>
        </w:rPr>
      </w:pPr>
      <w:r>
        <w:rPr>
          <w:rFonts w:hint="eastAsia" w:ascii="仿宋" w:hAnsi="仿宋" w:eastAsia="仿宋"/>
          <w:color w:val="auto"/>
          <w:sz w:val="28"/>
          <w:szCs w:val="28"/>
          <w:highlight w:val="none"/>
        </w:rPr>
        <w:t>五、付款方式</w:t>
      </w:r>
    </w:p>
    <w:p w14:paraId="630C7C72">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（一）履约保证金：成交方在签订合同</w:t>
      </w:r>
      <w:r>
        <w:rPr>
          <w:rFonts w:hint="eastAsia" w:ascii="仿宋" w:hAnsi="仿宋" w:eastAsia="仿宋"/>
          <w:color w:val="auto"/>
          <w:sz w:val="28"/>
          <w:szCs w:val="28"/>
          <w:highlight w:val="none"/>
          <w:lang w:val="en-US" w:eastAsia="zh-CN"/>
        </w:rPr>
        <w:t>后</w:t>
      </w:r>
      <w:r>
        <w:rPr>
          <w:rFonts w:hint="eastAsia" w:ascii="仿宋" w:hAnsi="仿宋" w:eastAsia="仿宋"/>
          <w:color w:val="auto"/>
          <w:sz w:val="28"/>
          <w:szCs w:val="28"/>
          <w:highlight w:val="none"/>
        </w:rPr>
        <w:t>按合同金额的5%（小微企业按合同金额的2%）向采购方支付履约保证金，服务期到期并完成履约验收</w:t>
      </w:r>
      <w:r>
        <w:rPr>
          <w:rFonts w:hint="eastAsia" w:ascii="仿宋" w:hAnsi="仿宋" w:eastAsia="仿宋"/>
          <w:color w:val="auto"/>
          <w:sz w:val="28"/>
          <w:szCs w:val="28"/>
          <w:highlight w:val="none"/>
          <w:lang w:val="en-US" w:eastAsia="zh-CN"/>
        </w:rPr>
        <w:t>合格</w:t>
      </w:r>
      <w:r>
        <w:rPr>
          <w:rFonts w:hint="eastAsia" w:ascii="仿宋" w:hAnsi="仿宋" w:eastAsia="仿宋"/>
          <w:color w:val="auto"/>
          <w:sz w:val="28"/>
          <w:szCs w:val="28"/>
          <w:highlight w:val="none"/>
        </w:rPr>
        <w:t>后，采购方接成交方来函10个工作日内无息退还成交方。</w:t>
      </w:r>
    </w:p>
    <w:p w14:paraId="41F8CDEF">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二）采购方与成交方合同签订（含保密协议）并生效后10个工作日内，成交方提交项目服务方案，采购方向成交方支付合同总额的20%；成交方提供不少于3个月运维服务，采购方向成交方支付60%；完成年度运维服务</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提供运维</w:t>
      </w:r>
      <w:r>
        <w:rPr>
          <w:rFonts w:hint="eastAsia" w:ascii="仿宋" w:hAnsi="仿宋" w:eastAsia="仿宋"/>
          <w:color w:val="auto"/>
          <w:sz w:val="28"/>
          <w:szCs w:val="28"/>
          <w:highlight w:val="none"/>
          <w:lang w:val="en-US" w:eastAsia="zh-CN"/>
        </w:rPr>
        <w:t>服务</w:t>
      </w:r>
      <w:r>
        <w:rPr>
          <w:rFonts w:hint="eastAsia" w:ascii="仿宋" w:hAnsi="仿宋" w:eastAsia="仿宋"/>
          <w:color w:val="auto"/>
          <w:sz w:val="28"/>
          <w:szCs w:val="28"/>
          <w:highlight w:val="none"/>
        </w:rPr>
        <w:t>报告</w:t>
      </w:r>
      <w:r>
        <w:rPr>
          <w:rFonts w:hint="eastAsia" w:ascii="仿宋" w:hAnsi="仿宋" w:eastAsia="仿宋"/>
          <w:color w:val="auto"/>
          <w:sz w:val="28"/>
          <w:szCs w:val="28"/>
          <w:highlight w:val="none"/>
          <w:lang w:val="en-US" w:eastAsia="zh-CN"/>
        </w:rPr>
        <w:t>和文档备份数据</w:t>
      </w:r>
      <w:r>
        <w:rPr>
          <w:rFonts w:hint="eastAsia" w:ascii="仿宋" w:hAnsi="仿宋" w:eastAsia="仿宋"/>
          <w:color w:val="auto"/>
          <w:sz w:val="28"/>
          <w:szCs w:val="28"/>
          <w:highlight w:val="none"/>
        </w:rPr>
        <w:t xml:space="preserve">，经验收合格后，采购方向成交方支付合同金额的20%。 </w:t>
      </w:r>
    </w:p>
    <w:p w14:paraId="23982E62">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（三）成交方申请支付合同价款前，应开具相应金额合规发票给采购方。</w:t>
      </w:r>
    </w:p>
    <w:p w14:paraId="696AD160">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（四）本项目报价为总包干价，报价必须包括实施和完成该项目所需的设备和服务、税费等一切费用，以及合同明示所有责任、义务和一般风险，采购方不再支付任何费用。</w:t>
      </w:r>
    </w:p>
    <w:p w14:paraId="4F753148">
      <w:pPr>
        <w:pStyle w:val="3"/>
        <w:spacing w:before="0" w:after="0"/>
        <w:ind w:firstLine="562" w:firstLineChars="200"/>
        <w:rPr>
          <w:rFonts w:ascii="仿宋" w:hAnsi="仿宋" w:eastAsia="仿宋"/>
          <w:b w:val="0"/>
          <w:bCs w:val="0"/>
          <w:color w:val="auto"/>
          <w:sz w:val="28"/>
          <w:szCs w:val="28"/>
          <w:highlight w:val="none"/>
        </w:rPr>
      </w:pPr>
      <w:r>
        <w:rPr>
          <w:rFonts w:hint="eastAsia" w:ascii="仿宋" w:hAnsi="仿宋" w:eastAsia="仿宋"/>
          <w:color w:val="auto"/>
          <w:sz w:val="28"/>
          <w:szCs w:val="28"/>
          <w:highlight w:val="none"/>
        </w:rPr>
        <w:t>六、评审和推荐成交候选人</w:t>
      </w:r>
    </w:p>
    <w:p w14:paraId="7C217B87">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（一）“评审委员会”构成：本采购项目的“评审委员会”由执法局根据有关要求抽取3人及以上单数作为评委和1名监督员构成。</w:t>
      </w:r>
    </w:p>
    <w:p w14:paraId="542591AF">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（二）评审条件：“评审委员会”将以采购文件、报价文件为评审依据，对报价方的报价最终报价、产品质量、服务质量、资质条件等开展评审工作。</w:t>
      </w:r>
    </w:p>
    <w:p w14:paraId="3B6C6739">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（三）评审采用综合评分法，即报价方的报价文件完全响应采购文件的前提下，综合评分最高者推荐为第一成交候选人。</w:t>
      </w:r>
    </w:p>
    <w:p w14:paraId="281B013F">
      <w:pPr>
        <w:pStyle w:val="3"/>
        <w:spacing w:before="0" w:after="0"/>
        <w:ind w:firstLine="562"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七、评分方法及标准</w:t>
      </w:r>
    </w:p>
    <w:tbl>
      <w:tblPr>
        <w:tblStyle w:val="11"/>
        <w:tblW w:w="90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251"/>
        <w:gridCol w:w="6238"/>
        <w:gridCol w:w="901"/>
      </w:tblGrid>
      <w:tr w14:paraId="61803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0" w:type="dxa"/>
            <w:noWrap/>
            <w:vAlign w:val="center"/>
          </w:tcPr>
          <w:p w14:paraId="5FB63658">
            <w:pPr>
              <w:widowControl/>
              <w:spacing w:line="360" w:lineRule="auto"/>
              <w:jc w:val="center"/>
              <w:rPr>
                <w:rFonts w:ascii="仿宋_GB2312" w:hAnsi="宋体" w:eastAsia="仿宋_GB2312" w:cs="Tahoma"/>
                <w:b/>
                <w:bCs/>
                <w:color w:val="auto"/>
                <w:kern w:val="0"/>
                <w:sz w:val="24"/>
                <w:highlight w:val="none"/>
              </w:rPr>
            </w:pPr>
            <w:bookmarkStart w:id="3" w:name="PO_TDCUS_ITEM_SM_TABLE_1"/>
            <w:r>
              <w:rPr>
                <w:rFonts w:hint="eastAsia" w:ascii="仿宋_GB2312" w:hAnsi="宋体" w:eastAsia="仿宋_GB2312" w:cs="Tahoma"/>
                <w:b/>
                <w:bCs/>
                <w:color w:val="auto"/>
                <w:kern w:val="0"/>
                <w:sz w:val="24"/>
                <w:highlight w:val="none"/>
              </w:rPr>
              <w:t>序号</w:t>
            </w:r>
          </w:p>
        </w:tc>
        <w:tc>
          <w:tcPr>
            <w:tcW w:w="1251" w:type="dxa"/>
            <w:noWrap/>
            <w:vAlign w:val="center"/>
          </w:tcPr>
          <w:p w14:paraId="2F15F917">
            <w:pPr>
              <w:widowControl/>
              <w:spacing w:line="360" w:lineRule="auto"/>
              <w:jc w:val="center"/>
              <w:rPr>
                <w:rFonts w:ascii="仿宋_GB2312" w:hAnsi="宋体" w:eastAsia="仿宋_GB2312" w:cs="Tahoma"/>
                <w:b/>
                <w:bCs/>
                <w:color w:val="auto"/>
                <w:kern w:val="0"/>
                <w:sz w:val="24"/>
                <w:highlight w:val="none"/>
              </w:rPr>
            </w:pPr>
            <w:r>
              <w:rPr>
                <w:rFonts w:hint="eastAsia" w:ascii="仿宋_GB2312" w:hAnsi="宋体" w:eastAsia="仿宋_GB2312" w:cs="Tahoma"/>
                <w:b/>
                <w:bCs/>
                <w:color w:val="auto"/>
                <w:kern w:val="0"/>
                <w:sz w:val="24"/>
                <w:highlight w:val="none"/>
              </w:rPr>
              <w:t>评审因素</w:t>
            </w:r>
          </w:p>
        </w:tc>
        <w:tc>
          <w:tcPr>
            <w:tcW w:w="6238" w:type="dxa"/>
            <w:noWrap/>
            <w:vAlign w:val="center"/>
          </w:tcPr>
          <w:p w14:paraId="79494D28">
            <w:pPr>
              <w:widowControl/>
              <w:spacing w:line="360" w:lineRule="auto"/>
              <w:jc w:val="center"/>
              <w:rPr>
                <w:rFonts w:ascii="仿宋_GB2312" w:hAnsi="宋体" w:eastAsia="仿宋_GB2312" w:cs="Tahoma"/>
                <w:b/>
                <w:bCs/>
                <w:color w:val="auto"/>
                <w:kern w:val="0"/>
                <w:sz w:val="24"/>
                <w:highlight w:val="none"/>
              </w:rPr>
            </w:pPr>
            <w:r>
              <w:rPr>
                <w:rFonts w:hint="eastAsia" w:ascii="仿宋_GB2312" w:hAnsi="宋体" w:eastAsia="仿宋_GB2312" w:cs="Tahoma"/>
                <w:b/>
                <w:bCs/>
                <w:color w:val="auto"/>
                <w:kern w:val="0"/>
                <w:sz w:val="24"/>
                <w:highlight w:val="none"/>
              </w:rPr>
              <w:t>评审因素具体内容</w:t>
            </w:r>
          </w:p>
        </w:tc>
        <w:tc>
          <w:tcPr>
            <w:tcW w:w="901" w:type="dxa"/>
            <w:noWrap/>
            <w:vAlign w:val="center"/>
          </w:tcPr>
          <w:p w14:paraId="6C463CA0">
            <w:pPr>
              <w:widowControl/>
              <w:spacing w:line="360" w:lineRule="auto"/>
              <w:jc w:val="center"/>
              <w:rPr>
                <w:rFonts w:ascii="仿宋_GB2312" w:hAnsi="宋体" w:eastAsia="仿宋_GB2312" w:cs="Tahoma"/>
                <w:b/>
                <w:bCs/>
                <w:color w:val="auto"/>
                <w:kern w:val="0"/>
                <w:sz w:val="24"/>
                <w:highlight w:val="none"/>
              </w:rPr>
            </w:pPr>
            <w:r>
              <w:rPr>
                <w:rFonts w:hint="eastAsia" w:ascii="仿宋_GB2312" w:hAnsi="宋体" w:eastAsia="仿宋_GB2312" w:cs="Tahoma"/>
                <w:b/>
                <w:bCs/>
                <w:color w:val="auto"/>
                <w:kern w:val="0"/>
                <w:sz w:val="24"/>
                <w:highlight w:val="none"/>
              </w:rPr>
              <w:t>分值</w:t>
            </w:r>
          </w:p>
        </w:tc>
      </w:tr>
      <w:tr w14:paraId="236B2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6" w:hRule="atLeast"/>
        </w:trPr>
        <w:tc>
          <w:tcPr>
            <w:tcW w:w="700" w:type="dxa"/>
            <w:noWrap/>
            <w:vAlign w:val="center"/>
          </w:tcPr>
          <w:p w14:paraId="5299B83C">
            <w:pPr>
              <w:widowControl/>
              <w:spacing w:line="360" w:lineRule="auto"/>
              <w:jc w:val="left"/>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1</w:t>
            </w:r>
          </w:p>
        </w:tc>
        <w:tc>
          <w:tcPr>
            <w:tcW w:w="1251" w:type="dxa"/>
            <w:noWrap/>
            <w:vAlign w:val="center"/>
          </w:tcPr>
          <w:p w14:paraId="6B14AC14">
            <w:pPr>
              <w:widowControl/>
              <w:spacing w:line="360" w:lineRule="auto"/>
              <w:jc w:val="left"/>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价格分</w:t>
            </w:r>
          </w:p>
        </w:tc>
        <w:tc>
          <w:tcPr>
            <w:tcW w:w="6238" w:type="dxa"/>
            <w:noWrap/>
          </w:tcPr>
          <w:p w14:paraId="5B46A178">
            <w:pPr>
              <w:widowControl/>
              <w:spacing w:line="360" w:lineRule="auto"/>
              <w:jc w:val="left"/>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（1）评审价为供应商的最后报价进行政策性扣除后的价格，评审价只是作为评审时使用。最终成交供应商的成交金额等于最后报价（如有修正，以确认修正后的最后报价为准）。</w:t>
            </w:r>
          </w:p>
          <w:p w14:paraId="6FC1C7FE">
            <w:pPr>
              <w:widowControl/>
              <w:spacing w:line="360" w:lineRule="auto"/>
              <w:jc w:val="left"/>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（2）政府采购政策性扣除计算方法</w:t>
            </w:r>
          </w:p>
          <w:p w14:paraId="4131CD29">
            <w:pPr>
              <w:widowControl/>
              <w:spacing w:line="360" w:lineRule="auto"/>
              <w:jc w:val="left"/>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根据《政府采购促进中小企业发展管理办法》（财库〔2020〕46号）及《广西壮族自治区财政厅关于进一步发挥政府采购政策功能促进企业发展的通知》（桂财采〔2022〕30号）的规定，供应商在其响应文件中提供《中小企业声明函》，且服务全部由小微企业承接，对供应商的竞标报价给予20%的扣除，扣除后的价格为评审价，即评审价=竞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 4 %的扣除，用扣除后的价格参加评审，扣除后的价格为评审价，即评审价=竞标报价×（1- 4 %）。除上述情况外，评审价=竞标报价。</w:t>
            </w:r>
          </w:p>
          <w:p w14:paraId="7EFE749F">
            <w:pPr>
              <w:widowControl/>
              <w:spacing w:line="360" w:lineRule="auto"/>
              <w:jc w:val="left"/>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267A15A9">
            <w:pPr>
              <w:widowControl/>
              <w:spacing w:line="360" w:lineRule="auto"/>
              <w:jc w:val="left"/>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3E57ED5">
            <w:pPr>
              <w:widowControl/>
              <w:spacing w:line="360" w:lineRule="auto"/>
              <w:jc w:val="left"/>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（5）价格分计算公式：</w:t>
            </w:r>
          </w:p>
          <w:p w14:paraId="5A8761F1">
            <w:pPr>
              <w:widowControl/>
              <w:spacing w:line="360" w:lineRule="auto"/>
              <w:jc w:val="left"/>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　                 供应商最低评标价金额</w:t>
            </w:r>
          </w:p>
          <w:p w14:paraId="46F27D1B">
            <w:pPr>
              <w:widowControl/>
              <w:spacing w:line="360" w:lineRule="auto"/>
              <w:jc w:val="left"/>
              <w:rPr>
                <w:rFonts w:ascii="仿宋_GB2312" w:hAnsi="宋体" w:eastAsia="仿宋_GB2312" w:cs="Tahoma"/>
                <w:color w:val="auto"/>
                <w:kern w:val="0"/>
                <w:sz w:val="24"/>
                <w:highlight w:val="none"/>
              </w:rPr>
            </w:pPr>
            <w:r>
              <w:rPr>
                <w:rFonts w:ascii="仿宋_GB2312" w:hAnsi="宋体" w:eastAsia="仿宋_GB2312" w:cs="Tahoma"/>
                <w:color w:val="auto"/>
                <w:kern w:val="0"/>
                <w:sz w:val="24"/>
                <w:highlight w:val="none"/>
              </w:rPr>
              <w:pict>
                <v:line id="_x0000_s1026" o:spid="_x0000_s1026" o:spt="20" style="position:absolute;left:0pt;margin-left:110.25pt;margin-top:8.35pt;height:0pt;width:126pt;z-index:251659264;mso-width-relative:page;mso-height-relative:page;" coordsize="21600,21600" o:gfxdata="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1UuN7VAAAACQEAAA8AAAAAAAAAAQAgAAAAIgAAAGRycy9kb3ducmV2LnhtbFBLAQIUABQAAAAI&#10;AIdO4kCAKLXg8AEAAOYDAAAOAAAAAAAAAAEAIAAAACQBAABkcnMvZTJvRG9jLnhtbFBLBQYAAAAA&#10;BgAGAFkBAACGBQAAAAA=&#10;">
                  <v:path arrowok="t"/>
                  <v:fill focussize="0,0"/>
                  <v:stroke/>
                  <v:imagedata o:title=""/>
                  <o:lock v:ext="edit"/>
                </v:line>
              </w:pict>
            </w:r>
            <w:r>
              <w:rPr>
                <w:rFonts w:hint="eastAsia" w:ascii="仿宋_GB2312" w:hAnsi="宋体" w:eastAsia="仿宋_GB2312" w:cs="Tahoma"/>
                <w:color w:val="auto"/>
                <w:kern w:val="0"/>
                <w:sz w:val="24"/>
                <w:highlight w:val="none"/>
              </w:rPr>
              <w:t>某供应商价格分 ＝                          ×10分</w:t>
            </w:r>
          </w:p>
          <w:p w14:paraId="06C46E2C">
            <w:pPr>
              <w:widowControl/>
              <w:spacing w:line="360" w:lineRule="auto"/>
              <w:jc w:val="left"/>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 xml:space="preserve">                   　某供应商评标价金额</w:t>
            </w:r>
          </w:p>
        </w:tc>
        <w:tc>
          <w:tcPr>
            <w:tcW w:w="901" w:type="dxa"/>
            <w:noWrap/>
            <w:vAlign w:val="center"/>
          </w:tcPr>
          <w:p w14:paraId="1B1F1AB4">
            <w:pPr>
              <w:widowControl/>
              <w:spacing w:line="360" w:lineRule="auto"/>
              <w:jc w:val="left"/>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10分</w:t>
            </w:r>
          </w:p>
        </w:tc>
      </w:tr>
      <w:tr w14:paraId="5004C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0" w:type="dxa"/>
            <w:noWrap/>
            <w:vAlign w:val="center"/>
          </w:tcPr>
          <w:p w14:paraId="16942402">
            <w:pPr>
              <w:widowControl/>
              <w:spacing w:line="360" w:lineRule="auto"/>
              <w:jc w:val="left"/>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2</w:t>
            </w:r>
          </w:p>
        </w:tc>
        <w:tc>
          <w:tcPr>
            <w:tcW w:w="1251" w:type="dxa"/>
            <w:noWrap/>
            <w:vAlign w:val="center"/>
          </w:tcPr>
          <w:p w14:paraId="01699961">
            <w:pPr>
              <w:widowControl/>
              <w:spacing w:line="360" w:lineRule="auto"/>
              <w:jc w:val="left"/>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技术分</w:t>
            </w:r>
          </w:p>
        </w:tc>
        <w:tc>
          <w:tcPr>
            <w:tcW w:w="6238" w:type="dxa"/>
            <w:noWrap/>
            <w:vAlign w:val="center"/>
          </w:tcPr>
          <w:p w14:paraId="703D1B9B">
            <w:pPr>
              <w:widowControl/>
              <w:spacing w:line="360" w:lineRule="auto"/>
              <w:jc w:val="center"/>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评审因素</w:t>
            </w:r>
          </w:p>
        </w:tc>
        <w:tc>
          <w:tcPr>
            <w:tcW w:w="901" w:type="dxa"/>
            <w:vAlign w:val="center"/>
          </w:tcPr>
          <w:p w14:paraId="07A5970D">
            <w:pPr>
              <w:widowControl/>
              <w:spacing w:line="360" w:lineRule="auto"/>
              <w:jc w:val="left"/>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6</w:t>
            </w:r>
            <w:r>
              <w:rPr>
                <w:rFonts w:hint="eastAsia" w:ascii="仿宋_GB2312" w:hAnsi="宋体" w:eastAsia="仿宋_GB2312" w:cs="Tahoma"/>
                <w:color w:val="auto"/>
                <w:kern w:val="0"/>
                <w:sz w:val="24"/>
                <w:highlight w:val="none"/>
                <w:lang w:val="en-US" w:eastAsia="zh-CN"/>
              </w:rPr>
              <w:t>8</w:t>
            </w:r>
            <w:r>
              <w:rPr>
                <w:rFonts w:hint="eastAsia" w:ascii="仿宋_GB2312" w:hAnsi="宋体" w:eastAsia="仿宋_GB2312" w:cs="Tahoma"/>
                <w:color w:val="auto"/>
                <w:kern w:val="0"/>
                <w:sz w:val="24"/>
                <w:highlight w:val="none"/>
              </w:rPr>
              <w:t>分</w:t>
            </w:r>
          </w:p>
        </w:tc>
      </w:tr>
      <w:tr w14:paraId="5B57E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0" w:type="dxa"/>
            <w:noWrap/>
            <w:vAlign w:val="center"/>
          </w:tcPr>
          <w:p w14:paraId="439A0BAB">
            <w:pPr>
              <w:widowControl/>
              <w:spacing w:line="360" w:lineRule="auto"/>
              <w:jc w:val="left"/>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2.1</w:t>
            </w:r>
          </w:p>
        </w:tc>
        <w:tc>
          <w:tcPr>
            <w:tcW w:w="1251" w:type="dxa"/>
            <w:noWrap/>
            <w:vAlign w:val="center"/>
          </w:tcPr>
          <w:p w14:paraId="207BBABD">
            <w:pPr>
              <w:widowControl/>
              <w:spacing w:line="360" w:lineRule="auto"/>
              <w:jc w:val="left"/>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实施方案分</w:t>
            </w:r>
          </w:p>
        </w:tc>
        <w:tc>
          <w:tcPr>
            <w:tcW w:w="6238" w:type="dxa"/>
            <w:noWrap/>
            <w:vAlign w:val="center"/>
          </w:tcPr>
          <w:p w14:paraId="4CEFD69B">
            <w:pPr>
              <w:widowControl/>
              <w:spacing w:line="360" w:lineRule="auto"/>
              <w:ind w:firstLine="480" w:firstLineChars="200"/>
              <w:jc w:val="left"/>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一档（12分）：基本理解本项目的背景、目标、服务范围，提供的实施管理、实施组织方案、质量保证措施等内容，基本满足采购需求。</w:t>
            </w:r>
          </w:p>
          <w:p w14:paraId="6BA40F95">
            <w:pPr>
              <w:widowControl/>
              <w:spacing w:line="360" w:lineRule="auto"/>
              <w:ind w:firstLine="480" w:firstLineChars="200"/>
              <w:jc w:val="left"/>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二档（16分）：较为准确理解本项目的背景、目标、服务范围，提供的实施管理、实施组织方案、质量保证措施等内容切合实际，较好满足采购需求。</w:t>
            </w:r>
          </w:p>
          <w:p w14:paraId="258731E0">
            <w:pPr>
              <w:widowControl/>
              <w:spacing w:line="360" w:lineRule="auto"/>
              <w:ind w:firstLine="480" w:firstLineChars="200"/>
              <w:jc w:val="left"/>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三档（20分）：准确理解本项目的背景、目标、服务范围，提供实施管理、实施组织方案、质量保证措施等内容科学合理，实施思路清晰、进度安排合理全面，完全满足采购需求。</w:t>
            </w:r>
          </w:p>
        </w:tc>
        <w:tc>
          <w:tcPr>
            <w:tcW w:w="901" w:type="dxa"/>
            <w:noWrap/>
            <w:vAlign w:val="center"/>
          </w:tcPr>
          <w:p w14:paraId="6E4A4AAA">
            <w:pPr>
              <w:widowControl/>
              <w:spacing w:line="360" w:lineRule="auto"/>
              <w:jc w:val="left"/>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lang w:val="en-US" w:eastAsia="zh-CN"/>
              </w:rPr>
              <w:t>2</w:t>
            </w:r>
            <w:r>
              <w:rPr>
                <w:rFonts w:hint="eastAsia" w:ascii="仿宋_GB2312" w:hAnsi="宋体" w:eastAsia="仿宋_GB2312" w:cs="Tahoma"/>
                <w:color w:val="auto"/>
                <w:kern w:val="0"/>
                <w:sz w:val="24"/>
                <w:highlight w:val="none"/>
              </w:rPr>
              <w:t>0分</w:t>
            </w:r>
          </w:p>
        </w:tc>
      </w:tr>
      <w:tr w14:paraId="22D18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0" w:type="dxa"/>
            <w:noWrap/>
            <w:vAlign w:val="center"/>
          </w:tcPr>
          <w:p w14:paraId="43B66D20">
            <w:pPr>
              <w:widowControl/>
              <w:spacing w:line="360" w:lineRule="auto"/>
              <w:jc w:val="left"/>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2.2</w:t>
            </w:r>
          </w:p>
        </w:tc>
        <w:tc>
          <w:tcPr>
            <w:tcW w:w="1251" w:type="dxa"/>
            <w:noWrap/>
            <w:vAlign w:val="center"/>
          </w:tcPr>
          <w:p w14:paraId="1A6246D9">
            <w:pPr>
              <w:widowControl/>
              <w:spacing w:line="360" w:lineRule="auto"/>
              <w:jc w:val="left"/>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运维服务方案分</w:t>
            </w:r>
          </w:p>
        </w:tc>
        <w:tc>
          <w:tcPr>
            <w:tcW w:w="6238" w:type="dxa"/>
            <w:noWrap/>
            <w:vAlign w:val="center"/>
          </w:tcPr>
          <w:p w14:paraId="76098047">
            <w:pPr>
              <w:widowControl/>
              <w:spacing w:line="360" w:lineRule="auto"/>
              <w:ind w:firstLine="480" w:firstLineChars="200"/>
              <w:jc w:val="left"/>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一档（1</w:t>
            </w:r>
            <w:r>
              <w:rPr>
                <w:rFonts w:hint="eastAsia" w:ascii="仿宋_GB2312" w:hAnsi="宋体" w:eastAsia="仿宋_GB2312" w:cs="Tahoma"/>
                <w:color w:val="auto"/>
                <w:kern w:val="0"/>
                <w:sz w:val="24"/>
                <w:highlight w:val="none"/>
                <w:lang w:val="en-US" w:eastAsia="zh-CN"/>
              </w:rPr>
              <w:t>8</w:t>
            </w:r>
            <w:r>
              <w:rPr>
                <w:rFonts w:hint="eastAsia" w:ascii="仿宋_GB2312" w:hAnsi="宋体" w:eastAsia="仿宋_GB2312" w:cs="Tahoma"/>
                <w:color w:val="auto"/>
                <w:kern w:val="0"/>
                <w:sz w:val="24"/>
                <w:highlight w:val="none"/>
              </w:rPr>
              <w:t>分）：运维服务方案基本涵盖服务内容、响应时间、故障处理、服务质量保证等内容，内容描述简单、措施基本合理、具有操作性，基本符合项目要求。</w:t>
            </w:r>
          </w:p>
          <w:p w14:paraId="3AAB626D">
            <w:pPr>
              <w:widowControl/>
              <w:spacing w:line="360" w:lineRule="auto"/>
              <w:ind w:firstLine="480" w:firstLineChars="200"/>
              <w:jc w:val="left"/>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二档（</w:t>
            </w:r>
            <w:r>
              <w:rPr>
                <w:rFonts w:hint="eastAsia" w:ascii="仿宋_GB2312" w:hAnsi="宋体" w:eastAsia="仿宋_GB2312" w:cs="Tahoma"/>
                <w:color w:val="auto"/>
                <w:kern w:val="0"/>
                <w:sz w:val="24"/>
                <w:highlight w:val="none"/>
                <w:lang w:val="en-US" w:eastAsia="zh-CN"/>
              </w:rPr>
              <w:t>22</w:t>
            </w:r>
            <w:r>
              <w:rPr>
                <w:rFonts w:hint="eastAsia" w:ascii="仿宋_GB2312" w:hAnsi="宋体" w:eastAsia="仿宋_GB2312" w:cs="Tahoma"/>
                <w:color w:val="auto"/>
                <w:kern w:val="0"/>
                <w:sz w:val="24"/>
                <w:highlight w:val="none"/>
              </w:rPr>
              <w:t>分）：运维服务方案涵盖服务内容、响应时间、故障处理、服务质量保证等内容，内容描述较为准确、措施较为合理、操作性较强，符合项目要求。</w:t>
            </w:r>
          </w:p>
          <w:p w14:paraId="5BD23F31">
            <w:pPr>
              <w:widowControl/>
              <w:spacing w:line="360" w:lineRule="auto"/>
              <w:ind w:firstLine="480" w:firstLineChars="200"/>
              <w:jc w:val="left"/>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三档（2</w:t>
            </w:r>
            <w:r>
              <w:rPr>
                <w:rFonts w:hint="eastAsia" w:ascii="仿宋_GB2312" w:hAnsi="宋体" w:eastAsia="仿宋_GB2312" w:cs="Tahoma"/>
                <w:color w:val="auto"/>
                <w:kern w:val="0"/>
                <w:sz w:val="24"/>
                <w:highlight w:val="none"/>
                <w:lang w:val="en-US" w:eastAsia="zh-CN"/>
              </w:rPr>
              <w:t>6</w:t>
            </w:r>
            <w:r>
              <w:rPr>
                <w:rFonts w:hint="eastAsia" w:ascii="仿宋_GB2312" w:hAnsi="宋体" w:eastAsia="仿宋_GB2312" w:cs="Tahoma"/>
                <w:color w:val="auto"/>
                <w:kern w:val="0"/>
                <w:sz w:val="24"/>
                <w:highlight w:val="none"/>
              </w:rPr>
              <w:t>分）：运维服务方案全面涵盖服务内容、响应时间、故障处理、服务质量保证等内容，内容描述准确、措施合理、操作性强，完全符合项目要求；供应商可通过网络提供24小时远程技术支持及故障检测等服务，具备对局机关及14个下设机构运维对接服务能力。</w:t>
            </w:r>
          </w:p>
        </w:tc>
        <w:tc>
          <w:tcPr>
            <w:tcW w:w="901" w:type="dxa"/>
            <w:noWrap/>
            <w:vAlign w:val="center"/>
          </w:tcPr>
          <w:p w14:paraId="0C8105E0">
            <w:pPr>
              <w:widowControl/>
              <w:spacing w:line="360" w:lineRule="auto"/>
              <w:jc w:val="left"/>
              <w:rPr>
                <w:rFonts w:ascii="仿宋_GB2312" w:hAnsi="宋体" w:eastAsia="仿宋_GB2312" w:cs="Tahoma"/>
                <w:color w:val="auto"/>
                <w:kern w:val="0"/>
                <w:sz w:val="24"/>
                <w:highlight w:val="none"/>
              </w:rPr>
            </w:pPr>
          </w:p>
          <w:p w14:paraId="06492006">
            <w:pPr>
              <w:widowControl/>
              <w:spacing w:line="360" w:lineRule="auto"/>
              <w:jc w:val="left"/>
              <w:rPr>
                <w:rFonts w:ascii="仿宋_GB2312" w:hAnsi="宋体" w:eastAsia="仿宋_GB2312" w:cs="Tahoma"/>
                <w:color w:val="auto"/>
                <w:kern w:val="0"/>
                <w:sz w:val="24"/>
                <w:highlight w:val="none"/>
              </w:rPr>
            </w:pPr>
          </w:p>
          <w:p w14:paraId="5A43E118">
            <w:pPr>
              <w:widowControl/>
              <w:spacing w:line="360" w:lineRule="auto"/>
              <w:jc w:val="left"/>
              <w:rPr>
                <w:rFonts w:ascii="仿宋_GB2312" w:hAnsi="宋体" w:eastAsia="仿宋_GB2312" w:cs="Tahoma"/>
                <w:color w:val="auto"/>
                <w:kern w:val="0"/>
                <w:sz w:val="24"/>
                <w:highlight w:val="none"/>
              </w:rPr>
            </w:pPr>
          </w:p>
          <w:p w14:paraId="0E447A21">
            <w:pPr>
              <w:widowControl/>
              <w:spacing w:line="360" w:lineRule="auto"/>
              <w:jc w:val="left"/>
              <w:rPr>
                <w:rFonts w:ascii="仿宋_GB2312" w:hAnsi="宋体" w:eastAsia="仿宋_GB2312" w:cs="Tahoma"/>
                <w:color w:val="auto"/>
                <w:kern w:val="0"/>
                <w:sz w:val="24"/>
                <w:highlight w:val="none"/>
              </w:rPr>
            </w:pPr>
          </w:p>
          <w:p w14:paraId="781F6499">
            <w:pPr>
              <w:widowControl/>
              <w:spacing w:line="360" w:lineRule="auto"/>
              <w:jc w:val="left"/>
              <w:rPr>
                <w:rFonts w:ascii="仿宋_GB2312" w:hAnsi="宋体" w:eastAsia="仿宋_GB2312" w:cs="Tahoma"/>
                <w:color w:val="auto"/>
                <w:kern w:val="0"/>
                <w:sz w:val="24"/>
                <w:highlight w:val="none"/>
              </w:rPr>
            </w:pPr>
          </w:p>
          <w:p w14:paraId="5464A67C">
            <w:pPr>
              <w:widowControl/>
              <w:spacing w:line="360" w:lineRule="auto"/>
              <w:jc w:val="left"/>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lang w:val="en-US" w:eastAsia="zh-CN"/>
              </w:rPr>
              <w:t>26</w:t>
            </w:r>
            <w:r>
              <w:rPr>
                <w:rFonts w:hint="eastAsia" w:ascii="仿宋_GB2312" w:hAnsi="宋体" w:eastAsia="仿宋_GB2312" w:cs="Tahoma"/>
                <w:color w:val="auto"/>
                <w:kern w:val="0"/>
                <w:sz w:val="24"/>
                <w:highlight w:val="none"/>
              </w:rPr>
              <w:t>分</w:t>
            </w:r>
          </w:p>
        </w:tc>
      </w:tr>
      <w:tr w14:paraId="7F660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00" w:type="dxa"/>
            <w:noWrap/>
            <w:vAlign w:val="center"/>
          </w:tcPr>
          <w:p w14:paraId="759F5A72">
            <w:pPr>
              <w:widowControl/>
              <w:spacing w:line="360" w:lineRule="auto"/>
              <w:jc w:val="left"/>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2.3</w:t>
            </w:r>
          </w:p>
        </w:tc>
        <w:tc>
          <w:tcPr>
            <w:tcW w:w="1251" w:type="dxa"/>
            <w:noWrap/>
            <w:vAlign w:val="center"/>
          </w:tcPr>
          <w:p w14:paraId="06B74D90">
            <w:pPr>
              <w:widowControl/>
              <w:spacing w:line="360" w:lineRule="auto"/>
              <w:jc w:val="left"/>
              <w:rPr>
                <w:rFonts w:ascii="仿宋_GB2312" w:hAnsi="宋体" w:eastAsia="仿宋_GB2312" w:cs="Tahoma"/>
                <w:color w:val="auto"/>
                <w:kern w:val="0"/>
                <w:sz w:val="24"/>
                <w:highlight w:val="none"/>
              </w:rPr>
            </w:pPr>
            <w:r>
              <w:rPr>
                <w:rFonts w:hint="eastAsia" w:ascii="仿宋_GB2312" w:hAnsi="宋体" w:eastAsia="仿宋_GB2312"/>
                <w:bCs/>
                <w:color w:val="auto"/>
                <w:kern w:val="0"/>
                <w:sz w:val="24"/>
                <w:highlight w:val="none"/>
              </w:rPr>
              <w:t>履约能力分</w:t>
            </w:r>
          </w:p>
        </w:tc>
        <w:tc>
          <w:tcPr>
            <w:tcW w:w="6238" w:type="dxa"/>
            <w:noWrap/>
            <w:vAlign w:val="center"/>
          </w:tcPr>
          <w:p w14:paraId="590E989E">
            <w:pPr>
              <w:widowControl/>
              <w:spacing w:line="360" w:lineRule="auto"/>
              <w:ind w:firstLine="480" w:firstLineChars="200"/>
              <w:jc w:val="left"/>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供应商承诺成交后按要求提供覆盖局机关及14个下设机构运维服务能力，按以下情形计分：</w:t>
            </w:r>
          </w:p>
          <w:p w14:paraId="33D472A7">
            <w:pPr>
              <w:widowControl/>
              <w:numPr>
                <w:ilvl w:val="255"/>
                <w:numId w:val="0"/>
              </w:numPr>
              <w:spacing w:line="360" w:lineRule="auto"/>
              <w:ind w:firstLine="480" w:firstLineChars="200"/>
              <w:jc w:val="left"/>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（1）配备专业技术人员</w:t>
            </w:r>
            <w:r>
              <w:rPr>
                <w:rFonts w:ascii="仿宋_GB2312" w:hAnsi="宋体" w:eastAsia="仿宋_GB2312" w:cs="Tahoma"/>
                <w:color w:val="auto"/>
                <w:kern w:val="0"/>
                <w:sz w:val="24"/>
                <w:highlight w:val="none"/>
              </w:rPr>
              <w:t>10-14</w:t>
            </w:r>
            <w:r>
              <w:rPr>
                <w:rFonts w:hint="eastAsia" w:ascii="仿宋_GB2312" w:hAnsi="宋体" w:eastAsia="仿宋_GB2312" w:cs="Tahoma"/>
                <w:color w:val="auto"/>
                <w:kern w:val="0"/>
                <w:sz w:val="24"/>
                <w:highlight w:val="none"/>
              </w:rPr>
              <w:t>人，当系统出现问题时，供应商安排技术服务人员在</w:t>
            </w:r>
            <w:r>
              <w:rPr>
                <w:rFonts w:ascii="仿宋_GB2312" w:hAnsi="宋体" w:eastAsia="仿宋_GB2312" w:cs="Tahoma"/>
                <w:color w:val="auto"/>
                <w:kern w:val="0"/>
                <w:sz w:val="24"/>
                <w:highlight w:val="none"/>
              </w:rPr>
              <w:t>2</w:t>
            </w:r>
            <w:r>
              <w:rPr>
                <w:rFonts w:hint="eastAsia" w:ascii="仿宋_GB2312" w:hAnsi="宋体" w:eastAsia="仿宋_GB2312" w:cs="Tahoma"/>
                <w:color w:val="auto"/>
                <w:kern w:val="0"/>
                <w:sz w:val="24"/>
                <w:highlight w:val="none"/>
              </w:rPr>
              <w:t>小时内到达现场解决问题的，得</w:t>
            </w:r>
            <w:r>
              <w:rPr>
                <w:rFonts w:ascii="仿宋_GB2312" w:hAnsi="宋体" w:eastAsia="仿宋_GB2312" w:cs="Tahoma"/>
                <w:color w:val="auto"/>
                <w:kern w:val="0"/>
                <w:sz w:val="24"/>
                <w:highlight w:val="none"/>
              </w:rPr>
              <w:t>10</w:t>
            </w:r>
            <w:r>
              <w:rPr>
                <w:rFonts w:hint="eastAsia" w:ascii="仿宋_GB2312" w:hAnsi="宋体" w:eastAsia="仿宋_GB2312" w:cs="Tahoma"/>
                <w:color w:val="auto"/>
                <w:kern w:val="0"/>
                <w:sz w:val="24"/>
                <w:highlight w:val="none"/>
              </w:rPr>
              <w:t>分。</w:t>
            </w:r>
          </w:p>
          <w:p w14:paraId="1F3E6FD1">
            <w:pPr>
              <w:widowControl/>
              <w:numPr>
                <w:ilvl w:val="255"/>
                <w:numId w:val="0"/>
              </w:numPr>
              <w:spacing w:line="360" w:lineRule="auto"/>
              <w:ind w:firstLine="480" w:firstLineChars="200"/>
              <w:jc w:val="left"/>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w:t>
            </w:r>
            <w:r>
              <w:rPr>
                <w:rFonts w:ascii="仿宋_GB2312" w:hAnsi="宋体" w:eastAsia="仿宋_GB2312" w:cs="Tahoma"/>
                <w:color w:val="auto"/>
                <w:kern w:val="0"/>
                <w:sz w:val="24"/>
                <w:highlight w:val="none"/>
              </w:rPr>
              <w:t>2</w:t>
            </w:r>
            <w:r>
              <w:rPr>
                <w:rFonts w:hint="eastAsia" w:ascii="仿宋_GB2312" w:hAnsi="宋体" w:eastAsia="仿宋_GB2312" w:cs="Tahoma"/>
                <w:color w:val="auto"/>
                <w:kern w:val="0"/>
                <w:sz w:val="24"/>
                <w:highlight w:val="none"/>
              </w:rPr>
              <w:t>）配备专业技术人员</w:t>
            </w:r>
            <w:r>
              <w:rPr>
                <w:rFonts w:ascii="仿宋_GB2312" w:hAnsi="宋体" w:eastAsia="仿宋_GB2312" w:cs="Tahoma"/>
                <w:color w:val="auto"/>
                <w:kern w:val="0"/>
                <w:sz w:val="24"/>
                <w:highlight w:val="none"/>
              </w:rPr>
              <w:t>15人及以上，当系统出现问题时，供应商安排技术服务人员在1</w:t>
            </w:r>
            <w:r>
              <w:rPr>
                <w:rFonts w:hint="eastAsia" w:ascii="仿宋_GB2312" w:hAnsi="宋体" w:eastAsia="仿宋_GB2312" w:cs="Tahoma"/>
                <w:color w:val="auto"/>
                <w:kern w:val="0"/>
                <w:sz w:val="24"/>
                <w:highlight w:val="none"/>
              </w:rPr>
              <w:t>小时内到达现场解决问题的，得</w:t>
            </w:r>
            <w:r>
              <w:rPr>
                <w:rFonts w:ascii="仿宋_GB2312" w:hAnsi="宋体" w:eastAsia="仿宋_GB2312" w:cs="Tahoma"/>
                <w:color w:val="auto"/>
                <w:kern w:val="0"/>
                <w:sz w:val="24"/>
                <w:highlight w:val="none"/>
              </w:rPr>
              <w:t>14</w:t>
            </w:r>
            <w:r>
              <w:rPr>
                <w:rFonts w:hint="eastAsia" w:ascii="仿宋_GB2312" w:hAnsi="宋体" w:eastAsia="仿宋_GB2312" w:cs="Tahoma"/>
                <w:color w:val="auto"/>
                <w:kern w:val="0"/>
                <w:sz w:val="24"/>
                <w:highlight w:val="none"/>
              </w:rPr>
              <w:t>分。</w:t>
            </w:r>
          </w:p>
          <w:p w14:paraId="47B94191">
            <w:pPr>
              <w:widowControl/>
              <w:numPr>
                <w:ilvl w:val="255"/>
                <w:numId w:val="0"/>
              </w:numPr>
              <w:spacing w:line="360" w:lineRule="auto"/>
              <w:ind w:firstLine="480" w:firstLineChars="200"/>
              <w:jc w:val="left"/>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注：本项满分14分。报价文件中须提供拟派本地化运维服务人员名单，否则不得分。</w:t>
            </w:r>
          </w:p>
        </w:tc>
        <w:tc>
          <w:tcPr>
            <w:tcW w:w="901" w:type="dxa"/>
            <w:noWrap/>
            <w:vAlign w:val="center"/>
          </w:tcPr>
          <w:p w14:paraId="0CDA9BC5">
            <w:pPr>
              <w:widowControl/>
              <w:spacing w:line="360" w:lineRule="auto"/>
              <w:jc w:val="left"/>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14分</w:t>
            </w:r>
          </w:p>
        </w:tc>
      </w:tr>
      <w:tr w14:paraId="1F226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00" w:type="dxa"/>
            <w:noWrap/>
            <w:vAlign w:val="center"/>
          </w:tcPr>
          <w:p w14:paraId="2CFFA7CD">
            <w:pPr>
              <w:widowControl/>
              <w:spacing w:line="360" w:lineRule="auto"/>
              <w:jc w:val="left"/>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2.4</w:t>
            </w:r>
          </w:p>
        </w:tc>
        <w:tc>
          <w:tcPr>
            <w:tcW w:w="1251" w:type="dxa"/>
            <w:noWrap/>
            <w:vAlign w:val="center"/>
          </w:tcPr>
          <w:p w14:paraId="33258151">
            <w:pPr>
              <w:widowControl/>
              <w:spacing w:line="360" w:lineRule="auto"/>
              <w:jc w:val="left"/>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人员配置分</w:t>
            </w:r>
          </w:p>
        </w:tc>
        <w:tc>
          <w:tcPr>
            <w:tcW w:w="6238" w:type="dxa"/>
            <w:noWrap/>
            <w:vAlign w:val="center"/>
          </w:tcPr>
          <w:p w14:paraId="6B81B22A">
            <w:pPr>
              <w:widowControl/>
              <w:spacing w:line="360" w:lineRule="auto"/>
              <w:ind w:firstLine="480" w:firstLineChars="200"/>
              <w:jc w:val="left"/>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拟投入运维服务人员中：</w:t>
            </w:r>
          </w:p>
          <w:p w14:paraId="030745BC">
            <w:pPr>
              <w:widowControl/>
              <w:numPr>
                <w:ilvl w:val="255"/>
                <w:numId w:val="0"/>
              </w:numPr>
              <w:spacing w:line="360" w:lineRule="auto"/>
              <w:ind w:firstLine="480" w:firstLineChars="200"/>
              <w:jc w:val="left"/>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（1）具有国家人力资源和社会保障部、工业和信息化部联合颁发的信息系统项目管理工程师或系统集成项目管理工程师证书的，每个得</w:t>
            </w:r>
            <w:r>
              <w:rPr>
                <w:rFonts w:ascii="仿宋_GB2312" w:hAnsi="宋体" w:eastAsia="仿宋_GB2312" w:cs="Tahoma"/>
                <w:color w:val="auto"/>
                <w:kern w:val="0"/>
                <w:sz w:val="24"/>
                <w:highlight w:val="none"/>
              </w:rPr>
              <w:t>1</w:t>
            </w:r>
            <w:r>
              <w:rPr>
                <w:rFonts w:hint="eastAsia" w:ascii="仿宋_GB2312" w:hAnsi="宋体" w:eastAsia="仿宋_GB2312" w:cs="Tahoma"/>
                <w:color w:val="auto"/>
                <w:kern w:val="0"/>
                <w:sz w:val="24"/>
                <w:highlight w:val="none"/>
              </w:rPr>
              <w:t>分；</w:t>
            </w:r>
          </w:p>
          <w:p w14:paraId="5D8133E5">
            <w:pPr>
              <w:widowControl/>
              <w:numPr>
                <w:ilvl w:val="255"/>
                <w:numId w:val="0"/>
              </w:numPr>
              <w:spacing w:line="360" w:lineRule="auto"/>
              <w:ind w:firstLine="480" w:firstLineChars="200"/>
              <w:jc w:val="left"/>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（2）具有高级工程师职称证书、高级软件测试工程师证书、网络工程师证书、数据库系统工程师证书的，每个得1分。</w:t>
            </w:r>
          </w:p>
          <w:p w14:paraId="42E4F78E">
            <w:pPr>
              <w:widowControl/>
              <w:numPr>
                <w:ilvl w:val="255"/>
                <w:numId w:val="0"/>
              </w:numPr>
              <w:spacing w:line="360" w:lineRule="auto"/>
              <w:ind w:firstLine="480" w:firstLineChars="200"/>
              <w:jc w:val="left"/>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注：同一人员不重复计分，本项满分8分。须提供拟投入人员名单并列明岗位及具备的资质证书；同时，提供相应资质证书扫描件、近半年内连续3个月的社保证明材料或劳动合同扫描件并加盖单位公章。</w:t>
            </w:r>
          </w:p>
        </w:tc>
        <w:tc>
          <w:tcPr>
            <w:tcW w:w="901" w:type="dxa"/>
            <w:noWrap/>
            <w:vAlign w:val="center"/>
          </w:tcPr>
          <w:p w14:paraId="67ED1C01">
            <w:pPr>
              <w:widowControl/>
              <w:spacing w:line="360" w:lineRule="auto"/>
              <w:jc w:val="left"/>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8分</w:t>
            </w:r>
          </w:p>
        </w:tc>
      </w:tr>
      <w:tr w14:paraId="6B87B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700" w:type="dxa"/>
            <w:noWrap/>
            <w:vAlign w:val="center"/>
          </w:tcPr>
          <w:p w14:paraId="554731F1">
            <w:pPr>
              <w:widowControl/>
              <w:spacing w:line="360" w:lineRule="auto"/>
              <w:jc w:val="left"/>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3</w:t>
            </w:r>
          </w:p>
        </w:tc>
        <w:tc>
          <w:tcPr>
            <w:tcW w:w="1251" w:type="dxa"/>
            <w:noWrap/>
            <w:vAlign w:val="center"/>
          </w:tcPr>
          <w:p w14:paraId="5624596C">
            <w:pPr>
              <w:widowControl/>
              <w:spacing w:line="360" w:lineRule="auto"/>
              <w:jc w:val="left"/>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商务分</w:t>
            </w:r>
          </w:p>
        </w:tc>
        <w:tc>
          <w:tcPr>
            <w:tcW w:w="6238" w:type="dxa"/>
            <w:noWrap/>
            <w:vAlign w:val="center"/>
          </w:tcPr>
          <w:p w14:paraId="2948CC90">
            <w:pPr>
              <w:widowControl/>
              <w:spacing w:line="360" w:lineRule="auto"/>
              <w:jc w:val="center"/>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评审因素</w:t>
            </w:r>
          </w:p>
        </w:tc>
        <w:tc>
          <w:tcPr>
            <w:tcW w:w="901" w:type="dxa"/>
            <w:vAlign w:val="center"/>
          </w:tcPr>
          <w:p w14:paraId="7C943BB9">
            <w:pPr>
              <w:widowControl/>
              <w:spacing w:line="360" w:lineRule="auto"/>
              <w:jc w:val="left"/>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2</w:t>
            </w:r>
            <w:r>
              <w:rPr>
                <w:rFonts w:hint="eastAsia" w:ascii="仿宋_GB2312" w:hAnsi="宋体" w:eastAsia="仿宋_GB2312" w:cs="Tahoma"/>
                <w:color w:val="auto"/>
                <w:kern w:val="0"/>
                <w:sz w:val="24"/>
                <w:highlight w:val="none"/>
                <w:lang w:val="en-US" w:eastAsia="zh-CN"/>
              </w:rPr>
              <w:t>2</w:t>
            </w:r>
            <w:r>
              <w:rPr>
                <w:rFonts w:hint="eastAsia" w:ascii="仿宋_GB2312" w:hAnsi="宋体" w:eastAsia="仿宋_GB2312" w:cs="Tahoma"/>
                <w:color w:val="auto"/>
                <w:kern w:val="0"/>
                <w:sz w:val="24"/>
                <w:highlight w:val="none"/>
              </w:rPr>
              <w:t>分</w:t>
            </w:r>
          </w:p>
        </w:tc>
      </w:tr>
      <w:tr w14:paraId="1D13B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0" w:type="dxa"/>
            <w:noWrap/>
            <w:vAlign w:val="center"/>
          </w:tcPr>
          <w:p w14:paraId="0E1AE121">
            <w:pPr>
              <w:widowControl/>
              <w:spacing w:line="360" w:lineRule="auto"/>
              <w:jc w:val="left"/>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3.1</w:t>
            </w:r>
          </w:p>
        </w:tc>
        <w:tc>
          <w:tcPr>
            <w:tcW w:w="1251" w:type="dxa"/>
            <w:noWrap/>
            <w:vAlign w:val="center"/>
          </w:tcPr>
          <w:p w14:paraId="20AC1AFB">
            <w:pPr>
              <w:widowControl/>
              <w:spacing w:line="360" w:lineRule="auto"/>
              <w:jc w:val="left"/>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信誉分</w:t>
            </w:r>
          </w:p>
        </w:tc>
        <w:tc>
          <w:tcPr>
            <w:tcW w:w="6238" w:type="dxa"/>
            <w:noWrap/>
            <w:vAlign w:val="center"/>
          </w:tcPr>
          <w:p w14:paraId="341529AA">
            <w:pPr>
              <w:widowControl/>
              <w:spacing w:line="360" w:lineRule="auto"/>
              <w:ind w:firstLine="480" w:firstLineChars="200"/>
              <w:jc w:val="left"/>
              <w:rPr>
                <w:rFonts w:hint="eastAsia"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（1）供应商具有同类的计算机软件著作权证书的，每提供一项得1分，本项满分</w:t>
            </w:r>
            <w:r>
              <w:rPr>
                <w:rFonts w:hint="eastAsia" w:ascii="仿宋_GB2312" w:hAnsi="宋体" w:eastAsia="仿宋_GB2312" w:cs="Tahoma"/>
                <w:color w:val="auto"/>
                <w:kern w:val="0"/>
                <w:sz w:val="24"/>
                <w:highlight w:val="none"/>
                <w:lang w:val="en-US" w:eastAsia="zh-CN"/>
              </w:rPr>
              <w:t>3</w:t>
            </w:r>
            <w:r>
              <w:rPr>
                <w:rFonts w:hint="eastAsia" w:ascii="仿宋_GB2312" w:hAnsi="宋体" w:eastAsia="仿宋_GB2312" w:cs="Tahoma"/>
                <w:color w:val="auto"/>
                <w:kern w:val="0"/>
                <w:sz w:val="24"/>
                <w:highlight w:val="none"/>
              </w:rPr>
              <w:t xml:space="preserve">分。  </w:t>
            </w:r>
          </w:p>
          <w:p w14:paraId="5481582C">
            <w:pPr>
              <w:widowControl/>
              <w:spacing w:line="360" w:lineRule="auto"/>
              <w:ind w:firstLine="480" w:firstLineChars="200"/>
              <w:jc w:val="left"/>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（2）供应商具有质量管理体系认证证书、服务管理体系认证证书、信息安全管理体系认证证书，每提供1个得3分，满分9分。</w:t>
            </w:r>
          </w:p>
          <w:p w14:paraId="3263C370">
            <w:pPr>
              <w:widowControl/>
              <w:spacing w:line="360" w:lineRule="auto"/>
              <w:ind w:firstLine="480" w:firstLineChars="200"/>
              <w:jc w:val="left"/>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注：本项满分12分。须提供相应证书扫描件并加盖单位公章。</w:t>
            </w:r>
          </w:p>
        </w:tc>
        <w:tc>
          <w:tcPr>
            <w:tcW w:w="901" w:type="dxa"/>
            <w:noWrap/>
            <w:vAlign w:val="center"/>
          </w:tcPr>
          <w:p w14:paraId="555497E4">
            <w:pPr>
              <w:widowControl/>
              <w:spacing w:line="360" w:lineRule="auto"/>
              <w:jc w:val="left"/>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12分</w:t>
            </w:r>
          </w:p>
        </w:tc>
      </w:tr>
      <w:tr w14:paraId="197A4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700" w:type="dxa"/>
            <w:noWrap/>
            <w:vAlign w:val="center"/>
          </w:tcPr>
          <w:p w14:paraId="61CB06EE">
            <w:pPr>
              <w:widowControl/>
              <w:spacing w:line="360" w:lineRule="auto"/>
              <w:jc w:val="left"/>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3.2</w:t>
            </w:r>
          </w:p>
        </w:tc>
        <w:tc>
          <w:tcPr>
            <w:tcW w:w="1251" w:type="dxa"/>
            <w:noWrap/>
            <w:vAlign w:val="center"/>
          </w:tcPr>
          <w:p w14:paraId="4A85B70A">
            <w:pPr>
              <w:widowControl/>
              <w:spacing w:line="360" w:lineRule="auto"/>
              <w:jc w:val="left"/>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项目业绩分</w:t>
            </w:r>
          </w:p>
        </w:tc>
        <w:tc>
          <w:tcPr>
            <w:tcW w:w="6238" w:type="dxa"/>
            <w:noWrap/>
            <w:vAlign w:val="center"/>
          </w:tcPr>
          <w:p w14:paraId="57F0A690">
            <w:pPr>
              <w:widowControl/>
              <w:spacing w:line="360" w:lineRule="auto"/>
              <w:ind w:firstLine="480" w:firstLineChars="200"/>
              <w:jc w:val="left"/>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自202</w:t>
            </w:r>
            <w:r>
              <w:rPr>
                <w:rFonts w:hint="eastAsia" w:ascii="仿宋_GB2312" w:hAnsi="宋体" w:eastAsia="仿宋_GB2312" w:cs="Tahoma"/>
                <w:color w:val="auto"/>
                <w:kern w:val="0"/>
                <w:sz w:val="24"/>
                <w:highlight w:val="none"/>
                <w:lang w:val="en-US" w:eastAsia="zh-CN"/>
              </w:rPr>
              <w:t>4</w:t>
            </w:r>
            <w:r>
              <w:rPr>
                <w:rFonts w:hint="eastAsia" w:ascii="仿宋_GB2312" w:hAnsi="宋体" w:eastAsia="仿宋_GB2312" w:cs="Tahoma"/>
                <w:color w:val="auto"/>
                <w:kern w:val="0"/>
                <w:sz w:val="24"/>
                <w:highlight w:val="none"/>
              </w:rPr>
              <w:t>年1月1日以来，供应商具有同类业务平台运维业绩的，每个得</w:t>
            </w:r>
            <w:r>
              <w:rPr>
                <w:rFonts w:hint="eastAsia" w:ascii="仿宋_GB2312" w:hAnsi="宋体" w:eastAsia="仿宋_GB2312" w:cs="Tahoma"/>
                <w:color w:val="auto"/>
                <w:kern w:val="0"/>
                <w:sz w:val="24"/>
                <w:highlight w:val="none"/>
                <w:lang w:val="en-US" w:eastAsia="zh-CN"/>
              </w:rPr>
              <w:t>1</w:t>
            </w:r>
            <w:r>
              <w:rPr>
                <w:rFonts w:hint="eastAsia" w:ascii="仿宋_GB2312" w:hAnsi="宋体" w:eastAsia="仿宋_GB2312" w:cs="Tahoma"/>
                <w:color w:val="auto"/>
                <w:kern w:val="0"/>
                <w:sz w:val="24"/>
                <w:highlight w:val="none"/>
              </w:rPr>
              <w:t>分，本项满分1</w:t>
            </w:r>
            <w:r>
              <w:rPr>
                <w:rFonts w:hint="eastAsia" w:ascii="仿宋_GB2312" w:hAnsi="宋体" w:eastAsia="仿宋_GB2312" w:cs="Tahoma"/>
                <w:color w:val="auto"/>
                <w:kern w:val="0"/>
                <w:sz w:val="24"/>
                <w:highlight w:val="none"/>
                <w:lang w:val="en-US" w:eastAsia="zh-CN"/>
              </w:rPr>
              <w:t>0</w:t>
            </w:r>
            <w:r>
              <w:rPr>
                <w:rFonts w:hint="eastAsia" w:ascii="仿宋_GB2312" w:hAnsi="宋体" w:eastAsia="仿宋_GB2312" w:cs="Tahoma"/>
                <w:color w:val="auto"/>
                <w:kern w:val="0"/>
                <w:sz w:val="24"/>
                <w:highlight w:val="none"/>
              </w:rPr>
              <w:t>分。</w:t>
            </w:r>
          </w:p>
          <w:p w14:paraId="4632B49E">
            <w:pPr>
              <w:widowControl/>
              <w:spacing w:line="360" w:lineRule="auto"/>
              <w:ind w:firstLine="480" w:firstLineChars="200"/>
              <w:jc w:val="left"/>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注：须提供相应业绩的合同（包括封面页、合同内容关键页、签字盖章页）扫描件并加盖单位公章。</w:t>
            </w:r>
          </w:p>
        </w:tc>
        <w:tc>
          <w:tcPr>
            <w:tcW w:w="901" w:type="dxa"/>
            <w:noWrap/>
            <w:vAlign w:val="center"/>
          </w:tcPr>
          <w:p w14:paraId="48BD0330">
            <w:pPr>
              <w:widowControl/>
              <w:spacing w:line="360" w:lineRule="auto"/>
              <w:jc w:val="left"/>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1</w:t>
            </w:r>
            <w:r>
              <w:rPr>
                <w:rFonts w:hint="eastAsia" w:ascii="仿宋_GB2312" w:hAnsi="宋体" w:eastAsia="仿宋_GB2312" w:cs="Tahoma"/>
                <w:color w:val="auto"/>
                <w:kern w:val="0"/>
                <w:sz w:val="24"/>
                <w:highlight w:val="none"/>
                <w:lang w:val="en-US" w:eastAsia="zh-CN"/>
              </w:rPr>
              <w:t>0</w:t>
            </w:r>
            <w:r>
              <w:rPr>
                <w:rFonts w:hint="eastAsia" w:ascii="仿宋_GB2312" w:hAnsi="宋体" w:eastAsia="仿宋_GB2312" w:cs="Tahoma"/>
                <w:color w:val="auto"/>
                <w:kern w:val="0"/>
                <w:sz w:val="24"/>
                <w:highlight w:val="none"/>
              </w:rPr>
              <w:t>分</w:t>
            </w:r>
          </w:p>
        </w:tc>
      </w:tr>
      <w:tr w14:paraId="71F56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9090" w:type="dxa"/>
            <w:gridSpan w:val="4"/>
            <w:noWrap/>
          </w:tcPr>
          <w:p w14:paraId="44E8DD3A">
            <w:pPr>
              <w:widowControl/>
              <w:spacing w:line="360" w:lineRule="auto"/>
              <w:jc w:val="center"/>
              <w:rPr>
                <w:rFonts w:ascii="仿宋_GB2312" w:hAnsi="宋体" w:eastAsia="仿宋_GB2312" w:cs="Tahoma"/>
                <w:color w:val="auto"/>
                <w:kern w:val="0"/>
                <w:sz w:val="24"/>
                <w:highlight w:val="none"/>
              </w:rPr>
            </w:pPr>
            <w:r>
              <w:rPr>
                <w:rFonts w:hint="eastAsia" w:ascii="仿宋_GB2312" w:hAnsi="宋体" w:eastAsia="仿宋_GB2312" w:cs="Tahoma"/>
                <w:b/>
                <w:bCs/>
                <w:color w:val="auto"/>
                <w:kern w:val="0"/>
                <w:sz w:val="24"/>
                <w:highlight w:val="none"/>
              </w:rPr>
              <w:t>总得分＝1＋2＋3</w:t>
            </w:r>
          </w:p>
        </w:tc>
      </w:tr>
      <w:bookmarkEnd w:id="3"/>
    </w:tbl>
    <w:p w14:paraId="2D8D3D93">
      <w:pPr>
        <w:rPr>
          <w:color w:val="auto"/>
          <w:highlight w:val="none"/>
        </w:rPr>
      </w:pPr>
    </w:p>
    <w:p w14:paraId="3BF44679">
      <w:pPr>
        <w:ind w:firstLine="560"/>
        <w:rPr>
          <w:color w:val="auto"/>
          <w:highlight w:val="none"/>
        </w:rPr>
      </w:pPr>
    </w:p>
    <w:p w14:paraId="36D68298">
      <w:pPr>
        <w:pStyle w:val="6"/>
        <w:rPr>
          <w:color w:val="auto"/>
          <w:highlight w:val="none"/>
        </w:rPr>
      </w:pPr>
    </w:p>
    <w:p w14:paraId="220FA7DC">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w:t>
      </w:r>
    </w:p>
    <w:p w14:paraId="381E63AA">
      <w:pPr>
        <w:ind w:left="3639" w:leftChars="266" w:hanging="3080" w:hangingChars="1100"/>
        <w:jc w:val="right"/>
        <w:rPr>
          <w:rFonts w:ascii="仿宋_GB2312" w:eastAsia="仿宋_GB2312"/>
          <w:b/>
          <w:color w:val="auto"/>
          <w:sz w:val="28"/>
          <w:szCs w:val="28"/>
          <w:highlight w:val="none"/>
        </w:rPr>
      </w:pPr>
      <w:r>
        <w:rPr>
          <w:rFonts w:hint="eastAsia" w:ascii="仿宋" w:hAnsi="仿宋" w:eastAsia="仿宋"/>
          <w:color w:val="auto"/>
          <w:sz w:val="28"/>
          <w:szCs w:val="28"/>
          <w:highlight w:val="none"/>
        </w:rPr>
        <w:t xml:space="preserve">                广西壮族自治区交通运输综合行政执法局2026年 </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 xml:space="preserve">月 </w:t>
      </w:r>
      <w:r>
        <w:rPr>
          <w:rFonts w:hint="eastAsia" w:ascii="仿宋" w:hAnsi="仿宋" w:eastAsia="仿宋"/>
          <w:color w:val="auto"/>
          <w:sz w:val="28"/>
          <w:szCs w:val="28"/>
          <w:highlight w:val="none"/>
          <w:lang w:val="en-US" w:eastAsia="zh-CN"/>
        </w:rPr>
        <w:t>17</w:t>
      </w:r>
      <w:r>
        <w:rPr>
          <w:rFonts w:hint="eastAsia" w:ascii="仿宋" w:hAnsi="仿宋" w:eastAsia="仿宋"/>
          <w:color w:val="auto"/>
          <w:sz w:val="28"/>
          <w:szCs w:val="28"/>
          <w:highlight w:val="none"/>
        </w:rPr>
        <w:t>日</w:t>
      </w:r>
      <w:r>
        <w:rPr>
          <w:rFonts w:ascii="仿宋_GB2312" w:eastAsia="仿宋_GB2312"/>
          <w:b/>
          <w:color w:val="auto"/>
          <w:sz w:val="28"/>
          <w:szCs w:val="28"/>
          <w:highlight w:val="none"/>
        </w:rPr>
        <w:br w:type="page"/>
      </w:r>
    </w:p>
    <w:p w14:paraId="3415F276">
      <w:pPr>
        <w:jc w:val="center"/>
        <w:rPr>
          <w:rFonts w:ascii="仿宋_GB2312" w:eastAsia="仿宋_GB2312"/>
          <w:b/>
          <w:color w:val="auto"/>
          <w:sz w:val="28"/>
          <w:szCs w:val="28"/>
          <w:highlight w:val="none"/>
        </w:rPr>
      </w:pPr>
      <w:r>
        <w:rPr>
          <w:rFonts w:hint="eastAsia" w:ascii="仿宋_GB2312" w:eastAsia="仿宋_GB2312"/>
          <w:b/>
          <w:color w:val="auto"/>
          <w:sz w:val="28"/>
          <w:szCs w:val="28"/>
          <w:highlight w:val="none"/>
        </w:rPr>
        <w:t>报价文件格式</w:t>
      </w:r>
    </w:p>
    <w:p w14:paraId="43666C5D">
      <w:pPr>
        <w:rPr>
          <w:rFonts w:ascii="仿宋_GB2312" w:hAnsi="宋体" w:eastAsia="仿宋_GB2312"/>
          <w:b/>
          <w:color w:val="auto"/>
          <w:sz w:val="28"/>
          <w:szCs w:val="21"/>
          <w:highlight w:val="none"/>
        </w:rPr>
      </w:pPr>
      <w:r>
        <w:rPr>
          <w:rFonts w:hint="eastAsia" w:ascii="仿宋_GB2312" w:hAnsi="宋体" w:eastAsia="仿宋_GB2312"/>
          <w:b/>
          <w:color w:val="auto"/>
          <w:sz w:val="28"/>
          <w:szCs w:val="21"/>
          <w:highlight w:val="none"/>
        </w:rPr>
        <w:t>一、声明书</w:t>
      </w:r>
    </w:p>
    <w:p w14:paraId="57D41933">
      <w:pPr>
        <w:rPr>
          <w:rFonts w:ascii="仿宋_GB2312" w:hAnsi="宋体" w:eastAsia="仿宋_GB2312"/>
          <w:b/>
          <w:color w:val="auto"/>
          <w:sz w:val="28"/>
          <w:szCs w:val="21"/>
          <w:highlight w:val="none"/>
        </w:rPr>
      </w:pPr>
      <w:r>
        <w:rPr>
          <w:rFonts w:hint="eastAsia" w:ascii="仿宋_GB2312" w:hAnsi="宋体" w:eastAsia="仿宋_GB2312"/>
          <w:b/>
          <w:color w:val="auto"/>
          <w:sz w:val="28"/>
          <w:szCs w:val="21"/>
          <w:highlight w:val="none"/>
        </w:rPr>
        <w:t>二、服务方案</w:t>
      </w:r>
    </w:p>
    <w:p w14:paraId="2C4E6E5D">
      <w:pPr>
        <w:rPr>
          <w:rFonts w:ascii="仿宋_GB2312" w:hAnsi="宋体" w:eastAsia="仿宋_GB2312"/>
          <w:b/>
          <w:color w:val="auto"/>
          <w:sz w:val="28"/>
          <w:szCs w:val="21"/>
          <w:highlight w:val="none"/>
        </w:rPr>
      </w:pPr>
      <w:r>
        <w:rPr>
          <w:rFonts w:hint="eastAsia" w:ascii="仿宋_GB2312" w:hAnsi="宋体" w:eastAsia="仿宋_GB2312"/>
          <w:b/>
          <w:color w:val="auto"/>
          <w:sz w:val="28"/>
          <w:szCs w:val="21"/>
          <w:highlight w:val="none"/>
        </w:rPr>
        <w:t>三、报价表</w:t>
      </w:r>
    </w:p>
    <w:p w14:paraId="5FF06D99">
      <w:pPr>
        <w:rPr>
          <w:rFonts w:ascii="仿宋_GB2312" w:hAnsi="宋体" w:eastAsia="仿宋_GB2312"/>
          <w:b/>
          <w:color w:val="auto"/>
          <w:sz w:val="28"/>
          <w:szCs w:val="21"/>
          <w:highlight w:val="none"/>
        </w:rPr>
      </w:pPr>
      <w:r>
        <w:rPr>
          <w:rFonts w:hint="eastAsia" w:ascii="仿宋_GB2312" w:hAnsi="宋体" w:eastAsia="仿宋_GB2312"/>
          <w:b/>
          <w:color w:val="auto"/>
          <w:sz w:val="28"/>
          <w:szCs w:val="21"/>
          <w:highlight w:val="none"/>
        </w:rPr>
        <w:t>四</w:t>
      </w:r>
      <w:r>
        <w:rPr>
          <w:rFonts w:ascii="仿宋_GB2312" w:hAnsi="宋体" w:eastAsia="仿宋_GB2312"/>
          <w:b/>
          <w:color w:val="auto"/>
          <w:sz w:val="28"/>
          <w:szCs w:val="21"/>
          <w:highlight w:val="none"/>
        </w:rPr>
        <w:t>、</w:t>
      </w:r>
      <w:r>
        <w:rPr>
          <w:rFonts w:hint="eastAsia" w:ascii="仿宋_GB2312" w:hAnsi="宋体" w:eastAsia="仿宋_GB2312"/>
          <w:b/>
          <w:color w:val="auto"/>
          <w:sz w:val="28"/>
          <w:szCs w:val="21"/>
          <w:highlight w:val="none"/>
        </w:rPr>
        <w:t>营业执照复印件</w:t>
      </w:r>
    </w:p>
    <w:p w14:paraId="5D14D3A9">
      <w:pPr>
        <w:rPr>
          <w:rFonts w:ascii="仿宋_GB2312" w:hAnsi="宋体" w:eastAsia="仿宋_GB2312"/>
          <w:b/>
          <w:color w:val="auto"/>
          <w:sz w:val="28"/>
          <w:szCs w:val="21"/>
          <w:highlight w:val="none"/>
        </w:rPr>
      </w:pPr>
      <w:r>
        <w:rPr>
          <w:rFonts w:hint="eastAsia" w:ascii="仿宋_GB2312" w:hAnsi="宋体" w:eastAsia="仿宋_GB2312"/>
          <w:b/>
          <w:color w:val="auto"/>
          <w:sz w:val="28"/>
          <w:szCs w:val="21"/>
          <w:highlight w:val="none"/>
        </w:rPr>
        <w:t>五、法定代表人授权书（如非法定代表人报价请提供）</w:t>
      </w:r>
    </w:p>
    <w:p w14:paraId="7714445D">
      <w:pPr>
        <w:rPr>
          <w:rFonts w:ascii="仿宋_GB2312" w:hAnsi="宋体" w:eastAsia="仿宋_GB2312"/>
          <w:b/>
          <w:color w:val="auto"/>
          <w:sz w:val="28"/>
          <w:szCs w:val="21"/>
          <w:highlight w:val="none"/>
        </w:rPr>
      </w:pPr>
      <w:r>
        <w:rPr>
          <w:rFonts w:hint="eastAsia" w:ascii="仿宋_GB2312" w:hAnsi="宋体" w:eastAsia="仿宋_GB2312"/>
          <w:b/>
          <w:color w:val="auto"/>
          <w:sz w:val="28"/>
          <w:szCs w:val="21"/>
          <w:highlight w:val="none"/>
        </w:rPr>
        <w:t>六、相关业绩证明材料</w:t>
      </w:r>
    </w:p>
    <w:p w14:paraId="07CFE2A1">
      <w:pPr>
        <w:rPr>
          <w:rFonts w:ascii="仿宋_GB2312" w:hAnsi="宋体" w:eastAsia="仿宋_GB2312"/>
          <w:b/>
          <w:color w:val="auto"/>
          <w:sz w:val="28"/>
          <w:szCs w:val="21"/>
          <w:highlight w:val="none"/>
        </w:rPr>
      </w:pPr>
      <w:r>
        <w:rPr>
          <w:rFonts w:hint="eastAsia" w:ascii="仿宋_GB2312" w:hAnsi="宋体" w:eastAsia="仿宋_GB2312"/>
          <w:b/>
          <w:color w:val="auto"/>
          <w:sz w:val="28"/>
          <w:szCs w:val="21"/>
          <w:highlight w:val="none"/>
        </w:rPr>
        <w:t>七、其他需要提供的材料</w:t>
      </w:r>
    </w:p>
    <w:p w14:paraId="3777C23B">
      <w:pPr>
        <w:rPr>
          <w:rFonts w:ascii="仿宋_GB2312" w:hAnsi="宋体" w:eastAsia="仿宋_GB2312"/>
          <w:b/>
          <w:color w:val="auto"/>
          <w:sz w:val="28"/>
          <w:szCs w:val="21"/>
          <w:highlight w:val="none"/>
        </w:rPr>
      </w:pPr>
    </w:p>
    <w:p w14:paraId="15A80C23">
      <w:pPr>
        <w:rPr>
          <w:rFonts w:ascii="仿宋_GB2312" w:hAnsi="宋体" w:eastAsia="仿宋_GB2312"/>
          <w:b/>
          <w:color w:val="auto"/>
          <w:sz w:val="28"/>
          <w:szCs w:val="21"/>
          <w:highlight w:val="none"/>
        </w:rPr>
      </w:pPr>
    </w:p>
    <w:p w14:paraId="773797A8">
      <w:pPr>
        <w:rPr>
          <w:rFonts w:ascii="仿宋_GB2312" w:hAnsi="宋体" w:eastAsia="仿宋_GB2312"/>
          <w:b/>
          <w:color w:val="auto"/>
          <w:sz w:val="28"/>
          <w:szCs w:val="21"/>
          <w:highlight w:val="none"/>
        </w:rPr>
      </w:pPr>
    </w:p>
    <w:p w14:paraId="513C57AA">
      <w:pPr>
        <w:rPr>
          <w:rFonts w:ascii="仿宋_GB2312" w:hAnsi="宋体" w:eastAsia="仿宋_GB2312"/>
          <w:b/>
          <w:color w:val="auto"/>
          <w:sz w:val="28"/>
          <w:szCs w:val="21"/>
          <w:highlight w:val="none"/>
        </w:rPr>
      </w:pPr>
    </w:p>
    <w:p w14:paraId="066F1883">
      <w:pPr>
        <w:rPr>
          <w:rFonts w:ascii="仿宋_GB2312" w:hAnsi="宋体" w:eastAsia="仿宋_GB2312"/>
          <w:b/>
          <w:color w:val="auto"/>
          <w:sz w:val="28"/>
          <w:szCs w:val="21"/>
          <w:highlight w:val="none"/>
        </w:rPr>
      </w:pPr>
    </w:p>
    <w:p w14:paraId="52BE4C26">
      <w:pPr>
        <w:rPr>
          <w:rFonts w:ascii="仿宋_GB2312" w:hAnsi="宋体" w:eastAsia="仿宋_GB2312"/>
          <w:b/>
          <w:color w:val="auto"/>
          <w:sz w:val="28"/>
          <w:szCs w:val="21"/>
          <w:highlight w:val="none"/>
        </w:rPr>
      </w:pPr>
    </w:p>
    <w:p w14:paraId="0EC7DC73">
      <w:pPr>
        <w:rPr>
          <w:rFonts w:ascii="仿宋_GB2312" w:hAnsi="宋体" w:eastAsia="仿宋_GB2312"/>
          <w:b/>
          <w:color w:val="auto"/>
          <w:sz w:val="28"/>
          <w:szCs w:val="21"/>
          <w:highlight w:val="none"/>
        </w:rPr>
      </w:pPr>
    </w:p>
    <w:p w14:paraId="0DFD9378">
      <w:pPr>
        <w:rPr>
          <w:rFonts w:ascii="仿宋_GB2312" w:hAnsi="宋体" w:eastAsia="仿宋_GB2312"/>
          <w:b/>
          <w:color w:val="auto"/>
          <w:sz w:val="28"/>
          <w:szCs w:val="21"/>
          <w:highlight w:val="none"/>
        </w:rPr>
      </w:pPr>
    </w:p>
    <w:p w14:paraId="335A8B79">
      <w:pPr>
        <w:rPr>
          <w:rFonts w:ascii="仿宋_GB2312" w:hAnsi="宋体" w:eastAsia="仿宋_GB2312"/>
          <w:b/>
          <w:color w:val="auto"/>
          <w:sz w:val="28"/>
          <w:szCs w:val="21"/>
          <w:highlight w:val="none"/>
        </w:rPr>
      </w:pPr>
    </w:p>
    <w:p w14:paraId="4DA36C1B">
      <w:pPr>
        <w:rPr>
          <w:rFonts w:ascii="仿宋_GB2312" w:hAnsi="宋体" w:eastAsia="仿宋_GB2312"/>
          <w:b/>
          <w:color w:val="auto"/>
          <w:sz w:val="28"/>
          <w:szCs w:val="21"/>
          <w:highlight w:val="none"/>
        </w:rPr>
      </w:pPr>
    </w:p>
    <w:p w14:paraId="17EB6C31">
      <w:pPr>
        <w:rPr>
          <w:rFonts w:ascii="仿宋_GB2312" w:hAnsi="宋体" w:eastAsia="仿宋_GB2312"/>
          <w:b/>
          <w:color w:val="auto"/>
          <w:sz w:val="28"/>
          <w:szCs w:val="21"/>
          <w:highlight w:val="none"/>
        </w:rPr>
      </w:pPr>
    </w:p>
    <w:p w14:paraId="2682B9E0">
      <w:pPr>
        <w:rPr>
          <w:rFonts w:ascii="仿宋_GB2312" w:hAnsi="宋体" w:eastAsia="仿宋_GB2312"/>
          <w:b/>
          <w:color w:val="auto"/>
          <w:sz w:val="28"/>
          <w:szCs w:val="21"/>
          <w:highlight w:val="none"/>
        </w:rPr>
      </w:pPr>
    </w:p>
    <w:p w14:paraId="7CE879ED">
      <w:pPr>
        <w:rPr>
          <w:rFonts w:ascii="仿宋_GB2312" w:hAnsi="宋体" w:eastAsia="仿宋_GB2312"/>
          <w:b/>
          <w:color w:val="auto"/>
          <w:sz w:val="28"/>
          <w:szCs w:val="21"/>
          <w:highlight w:val="none"/>
        </w:rPr>
      </w:pPr>
    </w:p>
    <w:p w14:paraId="6BFD141E">
      <w:pPr>
        <w:widowControl/>
        <w:jc w:val="left"/>
        <w:rPr>
          <w:rFonts w:ascii="仿宋_GB2312" w:hAnsi="楷体" w:eastAsia="仿宋_GB2312"/>
          <w:b/>
          <w:color w:val="auto"/>
          <w:sz w:val="32"/>
          <w:szCs w:val="32"/>
          <w:highlight w:val="none"/>
        </w:rPr>
      </w:pPr>
      <w:r>
        <w:rPr>
          <w:rFonts w:ascii="仿宋_GB2312" w:hAnsi="楷体" w:eastAsia="仿宋_GB2312"/>
          <w:b/>
          <w:color w:val="auto"/>
          <w:sz w:val="32"/>
          <w:szCs w:val="32"/>
          <w:highlight w:val="none"/>
        </w:rPr>
        <w:br w:type="page"/>
      </w:r>
    </w:p>
    <w:p w14:paraId="766B2DA6">
      <w:pPr>
        <w:spacing w:line="240" w:lineRule="atLeast"/>
        <w:ind w:right="-317" w:rightChars="-151"/>
        <w:jc w:val="center"/>
        <w:rPr>
          <w:rFonts w:ascii="仿宋_GB2312" w:hAnsi="楷体" w:eastAsia="仿宋_GB2312"/>
          <w:b/>
          <w:color w:val="auto"/>
          <w:sz w:val="32"/>
          <w:szCs w:val="32"/>
          <w:highlight w:val="none"/>
        </w:rPr>
      </w:pPr>
      <w:r>
        <w:rPr>
          <w:rFonts w:hint="eastAsia" w:ascii="仿宋_GB2312" w:hAnsi="楷体" w:eastAsia="仿宋_GB2312"/>
          <w:b/>
          <w:color w:val="auto"/>
          <w:sz w:val="32"/>
          <w:szCs w:val="32"/>
          <w:highlight w:val="none"/>
        </w:rPr>
        <w:t>声明书</w:t>
      </w:r>
    </w:p>
    <w:p w14:paraId="414DE469">
      <w:pPr>
        <w:spacing w:line="360" w:lineRule="auto"/>
        <w:rPr>
          <w:rFonts w:ascii="仿宋_GB2312" w:hAnsi="宋体" w:eastAsia="仿宋_GB2312"/>
          <w:color w:val="auto"/>
          <w:sz w:val="24"/>
          <w:highlight w:val="none"/>
        </w:rPr>
      </w:pPr>
      <w:r>
        <w:rPr>
          <w:rFonts w:hint="eastAsia" w:ascii="仿宋_GB2312" w:hAnsi="宋体" w:eastAsia="仿宋_GB2312"/>
          <w:color w:val="auto"/>
          <w:sz w:val="24"/>
          <w:highlight w:val="none"/>
        </w:rPr>
        <w:t>广西壮族自治区交通运输综合行政执法局：</w:t>
      </w:r>
    </w:p>
    <w:p w14:paraId="4FD36A21">
      <w:pPr>
        <w:spacing w:line="360" w:lineRule="auto"/>
        <w:ind w:firstLine="480" w:firstLineChars="200"/>
        <w:rPr>
          <w:rFonts w:ascii="仿宋_GB2312" w:hAnsi="宋体" w:eastAsia="仿宋_GB2312" w:cs="仿宋_GB2312"/>
          <w:color w:val="auto"/>
          <w:sz w:val="24"/>
          <w:highlight w:val="none"/>
          <w:u w:val="single"/>
        </w:rPr>
      </w:pPr>
      <w:r>
        <w:rPr>
          <w:rFonts w:hint="eastAsia" w:ascii="仿宋_GB2312" w:hAnsi="宋体" w:eastAsia="仿宋_GB2312" w:cs="仿宋_GB2312"/>
          <w:color w:val="auto"/>
          <w:sz w:val="24"/>
          <w:highlight w:val="none"/>
        </w:rPr>
        <w:t>依据贵方</w:t>
      </w:r>
      <w:r>
        <w:rPr>
          <w:rFonts w:hint="eastAsia" w:ascii="仿宋_GB2312" w:hAnsi="宋体" w:eastAsia="仿宋_GB2312" w:cs="仿宋_GB2312"/>
          <w:color w:val="auto"/>
          <w:sz w:val="24"/>
          <w:highlight w:val="none"/>
          <w:u w:val="single"/>
        </w:rPr>
        <w:t>桌面软件运维服务项目</w:t>
      </w:r>
      <w:r>
        <w:rPr>
          <w:rFonts w:hint="eastAsia" w:ascii="仿宋_GB2312" w:hAnsi="宋体" w:eastAsia="仿宋_GB2312" w:cs="仿宋_GB2312"/>
          <w:color w:val="auto"/>
          <w:sz w:val="24"/>
          <w:highlight w:val="none"/>
        </w:rPr>
        <w:t>的询价采购邀请，我方</w:t>
      </w:r>
      <w:r>
        <w:rPr>
          <w:rFonts w:hint="eastAsia" w:ascii="仿宋_GB2312" w:hAnsi="宋体" w:eastAsia="仿宋_GB2312" w:cs="仿宋_GB2312"/>
          <w:color w:val="auto"/>
          <w:sz w:val="24"/>
          <w:highlight w:val="none"/>
          <w:u w:val="single"/>
        </w:rPr>
        <w:t xml:space="preserve">（委托代理人名字）    </w:t>
      </w:r>
      <w:r>
        <w:rPr>
          <w:rFonts w:hint="eastAsia" w:ascii="仿宋_GB2312" w:hAnsi="宋体" w:eastAsia="仿宋_GB2312" w:cs="仿宋_GB2312"/>
          <w:color w:val="auto"/>
          <w:sz w:val="24"/>
          <w:highlight w:val="none"/>
        </w:rPr>
        <w:t>经正式授权并代表报价方</w:t>
      </w:r>
      <w:r>
        <w:rPr>
          <w:rFonts w:hint="eastAsia" w:ascii="仿宋_GB2312" w:hAnsi="宋体" w:eastAsia="仿宋_GB2312" w:cs="仿宋_GB2312"/>
          <w:color w:val="auto"/>
          <w:sz w:val="24"/>
          <w:highlight w:val="none"/>
          <w:u w:val="single"/>
        </w:rPr>
        <w:t xml:space="preserve">      （名称）</w:t>
      </w:r>
      <w:r>
        <w:rPr>
          <w:rFonts w:hint="eastAsia" w:ascii="仿宋_GB2312" w:hAnsi="宋体" w:eastAsia="仿宋_GB2312"/>
          <w:color w:val="auto"/>
          <w:sz w:val="24"/>
          <w:highlight w:val="none"/>
        </w:rPr>
        <w:t>提交“报价文件”正本一份，副本两份。</w:t>
      </w:r>
    </w:p>
    <w:p w14:paraId="5711E690">
      <w:pPr>
        <w:spacing w:line="360" w:lineRule="auto"/>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在此，授权代表宣布同意如下：</w:t>
      </w:r>
    </w:p>
    <w:p w14:paraId="42229755">
      <w:pPr>
        <w:spacing w:line="360" w:lineRule="auto"/>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1.报价方已详细审查“采购文件”，已经了解我方对于采购文件、采购过程、采购结果有依法进行询问、质疑、投诉的权利及相关渠道和要求。</w:t>
      </w:r>
    </w:p>
    <w:p w14:paraId="4AD2E875">
      <w:pPr>
        <w:spacing w:line="360" w:lineRule="auto"/>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2.报价方在报价之前已经与采购方进行了充分的沟通，完全理解并接受采购文件的各项规定和要求，对采购文件的合理性、合法性不再有异议。</w:t>
      </w:r>
    </w:p>
    <w:p w14:paraId="1360AD7E">
      <w:pPr>
        <w:spacing w:line="360" w:lineRule="auto"/>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3.本报价有效期自开标日起</w:t>
      </w:r>
      <w:r>
        <w:rPr>
          <w:rFonts w:hint="eastAsia" w:ascii="仿宋_GB2312" w:hAnsi="宋体" w:eastAsia="仿宋_GB2312"/>
          <w:color w:val="auto"/>
          <w:sz w:val="24"/>
          <w:highlight w:val="none"/>
          <w:u w:val="single"/>
        </w:rPr>
        <w:t xml:space="preserve"> </w:t>
      </w:r>
      <w:r>
        <w:rPr>
          <w:rFonts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个自然日。</w:t>
      </w:r>
    </w:p>
    <w:p w14:paraId="22AA8853">
      <w:pPr>
        <w:spacing w:line="360" w:lineRule="auto"/>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4.如成交，本报价文件至本项目合同履行完毕止均保持有效，报价方将按“采购文件”及政府采购法律、法规的规定履行合同责任和义务。</w:t>
      </w:r>
    </w:p>
    <w:p w14:paraId="4F8F2427">
      <w:pPr>
        <w:spacing w:line="360" w:lineRule="auto"/>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5.报价方同意按照采购方要求提供与报价有关的一切数据或资料。</w:t>
      </w:r>
    </w:p>
    <w:p w14:paraId="46D05AC6">
      <w:pPr>
        <w:ind w:firstLine="5400" w:firstLineChars="2250"/>
        <w:rPr>
          <w:rFonts w:ascii="仿宋_GB2312" w:hAnsi="宋体" w:eastAsia="仿宋_GB2312"/>
          <w:color w:val="auto"/>
          <w:sz w:val="24"/>
          <w:highlight w:val="none"/>
        </w:rPr>
      </w:pPr>
    </w:p>
    <w:p w14:paraId="13AC42A7">
      <w:pPr>
        <w:ind w:firstLine="5400" w:firstLineChars="2250"/>
        <w:rPr>
          <w:rFonts w:ascii="仿宋_GB2312" w:hAnsi="宋体" w:eastAsia="仿宋_GB2312"/>
          <w:color w:val="auto"/>
          <w:sz w:val="24"/>
          <w:highlight w:val="none"/>
        </w:rPr>
      </w:pPr>
    </w:p>
    <w:p w14:paraId="3B6D44CD">
      <w:pPr>
        <w:ind w:firstLine="5400" w:firstLineChars="2250"/>
        <w:rPr>
          <w:rFonts w:ascii="仿宋_GB2312" w:hAnsi="宋体" w:eastAsia="仿宋_GB2312"/>
          <w:color w:val="auto"/>
          <w:sz w:val="24"/>
          <w:highlight w:val="none"/>
        </w:rPr>
      </w:pPr>
    </w:p>
    <w:p w14:paraId="075044EB">
      <w:pPr>
        <w:ind w:firstLine="5400" w:firstLineChars="2250"/>
        <w:rPr>
          <w:rFonts w:ascii="仿宋_GB2312" w:hAnsi="宋体" w:eastAsia="仿宋_GB2312"/>
          <w:color w:val="auto"/>
          <w:sz w:val="24"/>
          <w:highlight w:val="none"/>
        </w:rPr>
      </w:pPr>
      <w:r>
        <w:rPr>
          <w:rFonts w:hint="eastAsia" w:ascii="仿宋_GB2312" w:hAnsi="宋体" w:eastAsia="仿宋_GB2312"/>
          <w:color w:val="auto"/>
          <w:sz w:val="24"/>
          <w:highlight w:val="none"/>
        </w:rPr>
        <w:t>日期：        年   月  日</w:t>
      </w:r>
    </w:p>
    <w:p w14:paraId="7FB9D657">
      <w:pPr>
        <w:spacing w:line="360" w:lineRule="auto"/>
        <w:rPr>
          <w:rFonts w:ascii="仿宋_GB2312" w:hAnsi="宋体" w:eastAsia="仿宋_GB2312"/>
          <w:color w:val="auto"/>
          <w:sz w:val="24"/>
          <w:highlight w:val="none"/>
        </w:rPr>
      </w:pPr>
    </w:p>
    <w:p w14:paraId="7FD11F88">
      <w:pPr>
        <w:spacing w:line="360" w:lineRule="auto"/>
        <w:rPr>
          <w:rFonts w:ascii="仿宋_GB2312" w:hAnsi="宋体" w:eastAsia="仿宋_GB2312"/>
          <w:color w:val="auto"/>
          <w:sz w:val="24"/>
          <w:highlight w:val="none"/>
        </w:rPr>
      </w:pPr>
    </w:p>
    <w:p w14:paraId="1BDC78E8">
      <w:pPr>
        <w:spacing w:line="360" w:lineRule="auto"/>
        <w:rPr>
          <w:rFonts w:ascii="仿宋_GB2312" w:hAnsi="宋体" w:eastAsia="仿宋_GB2312"/>
          <w:color w:val="auto"/>
          <w:sz w:val="24"/>
          <w:highlight w:val="none"/>
        </w:rPr>
      </w:pPr>
    </w:p>
    <w:p w14:paraId="2E3A7BFC">
      <w:pPr>
        <w:spacing w:line="360" w:lineRule="auto"/>
        <w:rPr>
          <w:rFonts w:ascii="仿宋_GB2312" w:hAnsi="宋体" w:eastAsia="仿宋_GB2312"/>
          <w:color w:val="auto"/>
          <w:sz w:val="24"/>
          <w:highlight w:val="none"/>
        </w:rPr>
      </w:pPr>
    </w:p>
    <w:p w14:paraId="2D5AB408">
      <w:pPr>
        <w:spacing w:line="360" w:lineRule="auto"/>
        <w:rPr>
          <w:rFonts w:ascii="仿宋_GB2312" w:hAnsi="宋体" w:eastAsia="仿宋_GB2312"/>
          <w:color w:val="auto"/>
          <w:sz w:val="24"/>
          <w:highlight w:val="none"/>
        </w:rPr>
      </w:pPr>
      <w:r>
        <w:rPr>
          <w:rFonts w:hint="eastAsia" w:ascii="仿宋_GB2312" w:hAnsi="宋体" w:eastAsia="仿宋_GB2312"/>
          <w:color w:val="auto"/>
          <w:sz w:val="24"/>
          <w:highlight w:val="none"/>
        </w:rPr>
        <w:t>报价方法定代表人或委托代理人签字：</w:t>
      </w:r>
    </w:p>
    <w:p w14:paraId="105AE89E">
      <w:pPr>
        <w:spacing w:line="360" w:lineRule="auto"/>
        <w:rPr>
          <w:rFonts w:ascii="仿宋_GB2312" w:hAnsi="宋体" w:eastAsia="仿宋_GB2312"/>
          <w:color w:val="auto"/>
          <w:sz w:val="24"/>
          <w:highlight w:val="none"/>
          <w:u w:val="single"/>
        </w:rPr>
      </w:pPr>
      <w:r>
        <w:rPr>
          <w:rFonts w:hint="eastAsia" w:ascii="仿宋_GB2312" w:hAnsi="宋体" w:eastAsia="仿宋_GB2312"/>
          <w:color w:val="auto"/>
          <w:sz w:val="24"/>
          <w:highlight w:val="none"/>
        </w:rPr>
        <w:t>报价方名称（公章）：</w:t>
      </w:r>
    </w:p>
    <w:p w14:paraId="55FD7B53">
      <w:pPr>
        <w:spacing w:line="360" w:lineRule="auto"/>
        <w:rPr>
          <w:rFonts w:ascii="仿宋_GB2312" w:hAnsi="宋体" w:eastAsia="仿宋_GB2312"/>
          <w:color w:val="auto"/>
          <w:sz w:val="24"/>
          <w:highlight w:val="none"/>
          <w:u w:val="single"/>
        </w:rPr>
      </w:pPr>
      <w:r>
        <w:rPr>
          <w:rFonts w:hint="eastAsia" w:ascii="仿宋_GB2312" w:hAnsi="宋体" w:eastAsia="仿宋_GB2312"/>
          <w:color w:val="auto"/>
          <w:sz w:val="24"/>
          <w:highlight w:val="none"/>
        </w:rPr>
        <w:t>开户名称：</w:t>
      </w:r>
    </w:p>
    <w:p w14:paraId="438A891E">
      <w:pPr>
        <w:pStyle w:val="7"/>
        <w:spacing w:line="360" w:lineRule="auto"/>
        <w:rPr>
          <w:rFonts w:ascii="仿宋_GB2312" w:hAnsi="宋体" w:eastAsia="仿宋_GB2312" w:cs="宋体"/>
          <w:color w:val="auto"/>
          <w:sz w:val="24"/>
          <w:szCs w:val="24"/>
          <w:highlight w:val="none"/>
          <w:u w:val="single"/>
        </w:rPr>
      </w:pPr>
      <w:r>
        <w:rPr>
          <w:rFonts w:hint="eastAsia" w:ascii="仿宋_GB2312" w:hAnsi="宋体" w:eastAsia="仿宋_GB2312"/>
          <w:color w:val="auto"/>
          <w:sz w:val="24"/>
          <w:szCs w:val="24"/>
          <w:highlight w:val="none"/>
        </w:rPr>
        <w:t>开户银行：</w:t>
      </w:r>
    </w:p>
    <w:p w14:paraId="5F83A1BE">
      <w:pPr>
        <w:spacing w:line="240" w:lineRule="atLeast"/>
        <w:ind w:right="-317" w:rightChars="-151"/>
        <w:rPr>
          <w:rFonts w:ascii="仿宋_GB2312" w:hAnsi="宋体" w:eastAsia="仿宋_GB2312"/>
          <w:b/>
          <w:color w:val="auto"/>
          <w:sz w:val="28"/>
          <w:szCs w:val="21"/>
          <w:highlight w:val="none"/>
        </w:rPr>
      </w:pPr>
      <w:r>
        <w:rPr>
          <w:rFonts w:hint="eastAsia" w:ascii="仿宋_GB2312" w:hAnsi="宋体" w:eastAsia="仿宋_GB2312"/>
          <w:color w:val="auto"/>
          <w:sz w:val="24"/>
          <w:highlight w:val="none"/>
        </w:rPr>
        <w:t>账    号：</w:t>
      </w:r>
      <w:r>
        <w:rPr>
          <w:rFonts w:hint="eastAsia" w:ascii="仿宋_GB2312" w:hAnsi="宋体" w:eastAsia="仿宋_GB2312"/>
          <w:b/>
          <w:color w:val="auto"/>
          <w:sz w:val="28"/>
          <w:szCs w:val="21"/>
          <w:highlight w:val="none"/>
        </w:rPr>
        <w:t xml:space="preserve"> </w:t>
      </w:r>
    </w:p>
    <w:p w14:paraId="6553F2BB">
      <w:pPr>
        <w:spacing w:line="240" w:lineRule="atLeast"/>
        <w:ind w:right="-317" w:rightChars="-151"/>
        <w:jc w:val="center"/>
        <w:rPr>
          <w:rFonts w:ascii="仿宋_GB2312" w:hAnsi="宋体" w:eastAsia="仿宋_GB2312"/>
          <w:b/>
          <w:color w:val="auto"/>
          <w:sz w:val="28"/>
          <w:szCs w:val="21"/>
          <w:highlight w:val="none"/>
        </w:rPr>
      </w:pPr>
    </w:p>
    <w:p w14:paraId="4872E13E">
      <w:pPr>
        <w:spacing w:line="240" w:lineRule="atLeast"/>
        <w:ind w:right="-317" w:rightChars="-151"/>
        <w:jc w:val="center"/>
        <w:rPr>
          <w:rFonts w:ascii="仿宋_GB2312" w:hAnsi="宋体" w:eastAsia="仿宋_GB2312"/>
          <w:b/>
          <w:color w:val="auto"/>
          <w:sz w:val="28"/>
          <w:szCs w:val="21"/>
          <w:highlight w:val="none"/>
        </w:rPr>
      </w:pPr>
    </w:p>
    <w:p w14:paraId="5176F694">
      <w:pPr>
        <w:pStyle w:val="2"/>
        <w:rPr>
          <w:color w:val="auto"/>
          <w:highlight w:val="none"/>
        </w:rPr>
      </w:pPr>
    </w:p>
    <w:p w14:paraId="0D50D02E">
      <w:pPr>
        <w:spacing w:line="240" w:lineRule="atLeast"/>
        <w:ind w:right="-317" w:rightChars="-151"/>
        <w:rPr>
          <w:rFonts w:ascii="仿宋_GB2312" w:hAnsi="宋体" w:eastAsia="仿宋_GB2312"/>
          <w:b/>
          <w:color w:val="auto"/>
          <w:sz w:val="28"/>
          <w:szCs w:val="21"/>
          <w:highlight w:val="none"/>
        </w:rPr>
      </w:pPr>
    </w:p>
    <w:p w14:paraId="64EAD18F">
      <w:pPr>
        <w:spacing w:line="240" w:lineRule="atLeast"/>
        <w:ind w:right="-317" w:rightChars="-151"/>
        <w:jc w:val="center"/>
        <w:rPr>
          <w:rFonts w:ascii="仿宋_GB2312" w:hAnsi="楷体" w:eastAsia="仿宋_GB2312"/>
          <w:b/>
          <w:color w:val="auto"/>
          <w:sz w:val="32"/>
          <w:szCs w:val="32"/>
          <w:highlight w:val="none"/>
        </w:rPr>
      </w:pPr>
      <w:r>
        <w:rPr>
          <w:rFonts w:hint="eastAsia" w:ascii="仿宋_GB2312" w:hAnsi="楷体" w:eastAsia="仿宋_GB2312"/>
          <w:b/>
          <w:color w:val="auto"/>
          <w:sz w:val="32"/>
          <w:szCs w:val="32"/>
          <w:highlight w:val="none"/>
        </w:rPr>
        <w:t>服务方案</w:t>
      </w:r>
    </w:p>
    <w:p w14:paraId="49796DAA">
      <w:pPr>
        <w:spacing w:line="240" w:lineRule="atLeast"/>
        <w:ind w:right="-317" w:rightChars="-151"/>
        <w:jc w:val="center"/>
        <w:rPr>
          <w:rFonts w:ascii="仿宋_GB2312" w:hAnsi="楷体" w:eastAsia="仿宋_GB2312"/>
          <w:b/>
          <w:color w:val="auto"/>
          <w:sz w:val="32"/>
          <w:szCs w:val="32"/>
          <w:highlight w:val="none"/>
        </w:rPr>
      </w:pPr>
    </w:p>
    <w:p w14:paraId="1AF17B52">
      <w:pPr>
        <w:spacing w:line="240" w:lineRule="atLeast"/>
        <w:ind w:right="-317" w:rightChars="-151"/>
        <w:jc w:val="center"/>
        <w:rPr>
          <w:rFonts w:ascii="仿宋_GB2312" w:hAnsi="楷体" w:eastAsia="仿宋_GB2312"/>
          <w:b/>
          <w:color w:val="auto"/>
          <w:sz w:val="32"/>
          <w:szCs w:val="32"/>
          <w:highlight w:val="none"/>
        </w:rPr>
      </w:pPr>
    </w:p>
    <w:p w14:paraId="4D8F4ECC">
      <w:pPr>
        <w:spacing w:line="240" w:lineRule="atLeast"/>
        <w:ind w:right="-317" w:rightChars="-151"/>
        <w:jc w:val="center"/>
        <w:rPr>
          <w:rFonts w:ascii="仿宋_GB2312" w:hAnsi="楷体" w:eastAsia="仿宋_GB2312"/>
          <w:b/>
          <w:color w:val="auto"/>
          <w:sz w:val="32"/>
          <w:szCs w:val="32"/>
          <w:highlight w:val="none"/>
        </w:rPr>
      </w:pPr>
    </w:p>
    <w:p w14:paraId="5C2340FC">
      <w:pPr>
        <w:spacing w:line="240" w:lineRule="atLeast"/>
        <w:ind w:right="-317" w:rightChars="-151"/>
        <w:jc w:val="center"/>
        <w:rPr>
          <w:rFonts w:ascii="仿宋_GB2312" w:hAnsi="楷体" w:eastAsia="仿宋_GB2312"/>
          <w:b/>
          <w:color w:val="auto"/>
          <w:sz w:val="32"/>
          <w:szCs w:val="32"/>
          <w:highlight w:val="none"/>
        </w:rPr>
      </w:pPr>
    </w:p>
    <w:p w14:paraId="580A40A6">
      <w:pPr>
        <w:spacing w:line="240" w:lineRule="atLeast"/>
        <w:ind w:right="-317" w:rightChars="-151"/>
        <w:jc w:val="center"/>
        <w:rPr>
          <w:rFonts w:ascii="仿宋_GB2312" w:hAnsi="楷体" w:eastAsia="仿宋_GB2312"/>
          <w:b/>
          <w:color w:val="auto"/>
          <w:sz w:val="32"/>
          <w:szCs w:val="32"/>
          <w:highlight w:val="none"/>
        </w:rPr>
      </w:pPr>
    </w:p>
    <w:p w14:paraId="46BD62C7">
      <w:pPr>
        <w:spacing w:line="240" w:lineRule="atLeast"/>
        <w:ind w:right="-317" w:rightChars="-151"/>
        <w:jc w:val="center"/>
        <w:rPr>
          <w:rFonts w:ascii="仿宋_GB2312" w:hAnsi="楷体" w:eastAsia="仿宋_GB2312"/>
          <w:b/>
          <w:color w:val="auto"/>
          <w:sz w:val="32"/>
          <w:szCs w:val="32"/>
          <w:highlight w:val="none"/>
        </w:rPr>
      </w:pPr>
    </w:p>
    <w:p w14:paraId="0A1AA325">
      <w:pPr>
        <w:spacing w:line="240" w:lineRule="atLeast"/>
        <w:ind w:right="-317" w:rightChars="-151"/>
        <w:jc w:val="center"/>
        <w:rPr>
          <w:rFonts w:ascii="仿宋_GB2312" w:hAnsi="楷体" w:eastAsia="仿宋_GB2312"/>
          <w:b/>
          <w:color w:val="auto"/>
          <w:sz w:val="32"/>
          <w:szCs w:val="32"/>
          <w:highlight w:val="none"/>
        </w:rPr>
      </w:pPr>
    </w:p>
    <w:p w14:paraId="5D1DF85F">
      <w:pPr>
        <w:spacing w:line="240" w:lineRule="atLeast"/>
        <w:ind w:right="-317" w:rightChars="-151"/>
        <w:jc w:val="center"/>
        <w:rPr>
          <w:rFonts w:ascii="仿宋_GB2312" w:hAnsi="楷体" w:eastAsia="仿宋_GB2312"/>
          <w:b/>
          <w:color w:val="auto"/>
          <w:sz w:val="32"/>
          <w:szCs w:val="32"/>
          <w:highlight w:val="none"/>
        </w:rPr>
      </w:pPr>
    </w:p>
    <w:p w14:paraId="0A254144">
      <w:pPr>
        <w:spacing w:line="240" w:lineRule="atLeast"/>
        <w:ind w:right="-317" w:rightChars="-151"/>
        <w:jc w:val="center"/>
        <w:rPr>
          <w:rFonts w:ascii="仿宋_GB2312" w:hAnsi="楷体" w:eastAsia="仿宋_GB2312"/>
          <w:b/>
          <w:color w:val="auto"/>
          <w:sz w:val="32"/>
          <w:szCs w:val="32"/>
          <w:highlight w:val="none"/>
        </w:rPr>
      </w:pPr>
    </w:p>
    <w:p w14:paraId="4662EC69">
      <w:pPr>
        <w:spacing w:line="240" w:lineRule="atLeast"/>
        <w:ind w:right="-317" w:rightChars="-151"/>
        <w:jc w:val="center"/>
        <w:rPr>
          <w:rFonts w:ascii="仿宋_GB2312" w:hAnsi="楷体" w:eastAsia="仿宋_GB2312"/>
          <w:b/>
          <w:color w:val="auto"/>
          <w:sz w:val="32"/>
          <w:szCs w:val="32"/>
          <w:highlight w:val="none"/>
        </w:rPr>
      </w:pPr>
    </w:p>
    <w:p w14:paraId="6955096A">
      <w:pPr>
        <w:spacing w:line="240" w:lineRule="atLeast"/>
        <w:ind w:right="-317" w:rightChars="-151"/>
        <w:jc w:val="center"/>
        <w:rPr>
          <w:rFonts w:ascii="仿宋_GB2312" w:hAnsi="楷体" w:eastAsia="仿宋_GB2312"/>
          <w:b/>
          <w:color w:val="auto"/>
          <w:sz w:val="32"/>
          <w:szCs w:val="32"/>
          <w:highlight w:val="none"/>
        </w:rPr>
      </w:pPr>
    </w:p>
    <w:p w14:paraId="2304AD9B">
      <w:pPr>
        <w:spacing w:line="240" w:lineRule="atLeast"/>
        <w:ind w:right="-317" w:rightChars="-151"/>
        <w:jc w:val="center"/>
        <w:rPr>
          <w:rFonts w:ascii="仿宋_GB2312" w:hAnsi="楷体" w:eastAsia="仿宋_GB2312"/>
          <w:b/>
          <w:color w:val="auto"/>
          <w:sz w:val="32"/>
          <w:szCs w:val="32"/>
          <w:highlight w:val="none"/>
        </w:rPr>
      </w:pPr>
    </w:p>
    <w:p w14:paraId="71EC7654">
      <w:pPr>
        <w:spacing w:line="240" w:lineRule="atLeast"/>
        <w:ind w:right="-317" w:rightChars="-151"/>
        <w:jc w:val="center"/>
        <w:rPr>
          <w:rFonts w:ascii="仿宋_GB2312" w:hAnsi="楷体" w:eastAsia="仿宋_GB2312"/>
          <w:b/>
          <w:color w:val="auto"/>
          <w:sz w:val="32"/>
          <w:szCs w:val="32"/>
          <w:highlight w:val="none"/>
        </w:rPr>
      </w:pPr>
    </w:p>
    <w:p w14:paraId="3048199E">
      <w:pPr>
        <w:spacing w:line="240" w:lineRule="atLeast"/>
        <w:ind w:right="-317" w:rightChars="-151"/>
        <w:jc w:val="center"/>
        <w:rPr>
          <w:rFonts w:ascii="仿宋_GB2312" w:hAnsi="楷体" w:eastAsia="仿宋_GB2312"/>
          <w:b/>
          <w:color w:val="auto"/>
          <w:sz w:val="32"/>
          <w:szCs w:val="32"/>
          <w:highlight w:val="none"/>
        </w:rPr>
      </w:pPr>
    </w:p>
    <w:p w14:paraId="466BE5AF">
      <w:pPr>
        <w:spacing w:line="240" w:lineRule="atLeast"/>
        <w:ind w:right="-317" w:rightChars="-151"/>
        <w:jc w:val="center"/>
        <w:rPr>
          <w:rFonts w:ascii="仿宋_GB2312" w:hAnsi="楷体" w:eastAsia="仿宋_GB2312"/>
          <w:b/>
          <w:color w:val="auto"/>
          <w:sz w:val="32"/>
          <w:szCs w:val="32"/>
          <w:highlight w:val="none"/>
        </w:rPr>
      </w:pPr>
    </w:p>
    <w:p w14:paraId="39133F01">
      <w:pPr>
        <w:spacing w:line="240" w:lineRule="atLeast"/>
        <w:ind w:right="-317" w:rightChars="-151"/>
        <w:jc w:val="center"/>
        <w:rPr>
          <w:rFonts w:ascii="仿宋_GB2312" w:hAnsi="楷体" w:eastAsia="仿宋_GB2312"/>
          <w:b/>
          <w:color w:val="auto"/>
          <w:sz w:val="32"/>
          <w:szCs w:val="32"/>
          <w:highlight w:val="none"/>
        </w:rPr>
      </w:pPr>
    </w:p>
    <w:p w14:paraId="7E415F41">
      <w:pPr>
        <w:spacing w:line="240" w:lineRule="atLeast"/>
        <w:ind w:right="-317" w:rightChars="-151"/>
        <w:jc w:val="center"/>
        <w:rPr>
          <w:rFonts w:ascii="仿宋_GB2312" w:hAnsi="楷体" w:eastAsia="仿宋_GB2312"/>
          <w:b/>
          <w:color w:val="auto"/>
          <w:sz w:val="32"/>
          <w:szCs w:val="32"/>
          <w:highlight w:val="none"/>
        </w:rPr>
      </w:pPr>
    </w:p>
    <w:p w14:paraId="4F905681">
      <w:pPr>
        <w:spacing w:line="240" w:lineRule="atLeast"/>
        <w:ind w:right="-317" w:rightChars="-151"/>
        <w:jc w:val="center"/>
        <w:rPr>
          <w:rFonts w:ascii="仿宋_GB2312" w:hAnsi="楷体" w:eastAsia="仿宋_GB2312"/>
          <w:b/>
          <w:color w:val="auto"/>
          <w:sz w:val="32"/>
          <w:szCs w:val="32"/>
          <w:highlight w:val="none"/>
        </w:rPr>
      </w:pPr>
    </w:p>
    <w:p w14:paraId="54D98907">
      <w:pPr>
        <w:spacing w:line="240" w:lineRule="atLeast"/>
        <w:ind w:right="-317" w:rightChars="-151"/>
        <w:jc w:val="center"/>
        <w:rPr>
          <w:rFonts w:ascii="仿宋_GB2312" w:hAnsi="楷体" w:eastAsia="仿宋_GB2312"/>
          <w:b/>
          <w:color w:val="auto"/>
          <w:sz w:val="32"/>
          <w:szCs w:val="32"/>
          <w:highlight w:val="none"/>
        </w:rPr>
      </w:pPr>
    </w:p>
    <w:p w14:paraId="3829FC19">
      <w:pPr>
        <w:spacing w:line="240" w:lineRule="atLeast"/>
        <w:ind w:right="-317" w:rightChars="-151"/>
        <w:jc w:val="center"/>
        <w:rPr>
          <w:rFonts w:ascii="仿宋_GB2312" w:hAnsi="楷体" w:eastAsia="仿宋_GB2312"/>
          <w:b/>
          <w:color w:val="auto"/>
          <w:sz w:val="32"/>
          <w:szCs w:val="32"/>
          <w:highlight w:val="none"/>
        </w:rPr>
      </w:pPr>
    </w:p>
    <w:p w14:paraId="6262ABB9">
      <w:pPr>
        <w:spacing w:line="240" w:lineRule="atLeast"/>
        <w:ind w:right="-317" w:rightChars="-151"/>
        <w:jc w:val="center"/>
        <w:rPr>
          <w:rFonts w:ascii="仿宋_GB2312" w:hAnsi="楷体" w:eastAsia="仿宋_GB2312"/>
          <w:b/>
          <w:color w:val="auto"/>
          <w:sz w:val="32"/>
          <w:szCs w:val="32"/>
          <w:highlight w:val="none"/>
        </w:rPr>
      </w:pPr>
    </w:p>
    <w:p w14:paraId="482BA057">
      <w:pPr>
        <w:spacing w:line="240" w:lineRule="atLeast"/>
        <w:ind w:right="-317" w:rightChars="-151"/>
        <w:jc w:val="center"/>
        <w:rPr>
          <w:rFonts w:ascii="仿宋_GB2312" w:hAnsi="楷体" w:eastAsia="仿宋_GB2312"/>
          <w:color w:val="auto"/>
          <w:sz w:val="32"/>
          <w:szCs w:val="32"/>
          <w:highlight w:val="none"/>
        </w:rPr>
      </w:pPr>
      <w:r>
        <w:rPr>
          <w:rFonts w:hint="eastAsia" w:ascii="仿宋_GB2312" w:hAnsi="楷体" w:eastAsia="仿宋_GB2312"/>
          <w:b/>
          <w:color w:val="auto"/>
          <w:sz w:val="32"/>
          <w:szCs w:val="32"/>
          <w:highlight w:val="none"/>
        </w:rPr>
        <w:t>报价表</w:t>
      </w:r>
    </w:p>
    <w:p w14:paraId="2386457D">
      <w:pPr>
        <w:spacing w:line="240" w:lineRule="atLeast"/>
        <w:rPr>
          <w:rFonts w:ascii="仿宋_GB2312" w:hAnsi="宋体" w:eastAsia="仿宋_GB2312"/>
          <w:color w:val="auto"/>
          <w:szCs w:val="21"/>
          <w:highlight w:val="none"/>
        </w:rPr>
      </w:pPr>
    </w:p>
    <w:tbl>
      <w:tblPr>
        <w:tblStyle w:val="11"/>
        <w:tblW w:w="8059" w:type="dxa"/>
        <w:jc w:val="center"/>
        <w:tblLayout w:type="autofit"/>
        <w:tblCellMar>
          <w:top w:w="0" w:type="dxa"/>
          <w:left w:w="108" w:type="dxa"/>
          <w:bottom w:w="0" w:type="dxa"/>
          <w:right w:w="108" w:type="dxa"/>
        </w:tblCellMar>
      </w:tblPr>
      <w:tblGrid>
        <w:gridCol w:w="853"/>
        <w:gridCol w:w="1291"/>
        <w:gridCol w:w="4012"/>
        <w:gridCol w:w="1903"/>
      </w:tblGrid>
      <w:tr w14:paraId="300FEE41">
        <w:tblPrEx>
          <w:tblCellMar>
            <w:top w:w="0" w:type="dxa"/>
            <w:left w:w="108" w:type="dxa"/>
            <w:bottom w:w="0" w:type="dxa"/>
            <w:right w:w="108" w:type="dxa"/>
          </w:tblCellMar>
        </w:tblPrEx>
        <w:trPr>
          <w:trHeight w:val="1115"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14:paraId="5C982B1E">
            <w:pPr>
              <w:jc w:val="center"/>
              <w:rPr>
                <w:rFonts w:ascii="宋体" w:hAnsi="宋体" w:cs="宋体"/>
                <w:color w:val="auto"/>
                <w:sz w:val="24"/>
                <w:highlight w:val="none"/>
              </w:rPr>
            </w:pPr>
            <w:r>
              <w:rPr>
                <w:rFonts w:hint="eastAsia" w:ascii="宋体" w:hAnsi="宋体" w:cs="宋体"/>
                <w:color w:val="auto"/>
                <w:sz w:val="24"/>
                <w:highlight w:val="none"/>
              </w:rPr>
              <w:t>序号</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40F4A6A1">
            <w:pPr>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4012" w:type="dxa"/>
            <w:tcBorders>
              <w:top w:val="single" w:color="000000" w:sz="4" w:space="0"/>
              <w:left w:val="nil"/>
              <w:bottom w:val="nil"/>
              <w:right w:val="single" w:color="auto" w:sz="4" w:space="0"/>
            </w:tcBorders>
            <w:shd w:val="clear" w:color="auto" w:fill="auto"/>
            <w:vAlign w:val="center"/>
          </w:tcPr>
          <w:p w14:paraId="3F03269D">
            <w:pPr>
              <w:jc w:val="center"/>
              <w:rPr>
                <w:rFonts w:ascii="宋体" w:hAnsi="宋体" w:cs="宋体"/>
                <w:color w:val="auto"/>
                <w:sz w:val="24"/>
                <w:highlight w:val="none"/>
              </w:rPr>
            </w:pPr>
            <w:r>
              <w:rPr>
                <w:rFonts w:hint="eastAsia" w:ascii="宋体" w:hAnsi="宋体" w:cs="宋体"/>
                <w:color w:val="auto"/>
                <w:sz w:val="24"/>
                <w:highlight w:val="none"/>
              </w:rPr>
              <w:t>采购需求</w:t>
            </w:r>
          </w:p>
        </w:tc>
        <w:tc>
          <w:tcPr>
            <w:tcW w:w="1903" w:type="dxa"/>
            <w:tcBorders>
              <w:top w:val="single" w:color="000000" w:sz="4" w:space="0"/>
              <w:left w:val="nil"/>
              <w:bottom w:val="single" w:color="000000" w:sz="4" w:space="0"/>
              <w:right w:val="single" w:color="000000" w:sz="4" w:space="0"/>
            </w:tcBorders>
            <w:shd w:val="clear" w:color="auto" w:fill="auto"/>
            <w:vAlign w:val="center"/>
          </w:tcPr>
          <w:p w14:paraId="430270C5">
            <w:pPr>
              <w:widowControl/>
              <w:jc w:val="center"/>
              <w:rPr>
                <w:rFonts w:ascii="宋体" w:hAnsi="宋体" w:cs="宋体"/>
                <w:color w:val="auto"/>
                <w:kern w:val="0"/>
                <w:sz w:val="20"/>
                <w:szCs w:val="20"/>
                <w:highlight w:val="none"/>
              </w:rPr>
            </w:pPr>
            <w:r>
              <w:rPr>
                <w:rFonts w:hint="eastAsia" w:ascii="宋体" w:hAnsi="宋体" w:cs="宋体"/>
                <w:color w:val="auto"/>
                <w:kern w:val="0"/>
                <w:sz w:val="24"/>
                <w:szCs w:val="20"/>
                <w:highlight w:val="none"/>
              </w:rPr>
              <w:t>合计（人民币，元）</w:t>
            </w:r>
          </w:p>
        </w:tc>
      </w:tr>
      <w:tr w14:paraId="36AF1EDF">
        <w:tblPrEx>
          <w:tblCellMar>
            <w:top w:w="0" w:type="dxa"/>
            <w:left w:w="108" w:type="dxa"/>
            <w:bottom w:w="0" w:type="dxa"/>
            <w:right w:w="108" w:type="dxa"/>
          </w:tblCellMar>
        </w:tblPrEx>
        <w:trPr>
          <w:trHeight w:val="1665" w:hRule="atLeast"/>
          <w:jc w:val="center"/>
        </w:trPr>
        <w:tc>
          <w:tcPr>
            <w:tcW w:w="853" w:type="dxa"/>
            <w:tcBorders>
              <w:top w:val="nil"/>
              <w:left w:val="single" w:color="auto" w:sz="4" w:space="0"/>
              <w:bottom w:val="single" w:color="auto" w:sz="4" w:space="0"/>
              <w:right w:val="single" w:color="auto" w:sz="4" w:space="0"/>
            </w:tcBorders>
            <w:vAlign w:val="center"/>
          </w:tcPr>
          <w:p w14:paraId="31A9C0C8">
            <w:pPr>
              <w:jc w:val="center"/>
              <w:rPr>
                <w:rFonts w:ascii="宋体" w:hAnsi="宋体" w:cs="宋体"/>
                <w:color w:val="auto"/>
                <w:sz w:val="24"/>
                <w:highlight w:val="none"/>
              </w:rPr>
            </w:pPr>
            <w:r>
              <w:rPr>
                <w:rFonts w:hint="eastAsia" w:ascii="宋体" w:hAnsi="宋体" w:cs="宋体"/>
                <w:color w:val="auto"/>
                <w:sz w:val="24"/>
                <w:highlight w:val="none"/>
              </w:rPr>
              <w:t>1</w:t>
            </w:r>
          </w:p>
        </w:tc>
        <w:tc>
          <w:tcPr>
            <w:tcW w:w="1291" w:type="dxa"/>
            <w:tcBorders>
              <w:top w:val="nil"/>
              <w:left w:val="single" w:color="auto" w:sz="4" w:space="0"/>
              <w:bottom w:val="single" w:color="auto" w:sz="4" w:space="0"/>
              <w:right w:val="single" w:color="auto" w:sz="4" w:space="0"/>
            </w:tcBorders>
            <w:shd w:val="clear" w:color="auto" w:fill="auto"/>
            <w:vAlign w:val="center"/>
          </w:tcPr>
          <w:p w14:paraId="574B8443">
            <w:pPr>
              <w:jc w:val="center"/>
              <w:rPr>
                <w:rFonts w:ascii="宋体" w:hAnsi="宋体" w:cs="宋体"/>
                <w:color w:val="auto"/>
                <w:sz w:val="24"/>
                <w:highlight w:val="none"/>
              </w:rPr>
            </w:pPr>
            <w:r>
              <w:rPr>
                <w:rFonts w:hint="eastAsia" w:ascii="宋体" w:hAnsi="宋体" w:cs="宋体"/>
                <w:color w:val="auto"/>
                <w:sz w:val="24"/>
                <w:highlight w:val="none"/>
              </w:rPr>
              <w:t>桌面软件运维服务</w:t>
            </w:r>
          </w:p>
        </w:tc>
        <w:tc>
          <w:tcPr>
            <w:tcW w:w="4012" w:type="dxa"/>
            <w:tcBorders>
              <w:top w:val="single" w:color="auto" w:sz="4" w:space="0"/>
              <w:left w:val="nil"/>
              <w:bottom w:val="single" w:color="auto" w:sz="4" w:space="0"/>
              <w:right w:val="single" w:color="auto" w:sz="4" w:space="0"/>
            </w:tcBorders>
            <w:shd w:val="clear" w:color="auto" w:fill="auto"/>
          </w:tcPr>
          <w:p w14:paraId="6DB3D695">
            <w:pPr>
              <w:pStyle w:val="21"/>
              <w:ind w:firstLine="480"/>
              <w:rPr>
                <w:rFonts w:ascii="宋体" w:hAnsi="宋体" w:cs="宋体"/>
                <w:color w:val="auto"/>
                <w:sz w:val="24"/>
                <w:highlight w:val="none"/>
              </w:rPr>
            </w:pPr>
            <w:r>
              <w:rPr>
                <w:rFonts w:hint="eastAsia" w:ascii="宋体" w:hAnsi="宋体" w:cs="宋体"/>
                <w:color w:val="auto"/>
                <w:sz w:val="24"/>
                <w:highlight w:val="none"/>
              </w:rPr>
              <w:t>提供一年的桌面软件运维服务，保障执法局机关及14个下设机构日常办公软件使用正常运行需求，提高行政办公效能。</w:t>
            </w:r>
          </w:p>
        </w:tc>
        <w:tc>
          <w:tcPr>
            <w:tcW w:w="1903" w:type="dxa"/>
            <w:tcBorders>
              <w:top w:val="nil"/>
              <w:left w:val="nil"/>
              <w:bottom w:val="single" w:color="auto" w:sz="4" w:space="0"/>
              <w:right w:val="single" w:color="auto" w:sz="4" w:space="0"/>
            </w:tcBorders>
            <w:shd w:val="clear" w:color="auto" w:fill="auto"/>
            <w:vAlign w:val="center"/>
          </w:tcPr>
          <w:p w14:paraId="5AF44F6E">
            <w:pPr>
              <w:widowControl/>
              <w:jc w:val="center"/>
              <w:rPr>
                <w:rFonts w:ascii="宋体" w:hAnsi="宋体" w:cs="宋体"/>
                <w:color w:val="auto"/>
                <w:kern w:val="0"/>
                <w:sz w:val="24"/>
                <w:highlight w:val="none"/>
              </w:rPr>
            </w:pPr>
          </w:p>
        </w:tc>
      </w:tr>
    </w:tbl>
    <w:p w14:paraId="026FD4ED">
      <w:pPr>
        <w:spacing w:line="360" w:lineRule="auto"/>
        <w:rPr>
          <w:rFonts w:ascii="仿宋_GB2312" w:hAnsi="宋体" w:eastAsia="仿宋_GB2312"/>
          <w:color w:val="auto"/>
          <w:szCs w:val="21"/>
          <w:highlight w:val="none"/>
          <w:u w:val="single"/>
        </w:rPr>
      </w:pPr>
      <w:r>
        <w:rPr>
          <w:rFonts w:hint="eastAsia" w:ascii="仿宋_GB2312" w:hAnsi="宋体" w:eastAsia="仿宋_GB2312"/>
          <w:color w:val="auto"/>
          <w:szCs w:val="21"/>
          <w:highlight w:val="none"/>
        </w:rPr>
        <w:t>法定代表人或委托代理人（签字）：</w:t>
      </w:r>
    </w:p>
    <w:p w14:paraId="2A33A88E">
      <w:pPr>
        <w:spacing w:line="360" w:lineRule="auto"/>
        <w:rPr>
          <w:rFonts w:ascii="仿宋_GB2312" w:hAnsi="宋体" w:eastAsia="仿宋_GB2312"/>
          <w:color w:val="auto"/>
          <w:szCs w:val="21"/>
          <w:highlight w:val="none"/>
        </w:rPr>
      </w:pPr>
      <w:r>
        <w:rPr>
          <w:rFonts w:hint="eastAsia" w:ascii="仿宋_GB2312" w:hAnsi="宋体" w:eastAsia="仿宋_GB2312"/>
          <w:color w:val="auto"/>
          <w:szCs w:val="21"/>
          <w:highlight w:val="none"/>
        </w:rPr>
        <w:t>报价方（盖章）：</w:t>
      </w:r>
    </w:p>
    <w:p w14:paraId="363EB037">
      <w:pPr>
        <w:spacing w:line="360" w:lineRule="auto"/>
        <w:rPr>
          <w:rFonts w:ascii="仿宋_GB2312" w:hAnsi="宋体" w:eastAsia="仿宋_GB2312"/>
          <w:color w:val="auto"/>
          <w:szCs w:val="21"/>
          <w:highlight w:val="none"/>
        </w:rPr>
      </w:pPr>
      <w:r>
        <w:rPr>
          <w:rFonts w:hint="eastAsia" w:ascii="仿宋_GB2312" w:hAnsi="宋体" w:eastAsia="仿宋_GB2312"/>
          <w:color w:val="auto"/>
          <w:szCs w:val="21"/>
          <w:highlight w:val="none"/>
        </w:rPr>
        <w:t>报价时间：     年    月   日</w:t>
      </w:r>
    </w:p>
    <w:p w14:paraId="19284C22">
      <w:pPr>
        <w:spacing w:line="240" w:lineRule="atLeast"/>
        <w:rPr>
          <w:rFonts w:ascii="仿宋_GB2312" w:hAnsi="仿宋" w:eastAsia="仿宋_GB2312"/>
          <w:color w:val="auto"/>
          <w:sz w:val="32"/>
          <w:szCs w:val="32"/>
          <w:highlight w:val="none"/>
        </w:rPr>
      </w:pPr>
    </w:p>
    <w:p w14:paraId="2D75B252">
      <w:pPr>
        <w:widowControl/>
        <w:jc w:val="left"/>
        <w:rPr>
          <w:rFonts w:ascii="仿宋_GB2312" w:hAnsi="楷体" w:eastAsia="仿宋_GB2312"/>
          <w:b/>
          <w:color w:val="auto"/>
          <w:sz w:val="32"/>
          <w:szCs w:val="32"/>
          <w:highlight w:val="none"/>
        </w:rPr>
      </w:pPr>
      <w:r>
        <w:rPr>
          <w:rFonts w:ascii="仿宋_GB2312" w:hAnsi="楷体" w:eastAsia="仿宋_GB2312"/>
          <w:b/>
          <w:color w:val="auto"/>
          <w:sz w:val="32"/>
          <w:szCs w:val="32"/>
          <w:highlight w:val="none"/>
        </w:rPr>
        <w:br w:type="page"/>
      </w:r>
    </w:p>
    <w:p w14:paraId="4960C3BE">
      <w:pPr>
        <w:pStyle w:val="16"/>
        <w:ind w:firstLine="0" w:firstLineChars="0"/>
        <w:jc w:val="center"/>
        <w:rPr>
          <w:rFonts w:ascii="仿宋_GB2312" w:hAnsi="楷体" w:eastAsia="仿宋_GB2312"/>
          <w:b/>
          <w:color w:val="auto"/>
          <w:sz w:val="32"/>
          <w:szCs w:val="32"/>
          <w:highlight w:val="none"/>
        </w:rPr>
      </w:pPr>
      <w:r>
        <w:rPr>
          <w:rFonts w:hint="eastAsia" w:ascii="仿宋_GB2312" w:hAnsi="楷体" w:eastAsia="仿宋_GB2312"/>
          <w:b/>
          <w:color w:val="auto"/>
          <w:sz w:val="32"/>
          <w:szCs w:val="32"/>
          <w:highlight w:val="none"/>
        </w:rPr>
        <w:t>营业执照复印件</w:t>
      </w:r>
    </w:p>
    <w:p w14:paraId="2CCDC2F8">
      <w:pPr>
        <w:pStyle w:val="16"/>
        <w:ind w:firstLine="0" w:firstLineChars="0"/>
        <w:jc w:val="center"/>
        <w:rPr>
          <w:rFonts w:ascii="仿宋_GB2312" w:hAnsi="宋体" w:eastAsia="仿宋_GB2312"/>
          <w:color w:val="auto"/>
          <w:sz w:val="28"/>
          <w:szCs w:val="28"/>
          <w:highlight w:val="none"/>
        </w:rPr>
      </w:pPr>
    </w:p>
    <w:p w14:paraId="709ACC89">
      <w:pPr>
        <w:rPr>
          <w:rFonts w:ascii="仿宋_GB2312" w:hAnsi="楷体" w:eastAsia="仿宋_GB2312"/>
          <w:b/>
          <w:color w:val="auto"/>
          <w:sz w:val="32"/>
          <w:szCs w:val="32"/>
          <w:highlight w:val="none"/>
        </w:rPr>
      </w:pPr>
    </w:p>
    <w:p w14:paraId="443C5577">
      <w:pPr>
        <w:widowControl/>
        <w:jc w:val="left"/>
        <w:rPr>
          <w:rFonts w:ascii="仿宋_GB2312" w:hAnsi="楷体" w:eastAsia="仿宋_GB2312"/>
          <w:b/>
          <w:color w:val="auto"/>
          <w:sz w:val="32"/>
          <w:szCs w:val="32"/>
          <w:highlight w:val="none"/>
        </w:rPr>
      </w:pPr>
      <w:r>
        <w:rPr>
          <w:rFonts w:ascii="仿宋_GB2312" w:hAnsi="楷体" w:eastAsia="仿宋_GB2312"/>
          <w:b/>
          <w:color w:val="auto"/>
          <w:sz w:val="32"/>
          <w:szCs w:val="32"/>
          <w:highlight w:val="none"/>
        </w:rPr>
        <w:br w:type="page"/>
      </w:r>
    </w:p>
    <w:p w14:paraId="7DCFD94F">
      <w:pPr>
        <w:jc w:val="center"/>
        <w:rPr>
          <w:rFonts w:ascii="仿宋_GB2312" w:hAnsi="楷体" w:eastAsia="仿宋_GB2312"/>
          <w:b/>
          <w:color w:val="auto"/>
          <w:sz w:val="32"/>
          <w:szCs w:val="32"/>
          <w:highlight w:val="none"/>
        </w:rPr>
      </w:pPr>
      <w:r>
        <w:rPr>
          <w:rFonts w:hint="eastAsia" w:ascii="仿宋_GB2312" w:hAnsi="楷体" w:eastAsia="仿宋_GB2312"/>
          <w:b/>
          <w:color w:val="auto"/>
          <w:sz w:val="32"/>
          <w:szCs w:val="32"/>
          <w:highlight w:val="none"/>
        </w:rPr>
        <w:t>法定代表人授权书</w:t>
      </w:r>
    </w:p>
    <w:p w14:paraId="0F1B81F0">
      <w:pPr>
        <w:pStyle w:val="21"/>
        <w:spacing w:line="360" w:lineRule="auto"/>
        <w:ind w:firstLine="0" w:firstLineChars="0"/>
        <w:rPr>
          <w:rFonts w:ascii="仿宋_GB2312" w:hAnsi="宋体" w:eastAsia="仿宋_GB2312"/>
          <w:color w:val="auto"/>
          <w:sz w:val="24"/>
          <w:szCs w:val="24"/>
          <w:highlight w:val="none"/>
        </w:rPr>
      </w:pPr>
    </w:p>
    <w:p w14:paraId="254E4476">
      <w:pPr>
        <w:pStyle w:val="21"/>
        <w:spacing w:line="360" w:lineRule="auto"/>
        <w:ind w:firstLine="0" w:firstLineChars="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广西壮族自治区交通运输综合行政执法局：</w:t>
      </w:r>
    </w:p>
    <w:p w14:paraId="56D62789">
      <w:pPr>
        <w:spacing w:line="360" w:lineRule="auto"/>
        <w:ind w:firstLine="480" w:firstLineChars="200"/>
        <w:rPr>
          <w:rFonts w:ascii="仿宋_GB2312" w:hAnsi="宋体" w:eastAsia="仿宋_GB2312" w:cs="宋体"/>
          <w:color w:val="auto"/>
          <w:kern w:val="0"/>
          <w:sz w:val="24"/>
          <w:highlight w:val="none"/>
        </w:rPr>
      </w:pPr>
      <w:r>
        <w:rPr>
          <w:rFonts w:hint="eastAsia" w:ascii="仿宋_GB2312" w:hAnsi="宋体" w:eastAsia="仿宋_GB2312"/>
          <w:color w:val="auto"/>
          <w:sz w:val="24"/>
          <w:highlight w:val="none"/>
        </w:rPr>
        <w:t>兹授权</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同志为我公司参加贵单位组织的</w:t>
      </w:r>
      <w:r>
        <w:rPr>
          <w:rFonts w:hint="eastAsia" w:ascii="仿宋_GB2312" w:hAnsi="宋体" w:eastAsia="仿宋_GB2312"/>
          <w:color w:val="auto"/>
          <w:sz w:val="24"/>
          <w:highlight w:val="none"/>
          <w:u w:val="single"/>
        </w:rPr>
        <w:t>桌面软件运维服务项目</w:t>
      </w:r>
      <w:r>
        <w:rPr>
          <w:rFonts w:hint="eastAsia" w:ascii="仿宋_GB2312" w:hAnsi="宋体" w:eastAsia="仿宋_GB2312" w:cs="仿宋_GB2312"/>
          <w:color w:val="auto"/>
          <w:sz w:val="24"/>
          <w:highlight w:val="none"/>
        </w:rPr>
        <w:t>采购</w:t>
      </w:r>
      <w:r>
        <w:rPr>
          <w:rFonts w:hint="eastAsia" w:ascii="仿宋_GB2312" w:hAnsi="宋体" w:eastAsia="仿宋_GB2312"/>
          <w:color w:val="auto"/>
          <w:sz w:val="24"/>
          <w:highlight w:val="none"/>
        </w:rPr>
        <w:t>活动的委托代理人，全权代表我公司处理在该项目活动中的一切事宜。代理期限从   年  月  日起至   年  月  日止。</w:t>
      </w:r>
    </w:p>
    <w:p w14:paraId="3894002B">
      <w:pPr>
        <w:pStyle w:val="21"/>
        <w:spacing w:line="360" w:lineRule="auto"/>
        <w:ind w:firstLine="480"/>
        <w:rPr>
          <w:rFonts w:ascii="仿宋_GB2312" w:hAnsi="宋体" w:eastAsia="仿宋_GB2312"/>
          <w:color w:val="auto"/>
          <w:sz w:val="24"/>
          <w:szCs w:val="24"/>
          <w:highlight w:val="none"/>
          <w:u w:val="single"/>
        </w:rPr>
      </w:pPr>
      <w:r>
        <w:rPr>
          <w:rFonts w:hint="eastAsia" w:ascii="仿宋_GB2312" w:hAnsi="宋体" w:eastAsia="仿宋_GB2312"/>
          <w:color w:val="auto"/>
          <w:sz w:val="24"/>
          <w:szCs w:val="24"/>
          <w:highlight w:val="none"/>
        </w:rPr>
        <w:t>授权单位（盖章）：</w:t>
      </w:r>
    </w:p>
    <w:p w14:paraId="609C81C1">
      <w:pPr>
        <w:pStyle w:val="21"/>
        <w:spacing w:line="360" w:lineRule="auto"/>
        <w:ind w:firstLine="480"/>
        <w:rPr>
          <w:rFonts w:ascii="仿宋_GB2312" w:hAnsi="宋体" w:eastAsia="仿宋_GB2312"/>
          <w:color w:val="auto"/>
          <w:sz w:val="24"/>
          <w:szCs w:val="24"/>
          <w:highlight w:val="none"/>
          <w:u w:val="single"/>
        </w:rPr>
      </w:pPr>
      <w:r>
        <w:rPr>
          <w:rFonts w:hint="eastAsia" w:ascii="仿宋_GB2312" w:hAnsi="宋体" w:eastAsia="仿宋_GB2312"/>
          <w:color w:val="auto"/>
          <w:sz w:val="24"/>
          <w:szCs w:val="24"/>
          <w:highlight w:val="none"/>
        </w:rPr>
        <w:t>法定代表人(签字或盖章)：</w:t>
      </w:r>
    </w:p>
    <w:p w14:paraId="57DFB4F9">
      <w:pPr>
        <w:pStyle w:val="21"/>
        <w:spacing w:line="360" w:lineRule="auto"/>
        <w:ind w:firstLine="480"/>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签发日期：   年  月  日</w:t>
      </w:r>
    </w:p>
    <w:p w14:paraId="06E76AE3">
      <w:pPr>
        <w:pStyle w:val="21"/>
        <w:spacing w:line="360" w:lineRule="auto"/>
        <w:ind w:firstLine="480"/>
        <w:rPr>
          <w:rFonts w:ascii="仿宋_GB2312" w:hAnsi="宋体" w:eastAsia="仿宋_GB2312" w:cs="仿宋_GB2312"/>
          <w:color w:val="auto"/>
          <w:sz w:val="24"/>
          <w:szCs w:val="24"/>
          <w:highlight w:val="none"/>
          <w:u w:val="single"/>
        </w:rPr>
      </w:pPr>
      <w:r>
        <w:rPr>
          <w:rFonts w:hint="eastAsia" w:ascii="仿宋_GB2312" w:hAnsi="宋体" w:eastAsia="仿宋_GB2312"/>
          <w:color w:val="auto"/>
          <w:sz w:val="24"/>
          <w:szCs w:val="24"/>
          <w:highlight w:val="none"/>
        </w:rPr>
        <w:t>委托代理人工作单位：</w:t>
      </w:r>
    </w:p>
    <w:p w14:paraId="530A28B9">
      <w:pPr>
        <w:pStyle w:val="21"/>
        <w:spacing w:line="360" w:lineRule="auto"/>
        <w:ind w:firstLine="480"/>
        <w:rPr>
          <w:rFonts w:ascii="仿宋_GB2312" w:hAnsi="宋体" w:eastAsia="仿宋_GB2312"/>
          <w:color w:val="auto"/>
          <w:sz w:val="24"/>
          <w:szCs w:val="24"/>
          <w:highlight w:val="none"/>
          <w:u w:val="single"/>
        </w:rPr>
      </w:pPr>
      <w:r>
        <w:rPr>
          <w:rFonts w:hint="eastAsia" w:ascii="仿宋_GB2312" w:hAnsi="宋体" w:eastAsia="仿宋_GB2312"/>
          <w:color w:val="auto"/>
          <w:sz w:val="24"/>
          <w:szCs w:val="24"/>
          <w:highlight w:val="none"/>
        </w:rPr>
        <w:t>职务：        性别：</w:t>
      </w:r>
    </w:p>
    <w:p w14:paraId="2B088D8D">
      <w:pPr>
        <w:pStyle w:val="21"/>
        <w:spacing w:line="360" w:lineRule="auto"/>
        <w:ind w:firstLine="480"/>
        <w:rPr>
          <w:rFonts w:ascii="仿宋_GB2312" w:hAnsi="宋体" w:eastAsia="仿宋_GB2312"/>
          <w:color w:val="auto"/>
          <w:sz w:val="24"/>
          <w:szCs w:val="24"/>
          <w:highlight w:val="none"/>
          <w:u w:val="single"/>
        </w:rPr>
      </w:pPr>
      <w:r>
        <w:rPr>
          <w:rFonts w:hint="eastAsia" w:ascii="仿宋_GB2312" w:hAnsi="宋体" w:eastAsia="仿宋_GB2312"/>
          <w:color w:val="auto"/>
          <w:sz w:val="24"/>
          <w:szCs w:val="24"/>
          <w:highlight w:val="none"/>
        </w:rPr>
        <w:t>身份证号码：</w:t>
      </w:r>
    </w:p>
    <w:p w14:paraId="055C8FDC">
      <w:pPr>
        <w:pStyle w:val="16"/>
        <w:ind w:firstLine="0" w:firstLineChars="0"/>
        <w:rPr>
          <w:rFonts w:ascii="仿宋_GB2312" w:hAnsi="宋体" w:eastAsia="仿宋_GB2312"/>
          <w:color w:val="auto"/>
          <w:sz w:val="24"/>
          <w:szCs w:val="24"/>
          <w:highlight w:val="none"/>
        </w:rPr>
      </w:pPr>
    </w:p>
    <w:p w14:paraId="4EBF785D">
      <w:pPr>
        <w:rPr>
          <w:rFonts w:ascii="仿宋_GB2312" w:hAnsi="宋体" w:eastAsia="仿宋_GB2312"/>
          <w:color w:val="auto"/>
          <w:sz w:val="24"/>
          <w:highlight w:val="none"/>
        </w:rPr>
      </w:pPr>
      <w:r>
        <w:rPr>
          <w:rFonts w:hint="eastAsia" w:ascii="仿宋_GB2312" w:hAnsi="宋体" w:eastAsia="仿宋_GB2312"/>
          <w:color w:val="auto"/>
          <w:sz w:val="24"/>
          <w:highlight w:val="none"/>
        </w:rPr>
        <w:t>附：法定代表人身份证复印件、委托代理人身份证复印件</w:t>
      </w:r>
    </w:p>
    <w:p w14:paraId="6C6480F4">
      <w:pPr>
        <w:pStyle w:val="16"/>
        <w:ind w:firstLine="0" w:firstLineChars="0"/>
        <w:rPr>
          <w:rFonts w:ascii="仿宋_GB2312" w:hAnsi="宋体" w:eastAsia="仿宋_GB2312"/>
          <w:color w:val="auto"/>
          <w:sz w:val="28"/>
          <w:szCs w:val="36"/>
          <w:highlight w:val="none"/>
        </w:rPr>
      </w:pPr>
    </w:p>
    <w:p w14:paraId="034F262C">
      <w:pPr>
        <w:rPr>
          <w:rFonts w:ascii="仿宋_GB2312" w:eastAsia="仿宋_GB2312"/>
          <w:color w:val="auto"/>
          <w:sz w:val="28"/>
          <w:szCs w:val="28"/>
          <w:highlight w:val="none"/>
        </w:rPr>
      </w:pPr>
    </w:p>
    <w:p w14:paraId="570D9025">
      <w:pPr>
        <w:rPr>
          <w:rFonts w:ascii="仿宋_GB2312" w:eastAsia="仿宋_GB2312"/>
          <w:color w:val="auto"/>
          <w:sz w:val="28"/>
          <w:szCs w:val="28"/>
          <w:highlight w:val="none"/>
        </w:rPr>
      </w:pPr>
    </w:p>
    <w:p w14:paraId="7EE15042">
      <w:pPr>
        <w:rPr>
          <w:rFonts w:ascii="仿宋_GB2312" w:eastAsia="仿宋_GB2312"/>
          <w:color w:val="auto"/>
          <w:sz w:val="28"/>
          <w:szCs w:val="28"/>
          <w:highlight w:val="none"/>
        </w:rPr>
      </w:pPr>
    </w:p>
    <w:p w14:paraId="566558C1">
      <w:pPr>
        <w:rPr>
          <w:rFonts w:ascii="仿宋_GB2312" w:eastAsia="仿宋_GB2312"/>
          <w:color w:val="auto"/>
          <w:sz w:val="28"/>
          <w:szCs w:val="28"/>
          <w:highlight w:val="none"/>
        </w:rPr>
      </w:pPr>
    </w:p>
    <w:p w14:paraId="63951DB1">
      <w:pPr>
        <w:rPr>
          <w:rFonts w:ascii="仿宋_GB2312" w:eastAsia="仿宋_GB2312"/>
          <w:color w:val="auto"/>
          <w:sz w:val="28"/>
          <w:szCs w:val="28"/>
          <w:highlight w:val="none"/>
        </w:rPr>
      </w:pPr>
    </w:p>
    <w:p w14:paraId="639C682C">
      <w:pPr>
        <w:rPr>
          <w:rFonts w:ascii="仿宋_GB2312" w:eastAsia="仿宋_GB2312"/>
          <w:color w:val="auto"/>
          <w:sz w:val="28"/>
          <w:szCs w:val="28"/>
          <w:highlight w:val="none"/>
        </w:rPr>
      </w:pPr>
    </w:p>
    <w:p w14:paraId="3B98F2E6">
      <w:pPr>
        <w:rPr>
          <w:rFonts w:ascii="仿宋_GB2312" w:eastAsia="仿宋_GB2312"/>
          <w:color w:val="auto"/>
          <w:sz w:val="28"/>
          <w:szCs w:val="28"/>
          <w:highlight w:val="none"/>
        </w:rPr>
      </w:pPr>
    </w:p>
    <w:p w14:paraId="38709A8D">
      <w:pPr>
        <w:rPr>
          <w:rFonts w:ascii="仿宋_GB2312" w:eastAsia="仿宋_GB2312"/>
          <w:color w:val="auto"/>
          <w:sz w:val="28"/>
          <w:szCs w:val="28"/>
          <w:highlight w:val="none"/>
        </w:rPr>
      </w:pPr>
    </w:p>
    <w:p w14:paraId="4BB44C16">
      <w:pPr>
        <w:rPr>
          <w:rFonts w:ascii="仿宋_GB2312" w:eastAsia="仿宋_GB2312"/>
          <w:color w:val="auto"/>
          <w:sz w:val="28"/>
          <w:szCs w:val="28"/>
          <w:highlight w:val="none"/>
        </w:rPr>
      </w:pPr>
    </w:p>
    <w:p w14:paraId="73555AF2">
      <w:pPr>
        <w:rPr>
          <w:rFonts w:ascii="仿宋_GB2312" w:eastAsia="仿宋_GB2312"/>
          <w:color w:val="auto"/>
          <w:sz w:val="28"/>
          <w:szCs w:val="28"/>
          <w:highlight w:val="none"/>
        </w:rPr>
      </w:pPr>
    </w:p>
    <w:p w14:paraId="613DEC68">
      <w:pPr>
        <w:rPr>
          <w:rFonts w:ascii="仿宋_GB2312" w:eastAsia="仿宋_GB2312"/>
          <w:color w:val="auto"/>
          <w:sz w:val="28"/>
          <w:szCs w:val="28"/>
          <w:highlight w:val="none"/>
        </w:rPr>
      </w:pPr>
    </w:p>
    <w:p w14:paraId="1289C48C">
      <w:pPr>
        <w:jc w:val="center"/>
        <w:rPr>
          <w:rFonts w:ascii="仿宋_GB2312" w:eastAsia="仿宋_GB2312"/>
          <w:color w:val="auto"/>
          <w:sz w:val="28"/>
          <w:szCs w:val="28"/>
          <w:highlight w:val="none"/>
        </w:rPr>
      </w:pPr>
      <w:r>
        <w:rPr>
          <w:rFonts w:hint="eastAsia" w:ascii="仿宋_GB2312" w:hAnsi="宋体" w:eastAsia="仿宋_GB2312"/>
          <w:b/>
          <w:color w:val="auto"/>
          <w:sz w:val="28"/>
          <w:szCs w:val="21"/>
          <w:highlight w:val="none"/>
        </w:rPr>
        <w:t>相关业绩证明材料（成交通知书、项目合同等）</w:t>
      </w:r>
    </w:p>
    <w:p w14:paraId="1E7CA5A8">
      <w:pPr>
        <w:jc w:val="center"/>
        <w:rPr>
          <w:rFonts w:ascii="仿宋_GB2312" w:hAnsi="宋体" w:eastAsia="仿宋_GB2312"/>
          <w:b/>
          <w:color w:val="auto"/>
          <w:sz w:val="28"/>
          <w:szCs w:val="21"/>
          <w:highlight w:val="none"/>
        </w:rPr>
      </w:pPr>
    </w:p>
    <w:p w14:paraId="41556FA6">
      <w:pPr>
        <w:jc w:val="center"/>
        <w:rPr>
          <w:rFonts w:ascii="仿宋_GB2312" w:hAnsi="宋体" w:eastAsia="仿宋_GB2312"/>
          <w:b/>
          <w:color w:val="auto"/>
          <w:sz w:val="28"/>
          <w:szCs w:val="21"/>
          <w:highlight w:val="none"/>
        </w:rPr>
      </w:pPr>
    </w:p>
    <w:p w14:paraId="1F252E08">
      <w:pPr>
        <w:jc w:val="center"/>
        <w:rPr>
          <w:rFonts w:ascii="仿宋_GB2312" w:hAnsi="宋体" w:eastAsia="仿宋_GB2312"/>
          <w:b/>
          <w:color w:val="auto"/>
          <w:sz w:val="28"/>
          <w:szCs w:val="21"/>
          <w:highlight w:val="none"/>
        </w:rPr>
      </w:pPr>
    </w:p>
    <w:p w14:paraId="498F5F37">
      <w:pPr>
        <w:jc w:val="center"/>
        <w:rPr>
          <w:rFonts w:ascii="仿宋_GB2312" w:hAnsi="宋体" w:eastAsia="仿宋_GB2312"/>
          <w:b/>
          <w:color w:val="auto"/>
          <w:sz w:val="28"/>
          <w:szCs w:val="21"/>
          <w:highlight w:val="none"/>
        </w:rPr>
      </w:pPr>
    </w:p>
    <w:p w14:paraId="4AC3E46D">
      <w:pPr>
        <w:jc w:val="center"/>
        <w:rPr>
          <w:rFonts w:ascii="仿宋_GB2312" w:hAnsi="宋体" w:eastAsia="仿宋_GB2312"/>
          <w:b/>
          <w:color w:val="auto"/>
          <w:sz w:val="28"/>
          <w:szCs w:val="21"/>
          <w:highlight w:val="none"/>
        </w:rPr>
      </w:pPr>
    </w:p>
    <w:p w14:paraId="2FD8CEA4">
      <w:pPr>
        <w:jc w:val="center"/>
        <w:rPr>
          <w:rFonts w:ascii="仿宋_GB2312" w:hAnsi="宋体" w:eastAsia="仿宋_GB2312"/>
          <w:b/>
          <w:color w:val="auto"/>
          <w:sz w:val="28"/>
          <w:szCs w:val="21"/>
          <w:highlight w:val="none"/>
        </w:rPr>
      </w:pPr>
    </w:p>
    <w:p w14:paraId="1C565060">
      <w:pPr>
        <w:jc w:val="center"/>
        <w:rPr>
          <w:rFonts w:ascii="仿宋_GB2312" w:hAnsi="宋体" w:eastAsia="仿宋_GB2312"/>
          <w:b/>
          <w:color w:val="auto"/>
          <w:sz w:val="28"/>
          <w:szCs w:val="21"/>
          <w:highlight w:val="none"/>
        </w:rPr>
      </w:pPr>
    </w:p>
    <w:p w14:paraId="540CFA3C">
      <w:pPr>
        <w:jc w:val="center"/>
        <w:rPr>
          <w:rFonts w:ascii="仿宋_GB2312" w:hAnsi="宋体" w:eastAsia="仿宋_GB2312"/>
          <w:b/>
          <w:color w:val="auto"/>
          <w:sz w:val="28"/>
          <w:szCs w:val="21"/>
          <w:highlight w:val="none"/>
        </w:rPr>
      </w:pPr>
    </w:p>
    <w:p w14:paraId="75D03836">
      <w:pPr>
        <w:jc w:val="center"/>
        <w:rPr>
          <w:rFonts w:ascii="仿宋_GB2312" w:hAnsi="宋体" w:eastAsia="仿宋_GB2312"/>
          <w:b/>
          <w:color w:val="auto"/>
          <w:sz w:val="28"/>
          <w:szCs w:val="21"/>
          <w:highlight w:val="none"/>
        </w:rPr>
      </w:pPr>
    </w:p>
    <w:p w14:paraId="27B59B84">
      <w:pPr>
        <w:jc w:val="center"/>
        <w:rPr>
          <w:rFonts w:ascii="仿宋_GB2312" w:hAnsi="宋体" w:eastAsia="仿宋_GB2312"/>
          <w:b/>
          <w:color w:val="auto"/>
          <w:sz w:val="28"/>
          <w:szCs w:val="21"/>
          <w:highlight w:val="none"/>
        </w:rPr>
      </w:pPr>
    </w:p>
    <w:p w14:paraId="402322D9">
      <w:pPr>
        <w:jc w:val="center"/>
        <w:rPr>
          <w:rFonts w:ascii="仿宋_GB2312" w:hAnsi="宋体" w:eastAsia="仿宋_GB2312"/>
          <w:b/>
          <w:color w:val="auto"/>
          <w:sz w:val="28"/>
          <w:szCs w:val="21"/>
          <w:highlight w:val="none"/>
        </w:rPr>
      </w:pPr>
    </w:p>
    <w:p w14:paraId="2167834F">
      <w:pPr>
        <w:jc w:val="center"/>
        <w:rPr>
          <w:rFonts w:ascii="仿宋_GB2312" w:hAnsi="宋体" w:eastAsia="仿宋_GB2312"/>
          <w:b/>
          <w:color w:val="auto"/>
          <w:sz w:val="28"/>
          <w:szCs w:val="21"/>
          <w:highlight w:val="none"/>
        </w:rPr>
      </w:pPr>
    </w:p>
    <w:p w14:paraId="2BA70A37">
      <w:pPr>
        <w:jc w:val="center"/>
        <w:rPr>
          <w:rFonts w:ascii="仿宋_GB2312" w:hAnsi="宋体" w:eastAsia="仿宋_GB2312"/>
          <w:b/>
          <w:color w:val="auto"/>
          <w:sz w:val="28"/>
          <w:szCs w:val="21"/>
          <w:highlight w:val="none"/>
        </w:rPr>
      </w:pPr>
    </w:p>
    <w:p w14:paraId="2499D756">
      <w:pPr>
        <w:jc w:val="center"/>
        <w:rPr>
          <w:rFonts w:ascii="仿宋_GB2312" w:hAnsi="宋体" w:eastAsia="仿宋_GB2312"/>
          <w:b/>
          <w:color w:val="auto"/>
          <w:sz w:val="28"/>
          <w:szCs w:val="21"/>
          <w:highlight w:val="none"/>
        </w:rPr>
      </w:pPr>
    </w:p>
    <w:p w14:paraId="1896DC14">
      <w:pPr>
        <w:jc w:val="center"/>
        <w:rPr>
          <w:rFonts w:ascii="仿宋_GB2312" w:hAnsi="宋体" w:eastAsia="仿宋_GB2312"/>
          <w:b/>
          <w:color w:val="auto"/>
          <w:sz w:val="28"/>
          <w:szCs w:val="21"/>
          <w:highlight w:val="none"/>
        </w:rPr>
      </w:pPr>
    </w:p>
    <w:p w14:paraId="7DB85B24">
      <w:pPr>
        <w:jc w:val="center"/>
        <w:rPr>
          <w:rFonts w:ascii="仿宋_GB2312" w:hAnsi="宋体" w:eastAsia="仿宋_GB2312"/>
          <w:b/>
          <w:color w:val="auto"/>
          <w:sz w:val="28"/>
          <w:szCs w:val="21"/>
          <w:highlight w:val="none"/>
        </w:rPr>
      </w:pPr>
    </w:p>
    <w:p w14:paraId="5F9BC466">
      <w:pPr>
        <w:jc w:val="center"/>
        <w:rPr>
          <w:rFonts w:ascii="仿宋_GB2312" w:hAnsi="宋体" w:eastAsia="仿宋_GB2312"/>
          <w:b/>
          <w:color w:val="auto"/>
          <w:sz w:val="28"/>
          <w:szCs w:val="21"/>
          <w:highlight w:val="none"/>
        </w:rPr>
      </w:pPr>
    </w:p>
    <w:p w14:paraId="1C3AFEFF">
      <w:pPr>
        <w:jc w:val="center"/>
        <w:rPr>
          <w:rFonts w:ascii="仿宋_GB2312" w:hAnsi="宋体" w:eastAsia="仿宋_GB2312"/>
          <w:b/>
          <w:color w:val="auto"/>
          <w:sz w:val="28"/>
          <w:szCs w:val="21"/>
          <w:highlight w:val="none"/>
        </w:rPr>
      </w:pPr>
    </w:p>
    <w:p w14:paraId="16267110">
      <w:pPr>
        <w:jc w:val="center"/>
        <w:rPr>
          <w:rFonts w:ascii="仿宋_GB2312" w:hAnsi="宋体" w:eastAsia="仿宋_GB2312"/>
          <w:b/>
          <w:color w:val="auto"/>
          <w:sz w:val="28"/>
          <w:szCs w:val="21"/>
          <w:highlight w:val="none"/>
        </w:rPr>
      </w:pPr>
    </w:p>
    <w:p w14:paraId="5BF16A79">
      <w:pPr>
        <w:jc w:val="center"/>
        <w:rPr>
          <w:rFonts w:ascii="仿宋_GB2312" w:hAnsi="宋体" w:eastAsia="仿宋_GB2312"/>
          <w:b/>
          <w:color w:val="auto"/>
          <w:sz w:val="28"/>
          <w:szCs w:val="21"/>
          <w:highlight w:val="none"/>
        </w:rPr>
      </w:pPr>
    </w:p>
    <w:p w14:paraId="16D1B60C">
      <w:pPr>
        <w:jc w:val="center"/>
        <w:rPr>
          <w:rFonts w:ascii="仿宋_GB2312" w:hAnsi="宋体" w:eastAsia="仿宋_GB2312"/>
          <w:b/>
          <w:color w:val="auto"/>
          <w:sz w:val="28"/>
          <w:szCs w:val="21"/>
          <w:highlight w:val="none"/>
        </w:rPr>
      </w:pPr>
    </w:p>
    <w:p w14:paraId="4C805D8A">
      <w:pPr>
        <w:jc w:val="center"/>
        <w:rPr>
          <w:rFonts w:ascii="仿宋_GB2312" w:eastAsia="仿宋_GB2312"/>
          <w:color w:val="auto"/>
          <w:sz w:val="28"/>
          <w:szCs w:val="28"/>
          <w:highlight w:val="none"/>
        </w:rPr>
      </w:pPr>
      <w:r>
        <w:rPr>
          <w:rFonts w:hint="eastAsia" w:ascii="仿宋_GB2312" w:hAnsi="宋体" w:eastAsia="仿宋_GB2312"/>
          <w:b/>
          <w:color w:val="auto"/>
          <w:sz w:val="28"/>
          <w:szCs w:val="21"/>
          <w:highlight w:val="none"/>
        </w:rPr>
        <w:t>其他需要提供的材料</w:t>
      </w:r>
    </w:p>
    <w:p w14:paraId="3DA7553C">
      <w:pPr>
        <w:rPr>
          <w:rFonts w:ascii="仿宋_GB2312" w:hAnsi="宋体" w:eastAsia="仿宋_GB2312"/>
          <w:b/>
          <w:color w:val="auto"/>
          <w:sz w:val="28"/>
          <w:szCs w:val="21"/>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0000000000000000000"/>
    <w:charset w:val="86"/>
    <w:family w:val="auto"/>
    <w:pitch w:val="default"/>
    <w:sig w:usb0="00000000" w:usb1="0000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1505249"/>
      <w:docPartObj>
        <w:docPartGallery w:val="autotext"/>
      </w:docPartObj>
    </w:sdtPr>
    <w:sdtContent>
      <w:p w14:paraId="6275F9A5">
        <w:pPr>
          <w:pStyle w:val="9"/>
          <w:jc w:val="center"/>
        </w:pPr>
        <w:r>
          <w:fldChar w:fldCharType="begin"/>
        </w:r>
        <w:r>
          <w:instrText xml:space="preserve">PAGE   \* MERGEFORMAT</w:instrText>
        </w:r>
        <w:r>
          <w:fldChar w:fldCharType="separate"/>
        </w:r>
        <w:r>
          <w:rPr>
            <w:lang w:val="zh-CN"/>
          </w:rPr>
          <w:t>13</w:t>
        </w:r>
        <w:r>
          <w:fldChar w:fldCharType="end"/>
        </w:r>
      </w:p>
    </w:sdtContent>
  </w:sdt>
  <w:p w14:paraId="378121F2">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32C06">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8CDA9"/>
    <w:multiLevelType w:val="singleLevel"/>
    <w:tmpl w:val="4428CDA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VlMDNkNzdlMDUxMjQ5ZmY1MjQxMzQ0YjQ5ZWFlMDEifQ=="/>
  </w:docVars>
  <w:rsids>
    <w:rsidRoot w:val="00FD0BBE"/>
    <w:rsid w:val="00003F59"/>
    <w:rsid w:val="00003F70"/>
    <w:rsid w:val="00012E71"/>
    <w:rsid w:val="0003724A"/>
    <w:rsid w:val="000434E1"/>
    <w:rsid w:val="00046619"/>
    <w:rsid w:val="0006363D"/>
    <w:rsid w:val="00072530"/>
    <w:rsid w:val="000929C3"/>
    <w:rsid w:val="00095C9A"/>
    <w:rsid w:val="000A07BD"/>
    <w:rsid w:val="000D27F8"/>
    <w:rsid w:val="000D5475"/>
    <w:rsid w:val="000D554B"/>
    <w:rsid w:val="000F686C"/>
    <w:rsid w:val="000F74E3"/>
    <w:rsid w:val="000F769B"/>
    <w:rsid w:val="0010546C"/>
    <w:rsid w:val="00122604"/>
    <w:rsid w:val="001431CF"/>
    <w:rsid w:val="00154211"/>
    <w:rsid w:val="00157CDE"/>
    <w:rsid w:val="00185455"/>
    <w:rsid w:val="001924CC"/>
    <w:rsid w:val="001A0530"/>
    <w:rsid w:val="001A57EA"/>
    <w:rsid w:val="001A6E3E"/>
    <w:rsid w:val="001B7786"/>
    <w:rsid w:val="001B7C34"/>
    <w:rsid w:val="001C3FBE"/>
    <w:rsid w:val="001D1716"/>
    <w:rsid w:val="001F32FB"/>
    <w:rsid w:val="001F4583"/>
    <w:rsid w:val="001F5613"/>
    <w:rsid w:val="00201666"/>
    <w:rsid w:val="00202F75"/>
    <w:rsid w:val="00213926"/>
    <w:rsid w:val="00226901"/>
    <w:rsid w:val="00230050"/>
    <w:rsid w:val="00256068"/>
    <w:rsid w:val="00267434"/>
    <w:rsid w:val="00271F9B"/>
    <w:rsid w:val="002768EB"/>
    <w:rsid w:val="00276913"/>
    <w:rsid w:val="00277B66"/>
    <w:rsid w:val="00282959"/>
    <w:rsid w:val="00296732"/>
    <w:rsid w:val="0029772E"/>
    <w:rsid w:val="002B3B82"/>
    <w:rsid w:val="002B631F"/>
    <w:rsid w:val="002C5C1E"/>
    <w:rsid w:val="002D1E33"/>
    <w:rsid w:val="002E3862"/>
    <w:rsid w:val="002E6308"/>
    <w:rsid w:val="002F76B6"/>
    <w:rsid w:val="003018E3"/>
    <w:rsid w:val="0033479C"/>
    <w:rsid w:val="00343EC0"/>
    <w:rsid w:val="00360614"/>
    <w:rsid w:val="00376924"/>
    <w:rsid w:val="00377266"/>
    <w:rsid w:val="00384BF8"/>
    <w:rsid w:val="00397668"/>
    <w:rsid w:val="003B18E7"/>
    <w:rsid w:val="003B3DD1"/>
    <w:rsid w:val="003B7973"/>
    <w:rsid w:val="003C5B4E"/>
    <w:rsid w:val="003D0E11"/>
    <w:rsid w:val="003E1826"/>
    <w:rsid w:val="003E5D8C"/>
    <w:rsid w:val="003E73BE"/>
    <w:rsid w:val="003F0DB6"/>
    <w:rsid w:val="004018B3"/>
    <w:rsid w:val="004047BB"/>
    <w:rsid w:val="004228DB"/>
    <w:rsid w:val="00422CEA"/>
    <w:rsid w:val="0042687D"/>
    <w:rsid w:val="00432AFE"/>
    <w:rsid w:val="00435AAA"/>
    <w:rsid w:val="0043788F"/>
    <w:rsid w:val="00437D9E"/>
    <w:rsid w:val="004455D0"/>
    <w:rsid w:val="004513ED"/>
    <w:rsid w:val="004527E3"/>
    <w:rsid w:val="00455203"/>
    <w:rsid w:val="004563EE"/>
    <w:rsid w:val="0048251D"/>
    <w:rsid w:val="00482ADF"/>
    <w:rsid w:val="00494CB4"/>
    <w:rsid w:val="004963D1"/>
    <w:rsid w:val="004A5698"/>
    <w:rsid w:val="004B0725"/>
    <w:rsid w:val="004B3785"/>
    <w:rsid w:val="004B4220"/>
    <w:rsid w:val="004E0201"/>
    <w:rsid w:val="004F39D7"/>
    <w:rsid w:val="00506C53"/>
    <w:rsid w:val="0051383F"/>
    <w:rsid w:val="0051498A"/>
    <w:rsid w:val="00516479"/>
    <w:rsid w:val="005175BA"/>
    <w:rsid w:val="00524ECC"/>
    <w:rsid w:val="00525A1D"/>
    <w:rsid w:val="00537322"/>
    <w:rsid w:val="00563C6E"/>
    <w:rsid w:val="00567B04"/>
    <w:rsid w:val="005932CB"/>
    <w:rsid w:val="005A4982"/>
    <w:rsid w:val="005B51F5"/>
    <w:rsid w:val="005D1022"/>
    <w:rsid w:val="005D6BC5"/>
    <w:rsid w:val="005E3FBE"/>
    <w:rsid w:val="005F2050"/>
    <w:rsid w:val="005F5D9F"/>
    <w:rsid w:val="00604F38"/>
    <w:rsid w:val="006228BC"/>
    <w:rsid w:val="006270D4"/>
    <w:rsid w:val="00640868"/>
    <w:rsid w:val="00647907"/>
    <w:rsid w:val="00647B68"/>
    <w:rsid w:val="006554B4"/>
    <w:rsid w:val="00655D81"/>
    <w:rsid w:val="0065710F"/>
    <w:rsid w:val="00662DA2"/>
    <w:rsid w:val="006716CC"/>
    <w:rsid w:val="00676EC3"/>
    <w:rsid w:val="00687538"/>
    <w:rsid w:val="00691A73"/>
    <w:rsid w:val="00693773"/>
    <w:rsid w:val="00695D90"/>
    <w:rsid w:val="006C4DB1"/>
    <w:rsid w:val="006D4206"/>
    <w:rsid w:val="006D4AB2"/>
    <w:rsid w:val="006D5DC7"/>
    <w:rsid w:val="006E32DF"/>
    <w:rsid w:val="006E5E0A"/>
    <w:rsid w:val="006E6120"/>
    <w:rsid w:val="006E7898"/>
    <w:rsid w:val="006F60CC"/>
    <w:rsid w:val="00703F38"/>
    <w:rsid w:val="00713AF9"/>
    <w:rsid w:val="007529EE"/>
    <w:rsid w:val="00754024"/>
    <w:rsid w:val="007540FB"/>
    <w:rsid w:val="00760711"/>
    <w:rsid w:val="00764CA2"/>
    <w:rsid w:val="00767CA3"/>
    <w:rsid w:val="00773D62"/>
    <w:rsid w:val="00780295"/>
    <w:rsid w:val="00791A64"/>
    <w:rsid w:val="007A0921"/>
    <w:rsid w:val="007A3DE3"/>
    <w:rsid w:val="007A4EA7"/>
    <w:rsid w:val="007C645C"/>
    <w:rsid w:val="007D7A55"/>
    <w:rsid w:val="00800B23"/>
    <w:rsid w:val="00801082"/>
    <w:rsid w:val="008047D5"/>
    <w:rsid w:val="00810DAA"/>
    <w:rsid w:val="00832FC2"/>
    <w:rsid w:val="008463AE"/>
    <w:rsid w:val="008728C9"/>
    <w:rsid w:val="0088210A"/>
    <w:rsid w:val="00885135"/>
    <w:rsid w:val="00885FC4"/>
    <w:rsid w:val="00887A27"/>
    <w:rsid w:val="008947A6"/>
    <w:rsid w:val="0089718A"/>
    <w:rsid w:val="008A045B"/>
    <w:rsid w:val="008B11B8"/>
    <w:rsid w:val="008C382F"/>
    <w:rsid w:val="008C4013"/>
    <w:rsid w:val="008C4710"/>
    <w:rsid w:val="008C4D55"/>
    <w:rsid w:val="008E20AD"/>
    <w:rsid w:val="008F5587"/>
    <w:rsid w:val="009015E4"/>
    <w:rsid w:val="00906FAA"/>
    <w:rsid w:val="009248D0"/>
    <w:rsid w:val="00926AB2"/>
    <w:rsid w:val="00926F99"/>
    <w:rsid w:val="00957816"/>
    <w:rsid w:val="00987F27"/>
    <w:rsid w:val="0099685A"/>
    <w:rsid w:val="009B3053"/>
    <w:rsid w:val="009B7AC7"/>
    <w:rsid w:val="009D03AC"/>
    <w:rsid w:val="009E3651"/>
    <w:rsid w:val="009F5657"/>
    <w:rsid w:val="00A00303"/>
    <w:rsid w:val="00A1256C"/>
    <w:rsid w:val="00A26720"/>
    <w:rsid w:val="00A35CBF"/>
    <w:rsid w:val="00A52ECD"/>
    <w:rsid w:val="00A53F6D"/>
    <w:rsid w:val="00A54D90"/>
    <w:rsid w:val="00A56DBE"/>
    <w:rsid w:val="00A600A5"/>
    <w:rsid w:val="00A61183"/>
    <w:rsid w:val="00A660FF"/>
    <w:rsid w:val="00A72881"/>
    <w:rsid w:val="00A74C84"/>
    <w:rsid w:val="00A92526"/>
    <w:rsid w:val="00A95F35"/>
    <w:rsid w:val="00AB1B6F"/>
    <w:rsid w:val="00AE2AA1"/>
    <w:rsid w:val="00B13A00"/>
    <w:rsid w:val="00B15ED9"/>
    <w:rsid w:val="00B172D8"/>
    <w:rsid w:val="00B20155"/>
    <w:rsid w:val="00B34468"/>
    <w:rsid w:val="00B44B87"/>
    <w:rsid w:val="00B513F8"/>
    <w:rsid w:val="00B6451A"/>
    <w:rsid w:val="00B72373"/>
    <w:rsid w:val="00B942A6"/>
    <w:rsid w:val="00BA284B"/>
    <w:rsid w:val="00BB22DE"/>
    <w:rsid w:val="00BB5692"/>
    <w:rsid w:val="00BC7085"/>
    <w:rsid w:val="00BD559E"/>
    <w:rsid w:val="00BF47D6"/>
    <w:rsid w:val="00C0368F"/>
    <w:rsid w:val="00C143BF"/>
    <w:rsid w:val="00C261C6"/>
    <w:rsid w:val="00C40F35"/>
    <w:rsid w:val="00C45883"/>
    <w:rsid w:val="00C51237"/>
    <w:rsid w:val="00C736F3"/>
    <w:rsid w:val="00C8690F"/>
    <w:rsid w:val="00C96F62"/>
    <w:rsid w:val="00CB185A"/>
    <w:rsid w:val="00CB72EF"/>
    <w:rsid w:val="00CC17D4"/>
    <w:rsid w:val="00CC41B0"/>
    <w:rsid w:val="00CC52D4"/>
    <w:rsid w:val="00CC69A3"/>
    <w:rsid w:val="00CD152C"/>
    <w:rsid w:val="00CF33B8"/>
    <w:rsid w:val="00CF3775"/>
    <w:rsid w:val="00D12DD4"/>
    <w:rsid w:val="00D204FC"/>
    <w:rsid w:val="00D3218A"/>
    <w:rsid w:val="00D348E3"/>
    <w:rsid w:val="00D409B3"/>
    <w:rsid w:val="00D54330"/>
    <w:rsid w:val="00D55363"/>
    <w:rsid w:val="00D6057F"/>
    <w:rsid w:val="00D60FFB"/>
    <w:rsid w:val="00D65B79"/>
    <w:rsid w:val="00D73515"/>
    <w:rsid w:val="00D8450D"/>
    <w:rsid w:val="00D8724F"/>
    <w:rsid w:val="00DA4223"/>
    <w:rsid w:val="00DA6F92"/>
    <w:rsid w:val="00DD659D"/>
    <w:rsid w:val="00DE2ED5"/>
    <w:rsid w:val="00DE3B95"/>
    <w:rsid w:val="00DE706C"/>
    <w:rsid w:val="00DF37AD"/>
    <w:rsid w:val="00DF4846"/>
    <w:rsid w:val="00E23844"/>
    <w:rsid w:val="00E27341"/>
    <w:rsid w:val="00E47EB0"/>
    <w:rsid w:val="00E60F1F"/>
    <w:rsid w:val="00E61D6B"/>
    <w:rsid w:val="00E87AB2"/>
    <w:rsid w:val="00E96A9E"/>
    <w:rsid w:val="00EA0DC7"/>
    <w:rsid w:val="00EB3373"/>
    <w:rsid w:val="00EB7061"/>
    <w:rsid w:val="00EC072F"/>
    <w:rsid w:val="00EC0863"/>
    <w:rsid w:val="00EC0D3B"/>
    <w:rsid w:val="00EC1238"/>
    <w:rsid w:val="00EC743F"/>
    <w:rsid w:val="00ED3076"/>
    <w:rsid w:val="00ED41D0"/>
    <w:rsid w:val="00EE5E36"/>
    <w:rsid w:val="00F23AEF"/>
    <w:rsid w:val="00F242C3"/>
    <w:rsid w:val="00F35A98"/>
    <w:rsid w:val="00F54A55"/>
    <w:rsid w:val="00F55921"/>
    <w:rsid w:val="00F6219E"/>
    <w:rsid w:val="00F76742"/>
    <w:rsid w:val="00F76CF5"/>
    <w:rsid w:val="00F809F3"/>
    <w:rsid w:val="00F82B33"/>
    <w:rsid w:val="00F84578"/>
    <w:rsid w:val="00F92EC2"/>
    <w:rsid w:val="00F9589B"/>
    <w:rsid w:val="00F978B7"/>
    <w:rsid w:val="00FC5500"/>
    <w:rsid w:val="00FC5E27"/>
    <w:rsid w:val="00FD0BBE"/>
    <w:rsid w:val="00FD69C4"/>
    <w:rsid w:val="00FF5DB7"/>
    <w:rsid w:val="02053585"/>
    <w:rsid w:val="036E6B8F"/>
    <w:rsid w:val="07CC41B6"/>
    <w:rsid w:val="09026256"/>
    <w:rsid w:val="0ABB2638"/>
    <w:rsid w:val="0B035072"/>
    <w:rsid w:val="0CF22A69"/>
    <w:rsid w:val="0EB7353D"/>
    <w:rsid w:val="105A5E61"/>
    <w:rsid w:val="108A2DF9"/>
    <w:rsid w:val="114A4007"/>
    <w:rsid w:val="131F5562"/>
    <w:rsid w:val="14391855"/>
    <w:rsid w:val="16306096"/>
    <w:rsid w:val="17C77300"/>
    <w:rsid w:val="19502AFF"/>
    <w:rsid w:val="19E03C4D"/>
    <w:rsid w:val="1B291601"/>
    <w:rsid w:val="1B6125BA"/>
    <w:rsid w:val="1C366029"/>
    <w:rsid w:val="1EC23530"/>
    <w:rsid w:val="20575D73"/>
    <w:rsid w:val="207050D2"/>
    <w:rsid w:val="21D71593"/>
    <w:rsid w:val="22F216A1"/>
    <w:rsid w:val="233E37DA"/>
    <w:rsid w:val="24E221B6"/>
    <w:rsid w:val="27FF0A5B"/>
    <w:rsid w:val="2B10631A"/>
    <w:rsid w:val="2C5F7B41"/>
    <w:rsid w:val="2D46497D"/>
    <w:rsid w:val="2F4D494E"/>
    <w:rsid w:val="309B6D66"/>
    <w:rsid w:val="30B0352C"/>
    <w:rsid w:val="326E666F"/>
    <w:rsid w:val="33B666B0"/>
    <w:rsid w:val="340A210E"/>
    <w:rsid w:val="34AF0959"/>
    <w:rsid w:val="36E663B5"/>
    <w:rsid w:val="38F22CCA"/>
    <w:rsid w:val="3A3E72E2"/>
    <w:rsid w:val="415F544E"/>
    <w:rsid w:val="419E39E2"/>
    <w:rsid w:val="4211674B"/>
    <w:rsid w:val="423658B8"/>
    <w:rsid w:val="423E1409"/>
    <w:rsid w:val="434C6AD0"/>
    <w:rsid w:val="440151C0"/>
    <w:rsid w:val="45E4788C"/>
    <w:rsid w:val="475A1448"/>
    <w:rsid w:val="4AA707D6"/>
    <w:rsid w:val="4D9F49DA"/>
    <w:rsid w:val="4F7F0520"/>
    <w:rsid w:val="4F8F04E0"/>
    <w:rsid w:val="4FF26343"/>
    <w:rsid w:val="501A5998"/>
    <w:rsid w:val="50F26C67"/>
    <w:rsid w:val="5172547A"/>
    <w:rsid w:val="51FF513B"/>
    <w:rsid w:val="529772B8"/>
    <w:rsid w:val="52F104B0"/>
    <w:rsid w:val="547A6E78"/>
    <w:rsid w:val="567820CA"/>
    <w:rsid w:val="56C72A41"/>
    <w:rsid w:val="5845176E"/>
    <w:rsid w:val="599A25CB"/>
    <w:rsid w:val="5A064E6D"/>
    <w:rsid w:val="5AE72B3A"/>
    <w:rsid w:val="5C984342"/>
    <w:rsid w:val="5CDD550E"/>
    <w:rsid w:val="5D2079C3"/>
    <w:rsid w:val="5FD46D3D"/>
    <w:rsid w:val="60491F88"/>
    <w:rsid w:val="64EB61DD"/>
    <w:rsid w:val="65A605D0"/>
    <w:rsid w:val="68D63C0D"/>
    <w:rsid w:val="695F21C6"/>
    <w:rsid w:val="69747285"/>
    <w:rsid w:val="6B513865"/>
    <w:rsid w:val="6C5C16D3"/>
    <w:rsid w:val="6D1D463D"/>
    <w:rsid w:val="6D6303D8"/>
    <w:rsid w:val="6DBC0971"/>
    <w:rsid w:val="6E0C608A"/>
    <w:rsid w:val="6E305C2D"/>
    <w:rsid w:val="74BD2234"/>
    <w:rsid w:val="74FD0CE4"/>
    <w:rsid w:val="769D4E6E"/>
    <w:rsid w:val="782A5943"/>
    <w:rsid w:val="784C7759"/>
    <w:rsid w:val="7A0C2F4B"/>
    <w:rsid w:val="7CF01775"/>
    <w:rsid w:val="7FA878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4"/>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BodyText"/>
    <w:autoRedefine/>
    <w:qFormat/>
    <w:uiPriority w:val="0"/>
    <w:pPr>
      <w:widowControl w:val="0"/>
      <w:spacing w:after="120"/>
      <w:jc w:val="both"/>
      <w:textAlignment w:val="baseline"/>
    </w:pPr>
    <w:rPr>
      <w:rFonts w:ascii="Times New Roman" w:hAnsi="Times New Roman" w:eastAsia="宋体" w:cs="Times New Roman"/>
      <w:kern w:val="2"/>
      <w:sz w:val="21"/>
      <w:szCs w:val="24"/>
      <w:lang w:val="en-US" w:eastAsia="zh-CN" w:bidi="ar-SA"/>
    </w:rPr>
  </w:style>
  <w:style w:type="paragraph" w:styleId="5">
    <w:name w:val="Document Map"/>
    <w:basedOn w:val="1"/>
    <w:link w:val="22"/>
    <w:autoRedefine/>
    <w:semiHidden/>
    <w:unhideWhenUsed/>
    <w:qFormat/>
    <w:uiPriority w:val="99"/>
    <w:rPr>
      <w:rFonts w:ascii="宋体"/>
      <w:sz w:val="18"/>
      <w:szCs w:val="18"/>
    </w:rPr>
  </w:style>
  <w:style w:type="paragraph" w:styleId="6">
    <w:name w:val="Body Text"/>
    <w:basedOn w:val="1"/>
    <w:next w:val="1"/>
    <w:qFormat/>
    <w:uiPriority w:val="0"/>
    <w:pPr>
      <w:spacing w:after="120"/>
    </w:pPr>
    <w:rPr>
      <w:rFonts w:ascii="Calibri" w:hAnsi="Calibri"/>
    </w:rPr>
  </w:style>
  <w:style w:type="paragraph" w:styleId="7">
    <w:name w:val="Plain Text"/>
    <w:basedOn w:val="1"/>
    <w:link w:val="20"/>
    <w:autoRedefine/>
    <w:qFormat/>
    <w:uiPriority w:val="0"/>
    <w:rPr>
      <w:rFonts w:ascii="宋体" w:hAnsi="Courier New"/>
      <w:szCs w:val="20"/>
    </w:rPr>
  </w:style>
  <w:style w:type="paragraph" w:styleId="8">
    <w:name w:val="Balloon Text"/>
    <w:basedOn w:val="1"/>
    <w:link w:val="25"/>
    <w:autoRedefine/>
    <w:semiHidden/>
    <w:unhideWhenUsed/>
    <w:qFormat/>
    <w:uiPriority w:val="99"/>
    <w:rPr>
      <w:sz w:val="18"/>
      <w:szCs w:val="18"/>
    </w:rPr>
  </w:style>
  <w:style w:type="paragraph" w:styleId="9">
    <w:name w:val="footer"/>
    <w:basedOn w:val="1"/>
    <w:link w:val="15"/>
    <w:autoRedefine/>
    <w:unhideWhenUsed/>
    <w:qFormat/>
    <w:uiPriority w:val="99"/>
    <w:pPr>
      <w:tabs>
        <w:tab w:val="center" w:pos="4153"/>
        <w:tab w:val="right" w:pos="8306"/>
      </w:tabs>
      <w:snapToGrid w:val="0"/>
      <w:jc w:val="left"/>
    </w:pPr>
    <w:rPr>
      <w:sz w:val="18"/>
      <w:szCs w:val="18"/>
    </w:rPr>
  </w:style>
  <w:style w:type="paragraph" w:styleId="10">
    <w:name w:val="header"/>
    <w:basedOn w:val="1"/>
    <w:link w:val="14"/>
    <w:autoRedefine/>
    <w:unhideWhenUsed/>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页眉 Char"/>
    <w:basedOn w:val="13"/>
    <w:link w:val="10"/>
    <w:autoRedefine/>
    <w:semiHidden/>
    <w:qFormat/>
    <w:uiPriority w:val="99"/>
    <w:rPr>
      <w:sz w:val="18"/>
      <w:szCs w:val="18"/>
    </w:rPr>
  </w:style>
  <w:style w:type="character" w:customStyle="1" w:styleId="15">
    <w:name w:val="页脚 Char"/>
    <w:basedOn w:val="13"/>
    <w:link w:val="9"/>
    <w:autoRedefine/>
    <w:qFormat/>
    <w:uiPriority w:val="99"/>
    <w:rPr>
      <w:sz w:val="18"/>
      <w:szCs w:val="18"/>
    </w:rPr>
  </w:style>
  <w:style w:type="paragraph" w:customStyle="1" w:styleId="16">
    <w:name w:val="_Style 1"/>
    <w:basedOn w:val="1"/>
    <w:autoRedefine/>
    <w:qFormat/>
    <w:uiPriority w:val="34"/>
    <w:pPr>
      <w:ind w:firstLine="420" w:firstLineChars="200"/>
    </w:pPr>
    <w:rPr>
      <w:rFonts w:ascii="Calibri" w:hAnsi="Calibri"/>
      <w:szCs w:val="22"/>
    </w:rPr>
  </w:style>
  <w:style w:type="character" w:customStyle="1" w:styleId="17">
    <w:name w:val="Character Style 2"/>
    <w:autoRedefine/>
    <w:qFormat/>
    <w:uiPriority w:val="99"/>
    <w:rPr>
      <w:sz w:val="20"/>
      <w:szCs w:val="20"/>
    </w:rPr>
  </w:style>
  <w:style w:type="character" w:customStyle="1" w:styleId="18">
    <w:name w:val="Character Style 1"/>
    <w:autoRedefine/>
    <w:qFormat/>
    <w:uiPriority w:val="99"/>
    <w:rPr>
      <w:sz w:val="20"/>
    </w:rPr>
  </w:style>
  <w:style w:type="character" w:customStyle="1" w:styleId="19">
    <w:name w:val="纯文本 Char"/>
    <w:basedOn w:val="13"/>
    <w:autoRedefine/>
    <w:semiHidden/>
    <w:qFormat/>
    <w:uiPriority w:val="99"/>
    <w:rPr>
      <w:rFonts w:ascii="宋体" w:hAnsi="Courier New" w:eastAsia="宋体" w:cs="Courier New"/>
      <w:szCs w:val="21"/>
    </w:rPr>
  </w:style>
  <w:style w:type="character" w:customStyle="1" w:styleId="20">
    <w:name w:val="纯文本 Char1"/>
    <w:link w:val="7"/>
    <w:autoRedefine/>
    <w:qFormat/>
    <w:locked/>
    <w:uiPriority w:val="0"/>
    <w:rPr>
      <w:rFonts w:ascii="宋体" w:hAnsi="Courier New" w:eastAsia="宋体" w:cs="Times New Roman"/>
      <w:szCs w:val="20"/>
    </w:rPr>
  </w:style>
  <w:style w:type="paragraph" w:styleId="21">
    <w:name w:val="List Paragraph"/>
    <w:basedOn w:val="1"/>
    <w:autoRedefine/>
    <w:qFormat/>
    <w:uiPriority w:val="34"/>
    <w:pPr>
      <w:ind w:firstLine="420" w:firstLineChars="200"/>
    </w:pPr>
    <w:rPr>
      <w:rFonts w:ascii="Calibri" w:hAnsi="Calibri"/>
      <w:szCs w:val="22"/>
    </w:rPr>
  </w:style>
  <w:style w:type="character" w:customStyle="1" w:styleId="22">
    <w:name w:val="文档结构图 Char"/>
    <w:basedOn w:val="13"/>
    <w:link w:val="5"/>
    <w:autoRedefine/>
    <w:semiHidden/>
    <w:qFormat/>
    <w:uiPriority w:val="99"/>
    <w:rPr>
      <w:rFonts w:ascii="宋体" w:hAnsi="Times New Roman" w:eastAsia="宋体" w:cs="Times New Roman"/>
      <w:sz w:val="18"/>
      <w:szCs w:val="18"/>
    </w:rPr>
  </w:style>
  <w:style w:type="character" w:customStyle="1" w:styleId="23">
    <w:name w:val="标题 1 Char"/>
    <w:basedOn w:val="13"/>
    <w:link w:val="3"/>
    <w:autoRedefine/>
    <w:qFormat/>
    <w:uiPriority w:val="9"/>
    <w:rPr>
      <w:rFonts w:ascii="Times New Roman" w:hAnsi="Times New Roman" w:eastAsia="宋体" w:cs="Times New Roman"/>
      <w:b/>
      <w:bCs/>
      <w:kern w:val="44"/>
      <w:sz w:val="44"/>
      <w:szCs w:val="44"/>
    </w:rPr>
  </w:style>
  <w:style w:type="character" w:customStyle="1" w:styleId="24">
    <w:name w:val="标题 2 Char"/>
    <w:basedOn w:val="13"/>
    <w:link w:val="4"/>
    <w:autoRedefine/>
    <w:qFormat/>
    <w:uiPriority w:val="9"/>
    <w:rPr>
      <w:rFonts w:asciiTheme="majorHAnsi" w:hAnsiTheme="majorHAnsi" w:eastAsiaTheme="majorEastAsia" w:cstheme="majorBidi"/>
      <w:b/>
      <w:bCs/>
      <w:kern w:val="2"/>
      <w:sz w:val="32"/>
      <w:szCs w:val="32"/>
    </w:rPr>
  </w:style>
  <w:style w:type="character" w:customStyle="1" w:styleId="25">
    <w:name w:val="批注框文本 Char"/>
    <w:basedOn w:val="13"/>
    <w:link w:val="8"/>
    <w:autoRedefine/>
    <w:semiHidden/>
    <w:qFormat/>
    <w:uiPriority w:val="99"/>
    <w:rPr>
      <w:rFonts w:ascii="Times New Roman" w:hAnsi="Times New Roman" w:eastAsia="宋体" w:cs="Times New Roman"/>
      <w:kern w:val="2"/>
      <w:sz w:val="18"/>
      <w:szCs w:val="18"/>
    </w:rPr>
  </w:style>
  <w:style w:type="paragraph" w:customStyle="1" w:styleId="26">
    <w:name w:val="修订1"/>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27">
    <w:name w:val="修订2"/>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2B4837-34C3-4919-BB17-726E69943DD6}">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19</Pages>
  <Words>5613</Words>
  <Characters>5792</Characters>
  <Lines>45</Lines>
  <Paragraphs>12</Paragraphs>
  <TotalTime>15</TotalTime>
  <ScaleCrop>false</ScaleCrop>
  <LinksUpToDate>false</LinksUpToDate>
  <CharactersWithSpaces>5997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2026-01-29T02:28:00Z</dcterms:created>
  <dc:creator>禤炜安</dc:creator>
  <cp:lastModifiedBy>上邪</cp:lastModifiedBy>
  <cp:lastPrinted>2026-03-11T07:44:00Z</cp:lastPrinted>
  <dcterms:modified xsi:type="dcterms:W3CDTF">2026-03-19T08:32:13Z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74DF871C0E394137A551B70C6CAE33AF_13</vt:lpwstr>
  </property>
  <property fmtid="{D5CDD505-2E9C-101B-9397-08002B2CF9AE}" pid="4" name="KSOTemplateDocerSaveRecord">
    <vt:lpwstr>eyJoZGlkIjoiYjJjOTQxYzhjODMyMDAzZmE0MDJkMWFkNmJlNDkwYTUiLCJ1c2VySWQiOiI0MzI4NDczNDUifQ==</vt:lpwstr>
  </property>
</Properties>
</file>