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0F1" w:rsidRDefault="004D00F1">
      <w:pPr>
        <w:pStyle w:val="ab"/>
        <w:widowControl/>
        <w:shd w:val="clear" w:color="auto" w:fill="FFFFFF"/>
        <w:spacing w:before="0" w:beforeAutospacing="0" w:after="0" w:afterAutospacing="0" w:line="26" w:lineRule="atLeast"/>
        <w:rPr>
          <w:rFonts w:ascii="微软雅黑" w:eastAsia="微软雅黑" w:hAnsi="微软雅黑" w:cs="微软雅黑"/>
          <w:b/>
          <w:bCs/>
          <w:sz w:val="42"/>
          <w:szCs w:val="42"/>
          <w:shd w:val="clear" w:color="auto" w:fill="FFFFFF"/>
        </w:rPr>
      </w:pPr>
    </w:p>
    <w:p w:rsidR="004D00F1" w:rsidRDefault="006F1950">
      <w:pPr>
        <w:pStyle w:val="ab"/>
        <w:widowControl/>
        <w:shd w:val="clear" w:color="auto" w:fill="FFFFFF"/>
        <w:spacing w:before="0" w:beforeAutospacing="0" w:after="0" w:afterAutospacing="0" w:line="26" w:lineRule="atLeast"/>
        <w:jc w:val="center"/>
        <w:rPr>
          <w:rFonts w:ascii="方正小标宋简体" w:eastAsia="方正小标宋简体" w:hAnsi="微软雅黑" w:cs="微软雅黑"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《</w:t>
      </w:r>
      <w:r>
        <w:rPr>
          <w:rFonts w:ascii="方正小标宋简体" w:eastAsia="方正小标宋简体" w:hint="eastAsia"/>
          <w:sz w:val="44"/>
          <w:szCs w:val="44"/>
        </w:rPr>
        <w:t>广西壮族自治区交通运输综合行政执法局应急预案</w:t>
      </w:r>
      <w:r>
        <w:rPr>
          <w:rFonts w:ascii="方正小标宋简体" w:eastAsia="方正小标宋简体" w:hAnsi="微软雅黑" w:hint="eastAsia"/>
          <w:sz w:val="44"/>
          <w:szCs w:val="44"/>
        </w:rPr>
        <w:t>》编制</w:t>
      </w:r>
      <w:r>
        <w:rPr>
          <w:rFonts w:ascii="方正小标宋简体" w:eastAsia="方正小标宋简体" w:hAnsi="微软雅黑" w:cs="微软雅黑" w:hint="eastAsia"/>
          <w:bCs/>
          <w:sz w:val="44"/>
          <w:szCs w:val="44"/>
          <w:shd w:val="clear" w:color="auto" w:fill="FFFFFF"/>
        </w:rPr>
        <w:t>项目评标办法</w:t>
      </w:r>
      <w:bookmarkStart w:id="0" w:name="_GoBack"/>
      <w:bookmarkEnd w:id="0"/>
    </w:p>
    <w:p w:rsidR="004D00F1" w:rsidRDefault="006F1950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一、本次评审采用综合评分法。</w:t>
      </w:r>
    </w:p>
    <w:p w:rsidR="004D00F1" w:rsidRDefault="006F195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评审以需求文件规定的条件为依据，评分比重构成如下：</w:t>
      </w:r>
    </w:p>
    <w:tbl>
      <w:tblPr>
        <w:tblW w:w="5018" w:type="pct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4"/>
        <w:gridCol w:w="2079"/>
        <w:gridCol w:w="2080"/>
        <w:gridCol w:w="1923"/>
      </w:tblGrid>
      <w:tr w:rsidR="004D00F1">
        <w:tc>
          <w:tcPr>
            <w:tcW w:w="1347" w:type="pct"/>
            <w:vAlign w:val="center"/>
          </w:tcPr>
          <w:p w:rsidR="004D00F1" w:rsidRDefault="006F195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评分项目</w:t>
            </w:r>
          </w:p>
        </w:tc>
        <w:tc>
          <w:tcPr>
            <w:tcW w:w="1248" w:type="pct"/>
            <w:vAlign w:val="center"/>
          </w:tcPr>
          <w:p w:rsidR="004D00F1" w:rsidRDefault="006F195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技术评分</w:t>
            </w:r>
          </w:p>
        </w:tc>
        <w:tc>
          <w:tcPr>
            <w:tcW w:w="1249" w:type="pct"/>
            <w:vAlign w:val="center"/>
          </w:tcPr>
          <w:p w:rsidR="004D00F1" w:rsidRDefault="006F195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商务评分</w:t>
            </w:r>
          </w:p>
        </w:tc>
        <w:tc>
          <w:tcPr>
            <w:tcW w:w="1155" w:type="pct"/>
            <w:vAlign w:val="center"/>
          </w:tcPr>
          <w:p w:rsidR="004D00F1" w:rsidRDefault="006F195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价格评分</w:t>
            </w:r>
          </w:p>
        </w:tc>
      </w:tr>
      <w:tr w:rsidR="004D00F1">
        <w:tc>
          <w:tcPr>
            <w:tcW w:w="1347" w:type="pct"/>
            <w:vAlign w:val="center"/>
          </w:tcPr>
          <w:p w:rsidR="004D00F1" w:rsidRDefault="006F195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分值</w:t>
            </w:r>
          </w:p>
        </w:tc>
        <w:tc>
          <w:tcPr>
            <w:tcW w:w="1248" w:type="pct"/>
            <w:vAlign w:val="center"/>
          </w:tcPr>
          <w:p w:rsidR="004D00F1" w:rsidRDefault="006F195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70分</w:t>
            </w:r>
          </w:p>
        </w:tc>
        <w:tc>
          <w:tcPr>
            <w:tcW w:w="1249" w:type="pct"/>
            <w:vAlign w:val="center"/>
          </w:tcPr>
          <w:p w:rsidR="004D00F1" w:rsidRDefault="006F195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  <w:tc>
          <w:tcPr>
            <w:tcW w:w="1155" w:type="pct"/>
            <w:vAlign w:val="center"/>
          </w:tcPr>
          <w:p w:rsidR="004D00F1" w:rsidRDefault="006F195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</w:tbl>
    <w:p w:rsidR="004D00F1" w:rsidRDefault="004D00F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D00F1" w:rsidRDefault="006F1950">
      <w:pPr>
        <w:pStyle w:val="ab"/>
        <w:widowControl/>
        <w:shd w:val="clear" w:color="auto" w:fill="FFFFFF"/>
        <w:spacing w:before="0" w:beforeAutospacing="0" w:after="0" w:afterAutospacing="0" w:line="368" w:lineRule="atLeast"/>
        <w:ind w:firstLineChars="200" w:firstLine="643"/>
        <w:rPr>
          <w:rFonts w:ascii="仿宋_GB2312" w:eastAsia="仿宋_GB2312"/>
          <w:b/>
          <w:kern w:val="2"/>
          <w:sz w:val="32"/>
          <w:szCs w:val="32"/>
        </w:rPr>
      </w:pPr>
      <w:r>
        <w:rPr>
          <w:rFonts w:ascii="仿宋_GB2312" w:eastAsia="仿宋_GB2312"/>
          <w:b/>
          <w:kern w:val="2"/>
          <w:sz w:val="32"/>
          <w:szCs w:val="32"/>
        </w:rPr>
        <w:t>二、技术评分标准（总分：</w:t>
      </w:r>
      <w:r>
        <w:rPr>
          <w:rFonts w:ascii="仿宋_GB2312" w:eastAsia="仿宋_GB2312" w:hint="eastAsia"/>
          <w:b/>
          <w:kern w:val="2"/>
          <w:sz w:val="32"/>
          <w:szCs w:val="32"/>
        </w:rPr>
        <w:t>7</w:t>
      </w:r>
      <w:r>
        <w:rPr>
          <w:rFonts w:ascii="仿宋_GB2312" w:eastAsia="仿宋_GB2312"/>
          <w:b/>
          <w:kern w:val="2"/>
          <w:sz w:val="32"/>
          <w:szCs w:val="32"/>
        </w:rPr>
        <w:t>0分）</w:t>
      </w:r>
    </w:p>
    <w:tbl>
      <w:tblPr>
        <w:tblW w:w="83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2206"/>
        <w:gridCol w:w="3806"/>
        <w:gridCol w:w="1253"/>
      </w:tblGrid>
      <w:tr w:rsidR="004D00F1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pStyle w:val="ab"/>
              <w:widowControl/>
              <w:wordWrap w:val="0"/>
              <w:spacing w:before="0" w:beforeAutospacing="0" w:after="0" w:afterAutospacing="0" w:line="368" w:lineRule="atLeast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>序号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pStyle w:val="ab"/>
              <w:widowControl/>
              <w:wordWrap w:val="0"/>
              <w:spacing w:before="0" w:beforeAutospacing="0" w:after="0" w:afterAutospacing="0" w:line="368" w:lineRule="atLeast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>评审内容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pStyle w:val="ab"/>
              <w:widowControl/>
              <w:wordWrap w:val="0"/>
              <w:spacing w:before="0" w:beforeAutospacing="0" w:after="0" w:afterAutospacing="0" w:line="368" w:lineRule="atLeast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>评分细则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pStyle w:val="ab"/>
              <w:widowControl/>
              <w:wordWrap w:val="0"/>
              <w:spacing w:before="0" w:beforeAutospacing="0" w:after="0" w:afterAutospacing="0" w:line="368" w:lineRule="atLeast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>分值</w:t>
            </w:r>
          </w:p>
        </w:tc>
      </w:tr>
      <w:tr w:rsidR="004D00F1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pStyle w:val="ab"/>
              <w:widowControl/>
              <w:wordWrap w:val="0"/>
              <w:spacing w:before="0" w:beforeAutospacing="0" w:after="0" w:afterAutospacing="0" w:line="368" w:lineRule="atLeas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pStyle w:val="ab"/>
              <w:widowControl/>
              <w:wordWrap w:val="0"/>
              <w:spacing w:before="0" w:beforeAutospacing="0" w:after="0" w:afterAutospacing="0" w:line="368" w:lineRule="atLeas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项目实施</w:t>
            </w:r>
            <w:r>
              <w:rPr>
                <w:rFonts w:ascii="仿宋_GB2312" w:eastAsia="仿宋_GB2312"/>
                <w:kern w:val="2"/>
                <w:sz w:val="32"/>
                <w:szCs w:val="32"/>
              </w:rPr>
              <w:t>方案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pStyle w:val="ab"/>
              <w:widowControl/>
              <w:wordWrap w:val="0"/>
              <w:spacing w:before="0" w:beforeAutospacing="0" w:after="0" w:afterAutospacing="0" w:line="368" w:lineRule="atLeas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hd w:val="clear" w:color="auto" w:fill="FFFFFF"/>
              </w:rPr>
              <w:t>方案内容详细、可行性强的得4</w:t>
            </w:r>
            <w:r>
              <w:rPr>
                <w:rFonts w:ascii="仿宋" w:eastAsia="仿宋" w:hAnsi="仿宋"/>
                <w:color w:val="000000"/>
                <w:shd w:val="clear" w:color="auto" w:fill="FFFFFF"/>
              </w:rPr>
              <w:t>0</w:t>
            </w:r>
            <w:r>
              <w:rPr>
                <w:rFonts w:ascii="仿宋" w:eastAsia="仿宋" w:hAnsi="仿宋" w:hint="eastAsia"/>
                <w:color w:val="000000"/>
                <w:shd w:val="clear" w:color="auto" w:fill="FFFFFF"/>
              </w:rPr>
              <w:t>分；方案内容齐全、可行性较强30分；方案内容不够详实、可行性差2</w:t>
            </w:r>
            <w:r>
              <w:rPr>
                <w:rFonts w:ascii="仿宋" w:eastAsia="仿宋" w:hAnsi="仿宋"/>
                <w:color w:val="000000"/>
                <w:shd w:val="clear" w:color="auto" w:fill="FFFFFF"/>
              </w:rPr>
              <w:t>0</w:t>
            </w:r>
            <w:r>
              <w:rPr>
                <w:rFonts w:ascii="仿宋" w:eastAsia="仿宋" w:hAnsi="仿宋" w:hint="eastAsia"/>
                <w:color w:val="000000"/>
                <w:shd w:val="clear" w:color="auto" w:fill="FFFFFF"/>
              </w:rPr>
              <w:t>分；不提供不得分。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pStyle w:val="ab"/>
              <w:widowControl/>
              <w:wordWrap w:val="0"/>
              <w:spacing w:before="0" w:beforeAutospacing="0" w:after="0" w:afterAutospacing="0" w:line="368" w:lineRule="atLeas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kern w:val="2"/>
                <w:sz w:val="32"/>
                <w:szCs w:val="32"/>
              </w:rPr>
              <w:t>0分</w:t>
            </w:r>
          </w:p>
        </w:tc>
      </w:tr>
      <w:tr w:rsidR="004D00F1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pStyle w:val="ab"/>
              <w:widowControl/>
              <w:wordWrap w:val="0"/>
              <w:spacing w:before="0" w:beforeAutospacing="0" w:after="0" w:afterAutospacing="0" w:line="368" w:lineRule="atLeas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2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pStyle w:val="ab"/>
              <w:widowControl/>
              <w:wordWrap w:val="0"/>
              <w:spacing w:before="0" w:beforeAutospacing="0" w:after="0" w:afterAutospacing="0" w:line="368" w:lineRule="atLeas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技术力量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widowControl/>
              <w:shd w:val="clear" w:color="auto" w:fill="FFFFFF"/>
              <w:suppressAutoHyphens w:val="0"/>
              <w:wordWrap w:val="0"/>
              <w:spacing w:line="231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hd w:val="clear" w:color="auto" w:fill="FFFFFF"/>
              </w:rPr>
              <w:t>项目团队人员具有正高级职称每个得6分，高级职称每个得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hd w:val="clear" w:color="auto" w:fill="FFFFFF"/>
              </w:rPr>
              <w:t>4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hd w:val="clear" w:color="auto" w:fill="FFFFFF"/>
              </w:rPr>
              <w:t>分，中级职称每个得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hd w:val="clear" w:color="auto" w:fill="FFFFFF"/>
              </w:rPr>
              <w:t>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hd w:val="clear" w:color="auto" w:fill="FFFFFF"/>
              </w:rPr>
              <w:t>分，初级职称每个得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hd w:val="clear" w:color="auto" w:fill="FFFFFF"/>
              </w:rPr>
              <w:t>分，没有职称不得分（最高不超过2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hd w:val="clear" w:color="auto" w:fill="FFFFFF"/>
              </w:rPr>
              <w:t>0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hd w:val="clear" w:color="auto" w:fill="FFFFFF"/>
              </w:rPr>
              <w:t>分）。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pStyle w:val="ab"/>
              <w:widowControl/>
              <w:wordWrap w:val="0"/>
              <w:spacing w:before="0" w:beforeAutospacing="0" w:after="0" w:afterAutospacing="0" w:line="368" w:lineRule="atLeas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kern w:val="2"/>
                <w:sz w:val="32"/>
                <w:szCs w:val="32"/>
              </w:rPr>
              <w:t>分</w:t>
            </w:r>
          </w:p>
        </w:tc>
      </w:tr>
      <w:tr w:rsidR="004D00F1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pStyle w:val="ab"/>
              <w:widowControl/>
              <w:wordWrap w:val="0"/>
              <w:spacing w:before="0" w:beforeAutospacing="0" w:after="0" w:afterAutospacing="0" w:line="368" w:lineRule="atLeas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3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pStyle w:val="ab"/>
              <w:widowControl/>
              <w:wordWrap w:val="0"/>
              <w:spacing w:before="0" w:beforeAutospacing="0" w:after="0" w:afterAutospacing="0" w:line="368" w:lineRule="atLeas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>服务团队人</w:t>
            </w: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数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widowControl/>
              <w:shd w:val="clear" w:color="auto" w:fill="FFFFFF"/>
              <w:suppressAutoHyphens w:val="0"/>
              <w:wordWrap w:val="0"/>
              <w:spacing w:line="231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hd w:val="clear" w:color="auto" w:fill="FFFFFF"/>
              </w:rPr>
              <w:t>项目团队为8人及以上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hd w:val="clear" w:color="auto" w:fill="FFFFFF"/>
              </w:rPr>
              <w:t>得10分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hd w:val="clear" w:color="auto" w:fill="FFFFFF"/>
              </w:rPr>
              <w:t>6-7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hd w:val="clear" w:color="auto" w:fill="FFFFFF"/>
              </w:rPr>
              <w:t>人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hd w:val="clear" w:color="auto" w:fill="FFFFFF"/>
              </w:rPr>
              <w:t>得8分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hd w:val="clear" w:color="auto" w:fill="FFFFFF"/>
              </w:rPr>
              <w:t>4-5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hd w:val="clear" w:color="auto" w:fill="FFFFFF"/>
              </w:rPr>
              <w:t>人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hd w:val="clear" w:color="auto" w:fill="FFFFFF"/>
              </w:rPr>
              <w:t>得6分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hd w:val="clear" w:color="auto" w:fill="FFFFFF"/>
              </w:rPr>
              <w:t>3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hd w:val="clear" w:color="auto" w:fill="FFFFFF"/>
              </w:rPr>
              <w:t>人及以下得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hd w:val="clear" w:color="auto" w:fill="FFFFFF"/>
              </w:rPr>
              <w:t>4分。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pStyle w:val="ab"/>
              <w:widowControl/>
              <w:wordWrap w:val="0"/>
              <w:spacing w:before="0" w:beforeAutospacing="0" w:after="0" w:afterAutospacing="0" w:line="368" w:lineRule="atLeas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>1</w:t>
            </w: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0</w:t>
            </w:r>
            <w:r>
              <w:rPr>
                <w:rFonts w:ascii="仿宋_GB2312" w:eastAsia="仿宋_GB2312"/>
                <w:kern w:val="2"/>
                <w:sz w:val="32"/>
                <w:szCs w:val="32"/>
              </w:rPr>
              <w:t>分</w:t>
            </w:r>
          </w:p>
        </w:tc>
      </w:tr>
    </w:tbl>
    <w:p w:rsidR="009D3906" w:rsidRDefault="009D3906">
      <w:pPr>
        <w:pStyle w:val="ab"/>
        <w:widowControl/>
        <w:shd w:val="clear" w:color="auto" w:fill="FFFFFF"/>
        <w:spacing w:before="0" w:beforeAutospacing="0" w:after="0" w:afterAutospacing="0" w:line="368" w:lineRule="atLeast"/>
        <w:rPr>
          <w:rFonts w:ascii="仿宋_GB2312" w:eastAsia="仿宋_GB2312"/>
          <w:kern w:val="2"/>
          <w:sz w:val="32"/>
          <w:szCs w:val="32"/>
        </w:rPr>
      </w:pPr>
    </w:p>
    <w:p w:rsidR="009D3906" w:rsidRDefault="009D3906">
      <w:pPr>
        <w:pStyle w:val="ab"/>
        <w:widowControl/>
        <w:shd w:val="clear" w:color="auto" w:fill="FFFFFF"/>
        <w:spacing w:before="0" w:beforeAutospacing="0" w:after="0" w:afterAutospacing="0" w:line="368" w:lineRule="atLeast"/>
        <w:rPr>
          <w:rFonts w:ascii="仿宋_GB2312" w:eastAsia="仿宋_GB2312"/>
          <w:kern w:val="2"/>
          <w:sz w:val="32"/>
          <w:szCs w:val="32"/>
        </w:rPr>
      </w:pPr>
    </w:p>
    <w:p w:rsidR="009D3906" w:rsidRDefault="009D3906">
      <w:pPr>
        <w:pStyle w:val="ab"/>
        <w:widowControl/>
        <w:shd w:val="clear" w:color="auto" w:fill="FFFFFF"/>
        <w:spacing w:before="0" w:beforeAutospacing="0" w:after="0" w:afterAutospacing="0" w:line="368" w:lineRule="atLeast"/>
        <w:rPr>
          <w:rFonts w:ascii="仿宋_GB2312" w:eastAsia="仿宋_GB2312" w:hint="eastAsia"/>
          <w:kern w:val="2"/>
          <w:sz w:val="32"/>
          <w:szCs w:val="32"/>
        </w:rPr>
      </w:pPr>
    </w:p>
    <w:p w:rsidR="004D00F1" w:rsidRDefault="006F1950">
      <w:pPr>
        <w:pStyle w:val="ab"/>
        <w:widowControl/>
        <w:shd w:val="clear" w:color="auto" w:fill="FFFFFF"/>
        <w:spacing w:before="0" w:beforeAutospacing="0" w:after="0" w:afterAutospacing="0" w:line="368" w:lineRule="atLeast"/>
        <w:ind w:firstLineChars="200" w:firstLine="643"/>
        <w:rPr>
          <w:rFonts w:ascii="仿宋_GB2312" w:eastAsia="仿宋_GB2312"/>
          <w:b/>
          <w:kern w:val="2"/>
          <w:sz w:val="32"/>
          <w:szCs w:val="32"/>
        </w:rPr>
      </w:pPr>
      <w:r>
        <w:rPr>
          <w:rFonts w:ascii="仿宋_GB2312" w:eastAsia="仿宋_GB2312" w:hint="eastAsia"/>
          <w:b/>
          <w:kern w:val="2"/>
          <w:sz w:val="32"/>
          <w:szCs w:val="32"/>
        </w:rPr>
        <w:lastRenderedPageBreak/>
        <w:t>三、商务</w:t>
      </w:r>
      <w:r>
        <w:rPr>
          <w:rFonts w:ascii="仿宋_GB2312" w:eastAsia="仿宋_GB2312"/>
          <w:b/>
          <w:kern w:val="2"/>
          <w:sz w:val="32"/>
          <w:szCs w:val="32"/>
        </w:rPr>
        <w:t>评分标准（总分：</w:t>
      </w:r>
      <w:r>
        <w:rPr>
          <w:rFonts w:ascii="仿宋_GB2312" w:eastAsia="仿宋_GB2312" w:hint="eastAsia"/>
          <w:b/>
          <w:kern w:val="2"/>
          <w:sz w:val="32"/>
          <w:szCs w:val="32"/>
        </w:rPr>
        <w:t>2</w:t>
      </w:r>
      <w:r>
        <w:rPr>
          <w:rFonts w:ascii="仿宋_GB2312" w:eastAsia="仿宋_GB2312"/>
          <w:b/>
          <w:kern w:val="2"/>
          <w:sz w:val="32"/>
          <w:szCs w:val="32"/>
        </w:rPr>
        <w:t>0分）</w:t>
      </w:r>
    </w:p>
    <w:tbl>
      <w:tblPr>
        <w:tblW w:w="83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2206"/>
        <w:gridCol w:w="3806"/>
        <w:gridCol w:w="1253"/>
      </w:tblGrid>
      <w:tr w:rsidR="004D00F1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pStyle w:val="ab"/>
              <w:widowControl/>
              <w:wordWrap w:val="0"/>
              <w:spacing w:before="0" w:beforeAutospacing="0" w:after="0" w:afterAutospacing="0" w:line="368" w:lineRule="atLeas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>序号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pStyle w:val="ab"/>
              <w:widowControl/>
              <w:wordWrap w:val="0"/>
              <w:spacing w:before="0" w:beforeAutospacing="0" w:after="0" w:afterAutospacing="0" w:line="368" w:lineRule="atLeas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 xml:space="preserve">　评审内容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pStyle w:val="ab"/>
              <w:widowControl/>
              <w:wordWrap w:val="0"/>
              <w:spacing w:before="0" w:beforeAutospacing="0" w:after="0" w:afterAutospacing="0" w:line="368" w:lineRule="atLeas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 xml:space="preserve">　　评分细则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pStyle w:val="ab"/>
              <w:widowControl/>
              <w:wordWrap w:val="0"/>
              <w:spacing w:before="0" w:beforeAutospacing="0" w:after="0" w:afterAutospacing="0" w:line="368" w:lineRule="atLeas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>分值</w:t>
            </w:r>
          </w:p>
        </w:tc>
      </w:tr>
      <w:tr w:rsidR="004D00F1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pStyle w:val="ab"/>
              <w:widowControl/>
              <w:wordWrap w:val="0"/>
              <w:spacing w:before="0" w:beforeAutospacing="0" w:after="0" w:afterAutospacing="0" w:line="368" w:lineRule="atLeas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pStyle w:val="ab"/>
              <w:widowControl/>
              <w:wordWrap w:val="0"/>
              <w:spacing w:before="0" w:beforeAutospacing="0" w:after="0" w:afterAutospacing="0" w:line="368" w:lineRule="atLeas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>投标人业绩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pStyle w:val="ab"/>
              <w:widowControl/>
              <w:wordWrap w:val="0"/>
              <w:spacing w:before="0" w:beforeAutospacing="0" w:after="0" w:afterAutospacing="0" w:line="368" w:lineRule="atLeas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hd w:val="clear" w:color="auto" w:fill="FFFFFF"/>
              </w:rPr>
              <w:t>2</w:t>
            </w:r>
            <w:r>
              <w:rPr>
                <w:rFonts w:ascii="仿宋" w:eastAsia="仿宋" w:hAnsi="仿宋"/>
                <w:color w:val="000000"/>
                <w:shd w:val="clear" w:color="auto" w:fill="FFFFFF"/>
              </w:rPr>
              <w:t>021</w:t>
            </w:r>
            <w:r>
              <w:rPr>
                <w:rFonts w:ascii="仿宋" w:eastAsia="仿宋" w:hAnsi="仿宋" w:hint="eastAsia"/>
                <w:color w:val="000000"/>
                <w:shd w:val="clear" w:color="auto" w:fill="FFFFFF"/>
              </w:rPr>
              <w:t>年1月1日至今完成交通运输行业应急预案编制项目数量：完成省部级项目每个得</w:t>
            </w:r>
            <w:r>
              <w:rPr>
                <w:rFonts w:ascii="仿宋" w:eastAsia="仿宋" w:hAnsi="仿宋"/>
                <w:color w:val="000000"/>
                <w:shd w:val="clear" w:color="auto" w:fill="FFFFFF"/>
              </w:rPr>
              <w:t>5</w:t>
            </w:r>
            <w:r>
              <w:rPr>
                <w:rFonts w:ascii="仿宋" w:eastAsia="仿宋" w:hAnsi="仿宋" w:hint="eastAsia"/>
                <w:color w:val="000000"/>
                <w:shd w:val="clear" w:color="auto" w:fill="FFFFFF"/>
              </w:rPr>
              <w:t>分，完成市厅级项目每个得</w:t>
            </w:r>
            <w:r>
              <w:rPr>
                <w:rFonts w:ascii="仿宋" w:eastAsia="仿宋" w:hAnsi="仿宋"/>
                <w:color w:val="000000"/>
                <w:shd w:val="clear" w:color="auto" w:fill="FFFFFF"/>
              </w:rPr>
              <w:t>3</w:t>
            </w:r>
            <w:r>
              <w:rPr>
                <w:rFonts w:ascii="仿宋" w:eastAsia="仿宋" w:hAnsi="仿宋" w:hint="eastAsia"/>
                <w:color w:val="000000"/>
                <w:shd w:val="clear" w:color="auto" w:fill="FFFFFF"/>
              </w:rPr>
              <w:t>分，完成县处级项目每个得2分（最高不超过2</w:t>
            </w:r>
            <w:r>
              <w:rPr>
                <w:rFonts w:ascii="仿宋" w:eastAsia="仿宋" w:hAnsi="仿宋"/>
                <w:color w:val="000000"/>
                <w:shd w:val="clear" w:color="auto" w:fill="FFFFFF"/>
              </w:rPr>
              <w:t>0</w:t>
            </w:r>
            <w:r>
              <w:rPr>
                <w:rFonts w:ascii="仿宋" w:eastAsia="仿宋" w:hAnsi="仿宋" w:hint="eastAsia"/>
                <w:color w:val="000000"/>
                <w:shd w:val="clear" w:color="auto" w:fill="FFFFFF"/>
              </w:rPr>
              <w:t>分）</w:t>
            </w:r>
            <w:r>
              <w:rPr>
                <w:rFonts w:ascii="仿宋" w:eastAsia="仿宋" w:hAnsi="仿宋"/>
                <w:color w:val="000000"/>
                <w:shd w:val="clear" w:color="auto" w:fill="FFFFFF"/>
              </w:rPr>
              <w:t>。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D00F1" w:rsidRDefault="006F1950">
            <w:pPr>
              <w:pStyle w:val="ab"/>
              <w:widowControl/>
              <w:wordWrap w:val="0"/>
              <w:spacing w:before="0" w:beforeAutospacing="0" w:after="0" w:afterAutospacing="0" w:line="368" w:lineRule="atLeas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kern w:val="2"/>
                <w:sz w:val="32"/>
                <w:szCs w:val="32"/>
              </w:rPr>
              <w:t>0分</w:t>
            </w:r>
          </w:p>
        </w:tc>
      </w:tr>
    </w:tbl>
    <w:p w:rsidR="004D00F1" w:rsidRDefault="004D00F1">
      <w:pPr>
        <w:pStyle w:val="ab"/>
        <w:widowControl/>
        <w:shd w:val="clear" w:color="auto" w:fill="FFFFFF"/>
        <w:spacing w:before="0" w:beforeAutospacing="0" w:after="0" w:afterAutospacing="0" w:line="368" w:lineRule="atLeast"/>
        <w:rPr>
          <w:rFonts w:ascii="仿宋_GB2312" w:eastAsia="仿宋_GB2312"/>
          <w:kern w:val="2"/>
          <w:sz w:val="32"/>
          <w:szCs w:val="32"/>
        </w:rPr>
      </w:pPr>
    </w:p>
    <w:p w:rsidR="004D00F1" w:rsidRDefault="006F1950">
      <w:pPr>
        <w:pStyle w:val="ab"/>
        <w:widowControl/>
        <w:shd w:val="clear" w:color="auto" w:fill="FFFFFF"/>
        <w:spacing w:before="0" w:beforeAutospacing="0" w:after="0" w:afterAutospacing="0" w:line="560" w:lineRule="exact"/>
        <w:rPr>
          <w:rFonts w:ascii="仿宋_GB2312" w:eastAsia="仿宋_GB2312"/>
          <w:b/>
          <w:kern w:val="2"/>
          <w:sz w:val="32"/>
          <w:szCs w:val="32"/>
        </w:rPr>
      </w:pPr>
      <w:r>
        <w:rPr>
          <w:rFonts w:ascii="仿宋_GB2312" w:eastAsia="仿宋_GB2312"/>
          <w:b/>
          <w:kern w:val="2"/>
          <w:sz w:val="32"/>
          <w:szCs w:val="32"/>
        </w:rPr>
        <w:t xml:space="preserve">　　四、</w:t>
      </w:r>
      <w:r>
        <w:rPr>
          <w:rFonts w:ascii="仿宋_GB2312" w:eastAsia="仿宋_GB2312" w:hint="eastAsia"/>
          <w:b/>
          <w:kern w:val="2"/>
          <w:sz w:val="32"/>
          <w:szCs w:val="32"/>
        </w:rPr>
        <w:t>价格</w:t>
      </w:r>
      <w:r>
        <w:rPr>
          <w:rFonts w:ascii="仿宋_GB2312" w:eastAsia="仿宋_GB2312"/>
          <w:b/>
          <w:kern w:val="2"/>
          <w:sz w:val="32"/>
          <w:szCs w:val="32"/>
        </w:rPr>
        <w:t>评分标准（总分：10分）</w:t>
      </w:r>
    </w:p>
    <w:p w:rsidR="004D00F1" w:rsidRDefault="006F1950">
      <w:pPr>
        <w:snapToGrid w:val="0"/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>以进入综合评分环节的最低的评标报价为基准价，基准价报价得分为满分。价格分计算公式：某供应商价格分=基准价/某供应商最后报价×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0分。</w:t>
      </w:r>
    </w:p>
    <w:p w:rsidR="004D00F1" w:rsidRDefault="004D00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D00F1" w:rsidRDefault="006F1950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五、综合评分的计算</w:t>
      </w:r>
    </w:p>
    <w:p w:rsidR="004D00F1" w:rsidRDefault="00EC454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6F1950">
        <w:rPr>
          <w:rFonts w:ascii="仿宋_GB2312" w:eastAsia="仿宋_GB2312" w:hint="eastAsia"/>
          <w:sz w:val="32"/>
          <w:szCs w:val="32"/>
        </w:rPr>
        <w:t>综合评分=技术评分+商务评分+价格评分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D00F1" w:rsidRDefault="00EC454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6F1950">
        <w:rPr>
          <w:rFonts w:ascii="仿宋_GB2312" w:eastAsia="仿宋_GB2312" w:hint="eastAsia"/>
          <w:sz w:val="32"/>
          <w:szCs w:val="32"/>
        </w:rPr>
        <w:t>各项得分按四舍五入原则精确到小数点后两位。将综合评分由高到低顺序排列。综合评分相同的，按评标价由低到高顺序排列；综合评分相同，且评标价相同的，按技术评分由高到低顺序排列。综合评分相同，且评标价和技术评分均相同的，按商务评名由高到低排列。全部得分均一致的，由评审组抽签决定。</w:t>
      </w:r>
    </w:p>
    <w:p w:rsidR="004D00F1" w:rsidRDefault="004D00F1">
      <w:pPr>
        <w:pStyle w:val="ab"/>
        <w:widowControl/>
        <w:shd w:val="clear" w:color="auto" w:fill="FFFFFF"/>
        <w:spacing w:before="0" w:beforeAutospacing="0" w:after="0" w:afterAutospacing="0" w:line="26" w:lineRule="atLeast"/>
        <w:jc w:val="center"/>
        <w:rPr>
          <w:rFonts w:ascii="微软雅黑" w:eastAsia="微软雅黑" w:hAnsi="微软雅黑" w:cs="微软雅黑"/>
          <w:b/>
          <w:bCs/>
          <w:sz w:val="42"/>
          <w:szCs w:val="42"/>
          <w:shd w:val="clear" w:color="auto" w:fill="FFFFFF"/>
        </w:rPr>
      </w:pPr>
    </w:p>
    <w:p w:rsidR="004D00F1" w:rsidRDefault="004D00F1"/>
    <w:p w:rsidR="004D00F1" w:rsidRDefault="004D00F1"/>
    <w:sectPr w:rsidR="004D00F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CF7" w:rsidRDefault="00A73CF7" w:rsidP="006F1950">
      <w:r>
        <w:separator/>
      </w:r>
    </w:p>
  </w:endnote>
  <w:endnote w:type="continuationSeparator" w:id="0">
    <w:p w:rsidR="00A73CF7" w:rsidRDefault="00A73CF7" w:rsidP="006F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CF7" w:rsidRDefault="00A73CF7" w:rsidP="006F1950">
      <w:r>
        <w:separator/>
      </w:r>
    </w:p>
  </w:footnote>
  <w:footnote w:type="continuationSeparator" w:id="0">
    <w:p w:rsidR="00A73CF7" w:rsidRDefault="00A73CF7" w:rsidP="006F1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F1"/>
    <w:rsid w:val="AFB508AA"/>
    <w:rsid w:val="BBF92BDE"/>
    <w:rsid w:val="BFF37940"/>
    <w:rsid w:val="D5B6C94F"/>
    <w:rsid w:val="000C52C9"/>
    <w:rsid w:val="002F036C"/>
    <w:rsid w:val="00311FA3"/>
    <w:rsid w:val="00321921"/>
    <w:rsid w:val="004D00F1"/>
    <w:rsid w:val="0054725A"/>
    <w:rsid w:val="00562FEA"/>
    <w:rsid w:val="00630212"/>
    <w:rsid w:val="00657834"/>
    <w:rsid w:val="00682BDC"/>
    <w:rsid w:val="006C33AD"/>
    <w:rsid w:val="006D6E47"/>
    <w:rsid w:val="006E60F1"/>
    <w:rsid w:val="006F1950"/>
    <w:rsid w:val="00767B2C"/>
    <w:rsid w:val="009D3906"/>
    <w:rsid w:val="009F2171"/>
    <w:rsid w:val="00A153DD"/>
    <w:rsid w:val="00A73CF7"/>
    <w:rsid w:val="00BB3D96"/>
    <w:rsid w:val="00C724B5"/>
    <w:rsid w:val="00D3490B"/>
    <w:rsid w:val="00DD6BB0"/>
    <w:rsid w:val="00EC454F"/>
    <w:rsid w:val="00ED0EAA"/>
    <w:rsid w:val="00F72694"/>
    <w:rsid w:val="5FDD595B"/>
    <w:rsid w:val="79B7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4E824"/>
  <w15:docId w15:val="{6B98FE47-2407-496F-974B-827B7F62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Body Text First Indent"/>
    <w:basedOn w:val="a"/>
    <w:link w:val="ad"/>
    <w:uiPriority w:val="99"/>
    <w:semiHidden/>
    <w:unhideWhenUsed/>
    <w:qFormat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ad">
    <w:name w:val="正文首行缩进 字符"/>
    <w:basedOn w:val="a4"/>
    <w:link w:val="ac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13</cp:revision>
  <cp:lastPrinted>2026-04-14T02:14:00Z</cp:lastPrinted>
  <dcterms:created xsi:type="dcterms:W3CDTF">2026-01-23T16:10:00Z</dcterms:created>
  <dcterms:modified xsi:type="dcterms:W3CDTF">2026-04-14T02:31:00Z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EE80CBB3E4BAA273A54BD869B6ACE8A6</vt:lpwstr>
  </property>
</Properties>
</file>