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Cs w:val="21"/>
        </w:rPr>
      </w:pPr>
      <w:r>
        <w:rPr>
          <w:rFonts w:hint="eastAsia" w:ascii="楷体" w:hAnsi="楷体" w:eastAsia="楷体"/>
          <w:szCs w:val="21"/>
        </w:rPr>
        <w:t>附件2</w:t>
      </w:r>
    </w:p>
    <w:p>
      <w:pPr>
        <w:jc w:val="center"/>
        <w:rPr>
          <w:rFonts w:ascii="方正小标宋_GBK" w:eastAsia="方正小标宋_GBK" w:hAnsiTheme="majorEastAsia"/>
          <w:b/>
          <w:sz w:val="44"/>
          <w:szCs w:val="44"/>
        </w:rPr>
      </w:pPr>
      <w:r>
        <w:rPr>
          <w:rFonts w:hint="eastAsia" w:ascii="方正小标宋_GBK" w:eastAsia="方正小标宋_GBK" w:hAnsiTheme="majorEastAsia"/>
          <w:b/>
          <w:sz w:val="44"/>
          <w:szCs w:val="44"/>
        </w:rPr>
        <w:t>自治区交通运输厅202</w:t>
      </w:r>
      <w:r>
        <w:rPr>
          <w:rFonts w:hint="eastAsia" w:ascii="方正小标宋_GBK" w:eastAsia="方正小标宋_GBK" w:hAnsiTheme="majorEastAsia"/>
          <w:b/>
          <w:sz w:val="44"/>
          <w:szCs w:val="44"/>
          <w:lang w:val="en-US" w:eastAsia="zh-CN"/>
        </w:rPr>
        <w:t>4</w:t>
      </w:r>
      <w:r>
        <w:rPr>
          <w:rFonts w:hint="eastAsia" w:ascii="方正小标宋_GBK" w:eastAsia="方正小标宋_GBK" w:hAnsiTheme="majorEastAsia"/>
          <w:b/>
          <w:sz w:val="44"/>
          <w:szCs w:val="44"/>
        </w:rPr>
        <w:t>年度随机抽</w:t>
      </w:r>
      <w:bookmarkStart w:id="2" w:name="_GoBack"/>
      <w:bookmarkEnd w:id="2"/>
      <w:r>
        <w:rPr>
          <w:rFonts w:hint="eastAsia" w:ascii="方正小标宋_GBK" w:eastAsia="方正小标宋_GBK" w:hAnsiTheme="majorEastAsia"/>
          <w:b/>
          <w:sz w:val="44"/>
          <w:szCs w:val="44"/>
        </w:rPr>
        <w:t>查计划</w:t>
      </w:r>
    </w:p>
    <w:p>
      <w:pPr>
        <w:rPr>
          <w:b/>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4"/>
        <w:gridCol w:w="1055"/>
        <w:gridCol w:w="1134"/>
        <w:gridCol w:w="5670"/>
        <w:gridCol w:w="1134"/>
        <w:gridCol w:w="709"/>
        <w:gridCol w:w="709"/>
        <w:gridCol w:w="1615"/>
        <w:gridCol w:w="686"/>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754"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序号</w:t>
            </w:r>
          </w:p>
        </w:tc>
        <w:tc>
          <w:tcPr>
            <w:tcW w:w="1055"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抽查计划名称</w:t>
            </w:r>
          </w:p>
        </w:tc>
        <w:tc>
          <w:tcPr>
            <w:tcW w:w="6804" w:type="dxa"/>
            <w:gridSpan w:val="2"/>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抽查项目</w:t>
            </w:r>
          </w:p>
        </w:tc>
        <w:tc>
          <w:tcPr>
            <w:tcW w:w="1134"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检查对象</w:t>
            </w:r>
          </w:p>
        </w:tc>
        <w:tc>
          <w:tcPr>
            <w:tcW w:w="709"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事项类型</w:t>
            </w:r>
          </w:p>
        </w:tc>
        <w:tc>
          <w:tcPr>
            <w:tcW w:w="709"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检查方式</w:t>
            </w:r>
          </w:p>
        </w:tc>
        <w:tc>
          <w:tcPr>
            <w:tcW w:w="1615"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检查主体</w:t>
            </w:r>
          </w:p>
        </w:tc>
        <w:tc>
          <w:tcPr>
            <w:tcW w:w="686"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检查比例</w:t>
            </w:r>
          </w:p>
        </w:tc>
        <w:tc>
          <w:tcPr>
            <w:tcW w:w="708"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754" w:type="dxa"/>
            <w:vMerge w:val="continue"/>
            <w:vAlign w:val="center"/>
          </w:tcPr>
          <w:p>
            <w:pPr>
              <w:jc w:val="center"/>
              <w:rPr>
                <w:rFonts w:asciiTheme="minorEastAsia" w:hAnsiTheme="minorEastAsia" w:eastAsiaTheme="minorEastAsia"/>
                <w:b/>
                <w:bCs/>
                <w:szCs w:val="21"/>
              </w:rPr>
            </w:pPr>
          </w:p>
        </w:tc>
        <w:tc>
          <w:tcPr>
            <w:tcW w:w="1055" w:type="dxa"/>
            <w:vMerge w:val="continue"/>
            <w:vAlign w:val="center"/>
          </w:tcPr>
          <w:p>
            <w:pPr>
              <w:jc w:val="center"/>
              <w:rPr>
                <w:rFonts w:asciiTheme="minorEastAsia" w:hAnsiTheme="minorEastAsia" w:eastAsiaTheme="minorEastAsia"/>
                <w:b/>
                <w:bCs/>
                <w:szCs w:val="21"/>
              </w:rPr>
            </w:pPr>
          </w:p>
        </w:tc>
        <w:tc>
          <w:tcPr>
            <w:tcW w:w="1134" w:type="dxa"/>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抽查类型</w:t>
            </w:r>
          </w:p>
        </w:tc>
        <w:tc>
          <w:tcPr>
            <w:tcW w:w="5670" w:type="dxa"/>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抽查事项</w:t>
            </w:r>
          </w:p>
        </w:tc>
        <w:tc>
          <w:tcPr>
            <w:tcW w:w="1134" w:type="dxa"/>
            <w:vMerge w:val="continue"/>
            <w:vAlign w:val="center"/>
          </w:tcPr>
          <w:p>
            <w:pPr>
              <w:jc w:val="center"/>
              <w:rPr>
                <w:rFonts w:asciiTheme="minorEastAsia" w:hAnsiTheme="minorEastAsia" w:eastAsiaTheme="minorEastAsia"/>
                <w:b/>
                <w:bCs/>
                <w:szCs w:val="21"/>
              </w:rPr>
            </w:pPr>
          </w:p>
        </w:tc>
        <w:tc>
          <w:tcPr>
            <w:tcW w:w="709" w:type="dxa"/>
            <w:vMerge w:val="continue"/>
          </w:tcPr>
          <w:p>
            <w:pPr>
              <w:jc w:val="center"/>
              <w:rPr>
                <w:rFonts w:asciiTheme="minorEastAsia" w:hAnsiTheme="minorEastAsia" w:eastAsiaTheme="minorEastAsia"/>
                <w:b/>
                <w:bCs/>
                <w:szCs w:val="21"/>
              </w:rPr>
            </w:pPr>
          </w:p>
        </w:tc>
        <w:tc>
          <w:tcPr>
            <w:tcW w:w="709" w:type="dxa"/>
            <w:vMerge w:val="continue"/>
          </w:tcPr>
          <w:p>
            <w:pPr>
              <w:jc w:val="center"/>
              <w:rPr>
                <w:rFonts w:asciiTheme="minorEastAsia" w:hAnsiTheme="minorEastAsia" w:eastAsiaTheme="minorEastAsia"/>
                <w:b/>
                <w:bCs/>
                <w:szCs w:val="21"/>
              </w:rPr>
            </w:pPr>
          </w:p>
        </w:tc>
        <w:tc>
          <w:tcPr>
            <w:tcW w:w="1615" w:type="dxa"/>
            <w:vMerge w:val="continue"/>
            <w:vAlign w:val="center"/>
          </w:tcPr>
          <w:p>
            <w:pPr>
              <w:jc w:val="center"/>
              <w:rPr>
                <w:rFonts w:asciiTheme="minorEastAsia" w:hAnsiTheme="minorEastAsia" w:eastAsiaTheme="minorEastAsia"/>
                <w:b/>
                <w:bCs/>
                <w:szCs w:val="21"/>
              </w:rPr>
            </w:pPr>
          </w:p>
        </w:tc>
        <w:tc>
          <w:tcPr>
            <w:tcW w:w="686" w:type="dxa"/>
            <w:vMerge w:val="continue"/>
            <w:vAlign w:val="center"/>
          </w:tcPr>
          <w:p>
            <w:pPr>
              <w:jc w:val="center"/>
              <w:rPr>
                <w:rFonts w:asciiTheme="minorEastAsia" w:hAnsiTheme="minorEastAsia" w:eastAsiaTheme="minorEastAsia"/>
                <w:b/>
                <w:bCs/>
                <w:szCs w:val="21"/>
              </w:rPr>
            </w:pPr>
          </w:p>
        </w:tc>
        <w:tc>
          <w:tcPr>
            <w:tcW w:w="708" w:type="dxa"/>
            <w:vMerge w:val="continue"/>
            <w:vAlign w:val="center"/>
          </w:tcPr>
          <w:p>
            <w:pPr>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8" w:hRule="atLeast"/>
        </w:trPr>
        <w:tc>
          <w:tcPr>
            <w:tcW w:w="754" w:type="dxa"/>
            <w:vAlign w:val="center"/>
          </w:tcPr>
          <w:p>
            <w:pPr>
              <w:jc w:val="center"/>
              <w:rPr>
                <w:rFonts w:ascii="楷体" w:hAnsi="楷体" w:eastAsia="楷体"/>
                <w:szCs w:val="21"/>
              </w:rPr>
            </w:pPr>
            <w:r>
              <w:rPr>
                <w:rFonts w:hint="eastAsia" w:ascii="楷体" w:hAnsi="楷体" w:eastAsia="楷体"/>
                <w:szCs w:val="21"/>
              </w:rPr>
              <w:t>1</w:t>
            </w:r>
          </w:p>
        </w:tc>
        <w:tc>
          <w:tcPr>
            <w:tcW w:w="1055" w:type="dxa"/>
            <w:vAlign w:val="center"/>
          </w:tcPr>
          <w:p>
            <w:pPr>
              <w:rPr>
                <w:rFonts w:ascii="楷体" w:hAnsi="楷体" w:eastAsia="楷体"/>
                <w:szCs w:val="21"/>
              </w:rPr>
            </w:pPr>
            <w:r>
              <w:rPr>
                <w:rFonts w:hint="eastAsia" w:ascii="楷体" w:hAnsi="楷体" w:eastAsia="楷体"/>
                <w:szCs w:val="21"/>
                <w:lang w:eastAsia="zh-CN"/>
              </w:rPr>
              <w:t>2024</w:t>
            </w:r>
            <w:r>
              <w:rPr>
                <w:rFonts w:hint="eastAsia" w:ascii="楷体" w:hAnsi="楷体" w:eastAsia="楷体"/>
                <w:szCs w:val="21"/>
              </w:rPr>
              <w:t>年度对危险货物港口经营人的抽查计划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 对未经批准从事危险货物港口作业行为的行政检查</w:t>
            </w:r>
          </w:p>
          <w:p>
            <w:pPr>
              <w:rPr>
                <w:rFonts w:ascii="楷体" w:hAnsi="楷体" w:eastAsia="楷体"/>
                <w:szCs w:val="21"/>
              </w:rPr>
            </w:pPr>
            <w:r>
              <w:rPr>
                <w:rFonts w:hint="eastAsia" w:ascii="楷体" w:hAnsi="楷体" w:eastAsia="楷体"/>
                <w:szCs w:val="21"/>
              </w:rPr>
              <w:t>2. 对危险货物的储存方式、方法或者储存数量不符合国家标准或者国家有关规定行为的行政检查</w:t>
            </w:r>
          </w:p>
          <w:p>
            <w:pPr>
              <w:rPr>
                <w:rFonts w:ascii="楷体" w:hAnsi="楷体" w:eastAsia="楷体"/>
                <w:szCs w:val="21"/>
              </w:rPr>
            </w:pPr>
            <w:r>
              <w:rPr>
                <w:rFonts w:hint="eastAsia" w:ascii="楷体" w:hAnsi="楷体" w:eastAsia="楷体"/>
                <w:szCs w:val="21"/>
              </w:rPr>
              <w:t>3. 对未将安全评价报告以及落实情况报港口管理部门备案等行为的行政检查</w:t>
            </w:r>
          </w:p>
          <w:p>
            <w:pPr>
              <w:rPr>
                <w:rFonts w:ascii="楷体" w:hAnsi="楷体" w:eastAsia="楷体"/>
                <w:szCs w:val="21"/>
              </w:rPr>
            </w:pPr>
            <w:r>
              <w:rPr>
                <w:rFonts w:hint="eastAsia" w:ascii="楷体" w:hAnsi="楷体" w:eastAsia="楷体"/>
                <w:szCs w:val="21"/>
              </w:rPr>
              <w:t>4.对港口内进行危险货物的装卸、过驳作业的行政检查</w:t>
            </w:r>
          </w:p>
          <w:p>
            <w:pPr>
              <w:rPr>
                <w:rFonts w:ascii="楷体" w:hAnsi="楷体" w:eastAsia="楷体"/>
                <w:szCs w:val="21"/>
              </w:rPr>
            </w:pPr>
            <w:r>
              <w:rPr>
                <w:rFonts w:hint="eastAsia" w:ascii="楷体" w:hAnsi="楷体" w:eastAsia="楷体"/>
                <w:szCs w:val="21"/>
              </w:rPr>
              <w:t>5. 对未如实记录危险货物作业基础数据等行为的行政检查</w:t>
            </w:r>
          </w:p>
          <w:p>
            <w:pPr>
              <w:rPr>
                <w:rFonts w:ascii="楷体" w:hAnsi="楷体" w:eastAsia="楷体"/>
                <w:szCs w:val="21"/>
              </w:rPr>
            </w:pPr>
            <w:r>
              <w:rPr>
                <w:rFonts w:hint="eastAsia" w:ascii="楷体" w:hAnsi="楷体" w:eastAsia="楷体"/>
                <w:szCs w:val="21"/>
              </w:rPr>
              <w:t>6. 对危险货物港口经营人未按规定设置安全生产管理机构或者配备安全生产管理人员等行为的行政检查</w:t>
            </w:r>
          </w:p>
          <w:p>
            <w:pPr>
              <w:rPr>
                <w:rFonts w:ascii="楷体" w:hAnsi="楷体" w:eastAsia="楷体"/>
                <w:szCs w:val="21"/>
              </w:rPr>
            </w:pPr>
            <w:r>
              <w:rPr>
                <w:rFonts w:hint="eastAsia" w:ascii="楷体" w:hAnsi="楷体" w:eastAsia="楷体"/>
                <w:szCs w:val="21"/>
              </w:rPr>
              <w:t>7. 对未建立危险货物出入库核查、登记制度行为的行政检查</w:t>
            </w:r>
          </w:p>
          <w:p>
            <w:pPr>
              <w:rPr>
                <w:rFonts w:ascii="楷体" w:hAnsi="楷体" w:eastAsia="楷体"/>
                <w:szCs w:val="21"/>
              </w:rPr>
            </w:pPr>
            <w:r>
              <w:rPr>
                <w:rFonts w:hint="eastAsia" w:ascii="楷体" w:hAnsi="楷体" w:eastAsia="楷体"/>
                <w:szCs w:val="21"/>
              </w:rPr>
              <w:t>8. 对危险货物港口经营人未依法提取和使用安全生产经费导致不具备安全生产条件行为的行政检查</w:t>
            </w:r>
          </w:p>
          <w:p>
            <w:pPr>
              <w:rPr>
                <w:rFonts w:ascii="楷体" w:hAnsi="楷体" w:eastAsia="楷体"/>
                <w:szCs w:val="21"/>
              </w:rPr>
            </w:pPr>
            <w:r>
              <w:rPr>
                <w:rFonts w:hint="eastAsia" w:ascii="楷体" w:hAnsi="楷体" w:eastAsia="楷体"/>
                <w:szCs w:val="21"/>
              </w:rPr>
              <w:t>9. 对危险货物港口经营人未采取措施消除事故隐患的行为的行政检查</w:t>
            </w:r>
          </w:p>
          <w:p>
            <w:pPr>
              <w:rPr>
                <w:rFonts w:ascii="楷体" w:hAnsi="楷体" w:eastAsia="楷体"/>
                <w:szCs w:val="21"/>
              </w:rPr>
            </w:pPr>
            <w:r>
              <w:rPr>
                <w:rFonts w:hint="eastAsia" w:ascii="楷体" w:hAnsi="楷体" w:eastAsia="楷体"/>
                <w:szCs w:val="21"/>
              </w:rPr>
              <w:t>10. 对危险化学品专用仓库未设置明显标志行为的行政检查</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lang w:val="en-US" w:eastAsia="zh-CN"/>
              </w:rPr>
              <w:t>1</w:t>
            </w:r>
            <w:r>
              <w:rPr>
                <w:rFonts w:hint="eastAsia" w:ascii="楷体" w:hAnsi="楷体" w:eastAsia="楷体"/>
                <w:szCs w:val="21"/>
              </w:rPr>
              <w:t>. 对危险货物港口经营人对重大危险源未登记建档、或者未进行评估、监控，或者未制定应急预案的行为的行政检查</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lang w:val="en-US" w:eastAsia="zh-CN"/>
              </w:rPr>
              <w:t>2</w:t>
            </w:r>
            <w:r>
              <w:rPr>
                <w:rFonts w:hint="eastAsia" w:ascii="楷体" w:hAnsi="楷体" w:eastAsia="楷体"/>
                <w:szCs w:val="21"/>
              </w:rPr>
              <w:t>. 对危险货物港口经营人作业未建立事故隐患排查治理制度的行为的行政检查</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lang w:val="en-US" w:eastAsia="zh-CN"/>
              </w:rPr>
              <w:t>3</w:t>
            </w:r>
            <w:r>
              <w:rPr>
                <w:rFonts w:hint="eastAsia" w:ascii="楷体" w:hAnsi="楷体" w:eastAsia="楷体"/>
                <w:szCs w:val="21"/>
              </w:rPr>
              <w:t>. 对装卸国家禁止通过该港口水域水路运输的危险货物等行为的行政检查</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lang w:val="en-US" w:eastAsia="zh-CN"/>
              </w:rPr>
              <w:t>4</w:t>
            </w:r>
            <w:r>
              <w:rPr>
                <w:rFonts w:hint="eastAsia" w:ascii="楷体" w:hAnsi="楷体" w:eastAsia="楷体"/>
                <w:szCs w:val="21"/>
              </w:rPr>
              <w:t>. 对未在取得从业资格的装卸管理人员现场指挥或者监控下进行作业行为的行政检查</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lang w:val="en-US" w:eastAsia="zh-CN"/>
              </w:rPr>
              <w:t>5</w:t>
            </w:r>
            <w:r>
              <w:rPr>
                <w:rFonts w:hint="eastAsia" w:ascii="楷体" w:hAnsi="楷体" w:eastAsia="楷体"/>
                <w:szCs w:val="21"/>
              </w:rPr>
              <w:t>. 对两个以上危险货物港口经营人在同一作业区域内进行可能危及对方安全生产的生产经营活动，未签订安全生产管理协议或者未指定专职安全管理人员进行安全检查和协调行为的行政检查</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lang w:val="en-US" w:eastAsia="zh-CN"/>
              </w:rPr>
              <w:t>6</w:t>
            </w:r>
            <w:r>
              <w:rPr>
                <w:rFonts w:hint="eastAsia" w:ascii="楷体" w:hAnsi="楷体" w:eastAsia="楷体"/>
                <w:szCs w:val="21"/>
              </w:rPr>
              <w:t>. 对装卸、储存没有安全技术说明书的危险货物或者外包装没有相应标志的包装危险货物行为的行政检查</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lang w:val="en-US" w:eastAsia="zh-CN"/>
              </w:rPr>
              <w:t>7</w:t>
            </w:r>
            <w:r>
              <w:rPr>
                <w:rFonts w:hint="eastAsia" w:ascii="楷体" w:hAnsi="楷体" w:eastAsia="楷体"/>
                <w:szCs w:val="21"/>
              </w:rPr>
              <w:t>. 对港口经营情况的行政检查</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lang w:val="en-US" w:eastAsia="zh-CN"/>
              </w:rPr>
              <w:t>8</w:t>
            </w:r>
            <w:r>
              <w:rPr>
                <w:rFonts w:hint="eastAsia" w:ascii="楷体" w:hAnsi="楷体" w:eastAsia="楷体"/>
                <w:szCs w:val="21"/>
              </w:rPr>
              <w:t>. 对未在作业场所和安全设施、设备上设置明显的安全警示标志，或者未在作业场所设置通信、报警装置行为的行政检查</w:t>
            </w:r>
          </w:p>
          <w:p>
            <w:pPr>
              <w:rPr>
                <w:rFonts w:ascii="楷体" w:hAnsi="楷体" w:eastAsia="楷体"/>
                <w:szCs w:val="21"/>
              </w:rPr>
            </w:pPr>
            <w:r>
              <w:rPr>
                <w:rFonts w:hint="eastAsia" w:ascii="楷体" w:hAnsi="楷体" w:eastAsia="楷体"/>
                <w:szCs w:val="21"/>
                <w:lang w:val="en-US" w:eastAsia="zh-CN"/>
              </w:rPr>
              <w:t>19</w:t>
            </w:r>
            <w:r>
              <w:rPr>
                <w:rFonts w:hint="eastAsia" w:ascii="楷体" w:hAnsi="楷体" w:eastAsia="楷体"/>
                <w:szCs w:val="21"/>
              </w:rPr>
              <w:t>. 对危险货物专用库场、储罐不符合国家标准、行业标准的要求行为的行政检查</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lang w:val="en-US" w:eastAsia="zh-CN"/>
              </w:rPr>
              <w:t>0</w:t>
            </w:r>
            <w:r>
              <w:rPr>
                <w:rFonts w:hint="eastAsia" w:ascii="楷体" w:hAnsi="楷体" w:eastAsia="楷体"/>
                <w:szCs w:val="21"/>
              </w:rPr>
              <w:t>．对未及时、如实提供港口统计资料行为的行政检查</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lang w:val="en-US" w:eastAsia="zh-CN"/>
              </w:rPr>
              <w:t>1</w:t>
            </w:r>
            <w:r>
              <w:rPr>
                <w:rFonts w:hint="eastAsia" w:ascii="楷体" w:hAnsi="楷体" w:eastAsia="楷体"/>
                <w:szCs w:val="21"/>
              </w:rPr>
              <w:t>. 对未对其铺设的危险货物管道设置明显的标志，或者未对危险货物管道定期检查、检测行为的行政检查</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lang w:val="en-US" w:eastAsia="zh-CN"/>
              </w:rPr>
              <w:t>2</w:t>
            </w:r>
            <w:r>
              <w:rPr>
                <w:rFonts w:hint="eastAsia" w:ascii="楷体" w:hAnsi="楷体" w:eastAsia="楷体"/>
                <w:szCs w:val="21"/>
              </w:rPr>
              <w:t>. 对储存危险物品未建立专门安全管理制度、未采取可靠的安全措施行为的行政检查</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lang w:val="en-US" w:eastAsia="zh-CN"/>
              </w:rPr>
              <w:t>3</w:t>
            </w:r>
            <w:r>
              <w:rPr>
                <w:rFonts w:hint="eastAsia" w:ascii="楷体" w:hAnsi="楷体" w:eastAsia="楷体"/>
                <w:szCs w:val="21"/>
              </w:rPr>
              <w:t>. 对拒绝、阻碍港口行政管理部门依法实施安全监督检查行为的行政检查</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lang w:val="en-US" w:eastAsia="zh-CN"/>
              </w:rPr>
              <w:t>4</w:t>
            </w:r>
            <w:r>
              <w:rPr>
                <w:rFonts w:hint="eastAsia" w:ascii="楷体" w:hAnsi="楷体" w:eastAsia="楷体"/>
                <w:szCs w:val="21"/>
              </w:rPr>
              <w:t>. 对未对安全生产条件定期进行安全评价行为的行政检查</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lang w:val="en-US" w:eastAsia="zh-CN"/>
              </w:rPr>
              <w:t>5</w:t>
            </w:r>
            <w:r>
              <w:rPr>
                <w:rFonts w:hint="eastAsia" w:ascii="楷体" w:hAnsi="楷体" w:eastAsia="楷体"/>
                <w:szCs w:val="21"/>
              </w:rPr>
              <w:t>. 对危险货物专用库场、储罐未设专人负责管理等行为的行政检查</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lang w:val="en-US" w:eastAsia="zh-CN"/>
              </w:rPr>
              <w:t>6</w:t>
            </w:r>
            <w:r>
              <w:rPr>
                <w:rFonts w:hint="eastAsia" w:ascii="楷体" w:hAnsi="楷体" w:eastAsia="楷体"/>
                <w:szCs w:val="21"/>
              </w:rPr>
              <w:t>. 对未按规定报送从业人员信息行为的行政检查</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lang w:val="en-US" w:eastAsia="zh-CN"/>
              </w:rPr>
              <w:t>7</w:t>
            </w:r>
            <w:r>
              <w:rPr>
                <w:rFonts w:hint="eastAsia" w:ascii="楷体" w:hAnsi="楷体" w:eastAsia="楷体"/>
                <w:szCs w:val="21"/>
              </w:rPr>
              <w:t>. 对未按规定组织、实施防阵风防台风工作行为的行政检查</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lang w:val="en-US" w:eastAsia="zh-CN"/>
              </w:rPr>
              <w:t>8</w:t>
            </w:r>
            <w:r>
              <w:rPr>
                <w:rFonts w:hint="eastAsia" w:ascii="楷体" w:hAnsi="楷体" w:eastAsia="楷体"/>
                <w:szCs w:val="21"/>
              </w:rPr>
              <w:t>.对危险化学品水路运输装卸管理人员资格的行政检查</w:t>
            </w:r>
          </w:p>
          <w:p>
            <w:pPr>
              <w:rPr>
                <w:rFonts w:ascii="楷体" w:hAnsi="楷体" w:eastAsia="楷体"/>
                <w:szCs w:val="21"/>
              </w:rPr>
            </w:pPr>
            <w:r>
              <w:rPr>
                <w:rFonts w:hint="eastAsia" w:ascii="楷体" w:hAnsi="楷体" w:eastAsia="楷体"/>
                <w:szCs w:val="21"/>
                <w:lang w:val="en-US" w:eastAsia="zh-CN"/>
              </w:rPr>
              <w:t>29</w:t>
            </w:r>
            <w:r>
              <w:rPr>
                <w:rFonts w:hint="eastAsia" w:ascii="楷体" w:hAnsi="楷体" w:eastAsia="楷体"/>
                <w:szCs w:val="21"/>
              </w:rPr>
              <w:t>.对未按照国家标准、行业标准或者国家有关规定安装、使用安全设施、设备并进行经常性维护、保养和定期检测等行为的行政检查</w:t>
            </w:r>
          </w:p>
          <w:p>
            <w:pPr>
              <w:rPr>
                <w:rFonts w:ascii="楷体" w:hAnsi="楷体" w:eastAsia="楷体"/>
                <w:szCs w:val="21"/>
              </w:rPr>
            </w:pPr>
            <w:r>
              <w:rPr>
                <w:rFonts w:hint="eastAsia" w:ascii="楷体" w:hAnsi="楷体" w:eastAsia="楷体"/>
                <w:szCs w:val="21"/>
              </w:rPr>
              <w:t>3</w:t>
            </w:r>
            <w:r>
              <w:rPr>
                <w:rFonts w:hint="eastAsia" w:ascii="楷体" w:hAnsi="楷体" w:eastAsia="楷体"/>
                <w:szCs w:val="21"/>
                <w:lang w:val="en-US" w:eastAsia="zh-CN"/>
              </w:rPr>
              <w:t>0</w:t>
            </w:r>
            <w:r>
              <w:rPr>
                <w:rFonts w:hint="eastAsia" w:ascii="楷体" w:hAnsi="楷体" w:eastAsia="楷体"/>
                <w:szCs w:val="21"/>
              </w:rPr>
              <w:t>.对未将危险货物储存在专用库场、储罐内等行为的行政检查</w:t>
            </w:r>
          </w:p>
          <w:p>
            <w:pPr>
              <w:rPr>
                <w:rFonts w:ascii="楷体" w:hAnsi="楷体" w:eastAsia="楷体"/>
                <w:szCs w:val="21"/>
              </w:rPr>
            </w:pPr>
            <w:r>
              <w:rPr>
                <w:rFonts w:hint="eastAsia" w:ascii="楷体" w:hAnsi="楷体" w:eastAsia="楷体"/>
                <w:szCs w:val="21"/>
              </w:rPr>
              <w:t>3</w:t>
            </w:r>
            <w:r>
              <w:rPr>
                <w:rFonts w:hint="eastAsia" w:ascii="楷体" w:hAnsi="楷体" w:eastAsia="楷体"/>
                <w:szCs w:val="21"/>
                <w:lang w:val="en-US" w:eastAsia="zh-CN"/>
              </w:rPr>
              <w:t>1</w:t>
            </w:r>
            <w:r>
              <w:rPr>
                <w:rFonts w:hint="eastAsia" w:ascii="楷体" w:hAnsi="楷体" w:eastAsia="楷体"/>
                <w:szCs w:val="21"/>
              </w:rPr>
              <w:t>.对未制定事故应急救援预案，或未配备充足、有效的应急救援器材和设备行为的行政检查</w:t>
            </w:r>
          </w:p>
          <w:p>
            <w:pPr>
              <w:rPr>
                <w:rFonts w:hint="eastAsia" w:ascii="楷体" w:hAnsi="楷体" w:eastAsia="楷体"/>
                <w:szCs w:val="21"/>
              </w:rPr>
            </w:pPr>
            <w:r>
              <w:rPr>
                <w:rFonts w:hint="eastAsia" w:ascii="楷体" w:hAnsi="楷体" w:eastAsia="楷体"/>
                <w:szCs w:val="21"/>
              </w:rPr>
              <w:t>3</w:t>
            </w:r>
            <w:r>
              <w:rPr>
                <w:rFonts w:hint="eastAsia" w:ascii="楷体" w:hAnsi="楷体" w:eastAsia="楷体"/>
                <w:szCs w:val="21"/>
                <w:lang w:val="en-US" w:eastAsia="zh-CN"/>
              </w:rPr>
              <w:t>2</w:t>
            </w:r>
            <w:r>
              <w:rPr>
                <w:rFonts w:hint="eastAsia" w:ascii="楷体" w:hAnsi="楷体" w:eastAsia="楷体"/>
                <w:szCs w:val="21"/>
              </w:rPr>
              <w:t>.对在港口建设的危险货物作业场所、实施卫生除害处理的专用场所与人口密集区或者港口客运设施的距离不符合国务院有关部门的规定行为的行政检查</w:t>
            </w:r>
          </w:p>
          <w:p>
            <w:pPr>
              <w:rPr>
                <w:rFonts w:ascii="楷体" w:hAnsi="楷体" w:eastAsia="楷体"/>
                <w:szCs w:val="21"/>
              </w:rPr>
            </w:pPr>
            <w:r>
              <w:rPr>
                <w:rFonts w:hint="eastAsia" w:ascii="楷体" w:hAnsi="楷体" w:eastAsia="楷体"/>
                <w:szCs w:val="21"/>
              </w:rPr>
              <w:t>3</w:t>
            </w:r>
            <w:r>
              <w:rPr>
                <w:rFonts w:hint="eastAsia" w:ascii="楷体" w:hAnsi="楷体" w:eastAsia="楷体"/>
                <w:szCs w:val="21"/>
                <w:lang w:val="en-US" w:eastAsia="zh-CN"/>
              </w:rPr>
              <w:t>3</w:t>
            </w:r>
            <w:r>
              <w:rPr>
                <w:rFonts w:hint="eastAsia" w:ascii="楷体" w:hAnsi="楷体" w:eastAsia="楷体"/>
                <w:szCs w:val="21"/>
              </w:rPr>
              <w:t>.</w:t>
            </w:r>
            <w:r>
              <w:rPr>
                <w:rFonts w:hint="eastAsia"/>
              </w:rPr>
              <w:t xml:space="preserve"> </w:t>
            </w:r>
            <w:r>
              <w:rPr>
                <w:rFonts w:hint="eastAsia" w:ascii="楷体" w:hAnsi="楷体" w:eastAsia="楷体"/>
                <w:szCs w:val="21"/>
              </w:rPr>
              <w:t>对主要安全管理人员未按照规定经考核合格行为的行政检查</w:t>
            </w:r>
          </w:p>
        </w:tc>
        <w:tc>
          <w:tcPr>
            <w:tcW w:w="1134" w:type="dxa"/>
            <w:vAlign w:val="center"/>
          </w:tcPr>
          <w:p>
            <w:pPr>
              <w:rPr>
                <w:rFonts w:ascii="楷体" w:hAnsi="楷体" w:eastAsia="楷体"/>
                <w:szCs w:val="21"/>
              </w:rPr>
            </w:pPr>
            <w:r>
              <w:rPr>
                <w:rFonts w:hint="eastAsia" w:ascii="楷体" w:hAnsi="楷体" w:eastAsia="楷体"/>
                <w:szCs w:val="21"/>
              </w:rPr>
              <w:t>北部湾港从事危险货物港口经营人</w:t>
            </w:r>
          </w:p>
        </w:tc>
        <w:tc>
          <w:tcPr>
            <w:tcW w:w="709" w:type="dxa"/>
            <w:vAlign w:val="center"/>
          </w:tcPr>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686" w:type="dxa"/>
            <w:vAlign w:val="center"/>
          </w:tcPr>
          <w:p>
            <w:pPr>
              <w:rPr>
                <w:rFonts w:ascii="楷体" w:hAnsi="楷体" w:eastAsia="楷体"/>
                <w:szCs w:val="21"/>
              </w:rPr>
            </w:pPr>
            <w:r>
              <w:rPr>
                <w:rFonts w:hint="eastAsia" w:ascii="楷体" w:hAnsi="楷体" w:eastAsia="楷体"/>
                <w:szCs w:val="21"/>
              </w:rPr>
              <w:t>100%</w:t>
            </w:r>
          </w:p>
        </w:tc>
        <w:tc>
          <w:tcPr>
            <w:tcW w:w="708" w:type="dxa"/>
            <w:vAlign w:val="center"/>
          </w:tcPr>
          <w:p>
            <w:pPr>
              <w:rPr>
                <w:rFonts w:ascii="楷体" w:hAnsi="楷体" w:eastAsia="楷体"/>
                <w:szCs w:val="21"/>
              </w:rPr>
            </w:pPr>
            <w:r>
              <w:rPr>
                <w:rFonts w:hint="eastAsia" w:ascii="楷体" w:hAnsi="楷体" w:eastAsia="楷体"/>
                <w:szCs w:val="21"/>
              </w:rPr>
              <w:t>202</w:t>
            </w:r>
            <w:r>
              <w:rPr>
                <w:rFonts w:hint="eastAsia" w:ascii="楷体" w:hAnsi="楷体" w:eastAsia="楷体"/>
                <w:szCs w:val="21"/>
                <w:lang w:val="en-US" w:eastAsia="zh-CN"/>
              </w:rPr>
              <w:t>4</w:t>
            </w:r>
            <w:r>
              <w:rPr>
                <w:rFonts w:hint="eastAsia" w:ascii="楷体" w:hAnsi="楷体" w:eastAsia="楷体"/>
                <w:szCs w:val="21"/>
              </w:rPr>
              <w:t>年11月30日前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3" w:hRule="atLeast"/>
        </w:trPr>
        <w:tc>
          <w:tcPr>
            <w:tcW w:w="754" w:type="dxa"/>
            <w:vAlign w:val="center"/>
          </w:tcPr>
          <w:p>
            <w:pPr>
              <w:jc w:val="center"/>
              <w:rPr>
                <w:rFonts w:ascii="楷体" w:hAnsi="楷体" w:eastAsia="楷体"/>
                <w:szCs w:val="21"/>
              </w:rPr>
            </w:pPr>
            <w:r>
              <w:rPr>
                <w:rFonts w:hint="eastAsia" w:ascii="楷体" w:hAnsi="楷体" w:eastAsia="楷体"/>
                <w:szCs w:val="21"/>
              </w:rPr>
              <w:t>2</w:t>
            </w:r>
          </w:p>
        </w:tc>
        <w:tc>
          <w:tcPr>
            <w:tcW w:w="1055" w:type="dxa"/>
            <w:vAlign w:val="center"/>
          </w:tcPr>
          <w:p>
            <w:pPr>
              <w:rPr>
                <w:rFonts w:ascii="楷体" w:hAnsi="楷体" w:eastAsia="楷体"/>
                <w:szCs w:val="21"/>
              </w:rPr>
            </w:pPr>
            <w:r>
              <w:rPr>
                <w:rFonts w:hint="eastAsia" w:ascii="楷体" w:hAnsi="楷体" w:eastAsia="楷体"/>
                <w:szCs w:val="21"/>
                <w:lang w:eastAsia="zh-CN"/>
              </w:rPr>
              <w:t>2024</w:t>
            </w:r>
            <w:r>
              <w:rPr>
                <w:rFonts w:hint="eastAsia" w:ascii="楷体" w:hAnsi="楷体" w:eastAsia="楷体"/>
                <w:szCs w:val="21"/>
              </w:rPr>
              <w:t>年对通航建筑物运行单位的抽查计划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对通航建筑物运行方案的行政检查</w:t>
            </w: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通航建筑物的运行单位</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686" w:type="dxa"/>
            <w:vAlign w:val="center"/>
          </w:tcPr>
          <w:p>
            <w:pPr>
              <w:rPr>
                <w:rFonts w:ascii="楷体" w:hAnsi="楷体" w:eastAsia="楷体"/>
                <w:szCs w:val="21"/>
              </w:rPr>
            </w:pPr>
            <w:r>
              <w:rPr>
                <w:rFonts w:hint="eastAsia" w:ascii="楷体" w:hAnsi="楷体" w:eastAsia="楷体"/>
                <w:szCs w:val="21"/>
              </w:rPr>
              <w:t>不低于20%</w:t>
            </w:r>
          </w:p>
        </w:tc>
        <w:tc>
          <w:tcPr>
            <w:tcW w:w="708" w:type="dxa"/>
            <w:vAlign w:val="center"/>
          </w:tcPr>
          <w:p>
            <w:pPr>
              <w:rPr>
                <w:rFonts w:ascii="楷体" w:hAnsi="楷体" w:eastAsia="楷体"/>
                <w:szCs w:val="21"/>
              </w:rPr>
            </w:pPr>
            <w:r>
              <w:rPr>
                <w:rFonts w:hint="eastAsia" w:ascii="楷体" w:hAnsi="楷体" w:eastAsia="楷体"/>
                <w:szCs w:val="21"/>
                <w:lang w:eastAsia="zh-CN"/>
              </w:rPr>
              <w:t>2024</w:t>
            </w:r>
            <w:r>
              <w:rPr>
                <w:rFonts w:hint="eastAsia" w:ascii="楷体" w:hAnsi="楷体" w:eastAsia="楷体"/>
                <w:szCs w:val="21"/>
              </w:rPr>
              <w:t>年11月30日前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4" w:hRule="atLeast"/>
        </w:trPr>
        <w:tc>
          <w:tcPr>
            <w:tcW w:w="754" w:type="dxa"/>
            <w:vAlign w:val="center"/>
          </w:tcPr>
          <w:p>
            <w:pPr>
              <w:jc w:val="center"/>
              <w:rPr>
                <w:rFonts w:ascii="楷体" w:hAnsi="楷体" w:eastAsia="楷体"/>
                <w:szCs w:val="21"/>
              </w:rPr>
            </w:pPr>
            <w:r>
              <w:rPr>
                <w:rFonts w:hint="eastAsia" w:ascii="楷体" w:hAnsi="楷体" w:eastAsia="楷体"/>
                <w:szCs w:val="21"/>
              </w:rPr>
              <w:t>3</w:t>
            </w:r>
          </w:p>
        </w:tc>
        <w:tc>
          <w:tcPr>
            <w:tcW w:w="1055" w:type="dxa"/>
            <w:vAlign w:val="center"/>
          </w:tcPr>
          <w:p>
            <w:pPr>
              <w:rPr>
                <w:rFonts w:ascii="楷体" w:hAnsi="楷体" w:eastAsia="楷体"/>
                <w:szCs w:val="21"/>
              </w:rPr>
            </w:pPr>
            <w:bookmarkStart w:id="0" w:name="RANGE!A30"/>
            <w:r>
              <w:rPr>
                <w:rFonts w:hint="eastAsia" w:ascii="楷体" w:hAnsi="楷体" w:eastAsia="楷体"/>
                <w:szCs w:val="21"/>
                <w:lang w:eastAsia="zh-CN"/>
              </w:rPr>
              <w:t>2024年</w:t>
            </w:r>
            <w:r>
              <w:rPr>
                <w:rFonts w:hint="eastAsia" w:ascii="楷体" w:hAnsi="楷体" w:eastAsia="楷体"/>
                <w:szCs w:val="21"/>
              </w:rPr>
              <w:t>度对水运（港口）工程建设项目的抽查计划</w:t>
            </w:r>
            <w:bookmarkEnd w:id="0"/>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1.对公路水运建设工程的质量监督检查</w:t>
            </w:r>
          </w:p>
          <w:p>
            <w:pPr>
              <w:rPr>
                <w:rFonts w:ascii="楷体" w:hAnsi="楷体" w:eastAsia="楷体"/>
                <w:szCs w:val="21"/>
              </w:rPr>
            </w:pPr>
            <w:r>
              <w:rPr>
                <w:rFonts w:hint="eastAsia" w:ascii="楷体" w:hAnsi="楷体" w:eastAsia="楷体"/>
                <w:szCs w:val="21"/>
              </w:rPr>
              <w:t>2. 对迫使承包方以低于成本价竞标等行为的行政检查（交通运输领域）</w:t>
            </w:r>
          </w:p>
          <w:p>
            <w:pPr>
              <w:rPr>
                <w:rFonts w:ascii="楷体" w:hAnsi="楷体" w:eastAsia="楷体"/>
                <w:szCs w:val="21"/>
              </w:rPr>
            </w:pPr>
            <w:r>
              <w:rPr>
                <w:rFonts w:hint="eastAsia" w:ascii="楷体" w:hAnsi="楷体" w:eastAsia="楷体"/>
                <w:szCs w:val="21"/>
              </w:rPr>
              <w:t>3. 对泄露应当保密的与建设工程项目招标投标活动有关的情况和资料行为的行政检查（交通运输领域）</w:t>
            </w:r>
          </w:p>
          <w:p>
            <w:pPr>
              <w:rPr>
                <w:rFonts w:ascii="楷体" w:hAnsi="楷体" w:eastAsia="楷体"/>
                <w:szCs w:val="21"/>
              </w:rPr>
            </w:pPr>
            <w:r>
              <w:rPr>
                <w:rFonts w:hint="eastAsia" w:ascii="楷体" w:hAnsi="楷体" w:eastAsia="楷体"/>
                <w:szCs w:val="21"/>
              </w:rPr>
              <w:t>4. 对建设工程项目投标人与他人串通投标或者以行贿手段中标等行为的行政检查</w:t>
            </w:r>
          </w:p>
          <w:p>
            <w:pPr>
              <w:rPr>
                <w:rFonts w:ascii="楷体" w:hAnsi="楷体" w:eastAsia="楷体"/>
                <w:szCs w:val="21"/>
              </w:rPr>
            </w:pPr>
            <w:r>
              <w:rPr>
                <w:rFonts w:hint="eastAsia" w:ascii="楷体" w:hAnsi="楷体" w:eastAsia="楷体"/>
                <w:szCs w:val="21"/>
              </w:rPr>
              <w:t>5. 对违反国家有关规定办理招标业务行为的行政检查</w:t>
            </w:r>
          </w:p>
          <w:p>
            <w:pPr>
              <w:rPr>
                <w:rFonts w:ascii="楷体" w:hAnsi="楷体" w:eastAsia="楷体"/>
                <w:szCs w:val="21"/>
              </w:rPr>
            </w:pPr>
            <w:r>
              <w:rPr>
                <w:rFonts w:hint="eastAsia" w:ascii="楷体" w:hAnsi="楷体" w:eastAsia="楷体"/>
                <w:szCs w:val="21"/>
              </w:rPr>
              <w:t>6. 对建设工程项目招标人向他人透露可能影响公平竞争的有关招标投标情况或者泄露标的的行为的行政检查</w:t>
            </w:r>
          </w:p>
          <w:p>
            <w:pPr>
              <w:rPr>
                <w:rFonts w:ascii="楷体" w:hAnsi="楷体" w:eastAsia="楷体"/>
                <w:szCs w:val="21"/>
              </w:rPr>
            </w:pPr>
            <w:r>
              <w:rPr>
                <w:rFonts w:hint="eastAsia" w:ascii="楷体" w:hAnsi="楷体" w:eastAsia="楷体"/>
                <w:szCs w:val="21"/>
              </w:rPr>
              <w:t>7. 对建设工程项目评标委员会委员不客观、不公正履行职务行为的行政检查（交通运输领域）</w:t>
            </w:r>
          </w:p>
          <w:p>
            <w:pPr>
              <w:rPr>
                <w:rFonts w:ascii="楷体" w:hAnsi="楷体" w:eastAsia="楷体"/>
                <w:szCs w:val="21"/>
              </w:rPr>
            </w:pPr>
            <w:r>
              <w:rPr>
                <w:rFonts w:hint="eastAsia" w:ascii="楷体" w:hAnsi="楷体" w:eastAsia="楷体"/>
                <w:szCs w:val="21"/>
              </w:rPr>
              <w:t>8. 对依法必须进行招标的项目，招标人违反规定，与投标人就实质内容进行谈判行为的行政检查（交通运输领域）</w:t>
            </w:r>
          </w:p>
          <w:p>
            <w:pPr>
              <w:rPr>
                <w:rFonts w:ascii="楷体" w:hAnsi="楷体" w:eastAsia="楷体"/>
                <w:szCs w:val="21"/>
              </w:rPr>
            </w:pPr>
            <w:r>
              <w:rPr>
                <w:rFonts w:hint="eastAsia" w:ascii="楷体" w:hAnsi="楷体" w:eastAsia="楷体"/>
                <w:szCs w:val="21"/>
              </w:rPr>
              <w:t>9. 对收受建设工程项目投标人好处，或透露信息行为的行政检查（交通运输领域）</w:t>
            </w:r>
          </w:p>
          <w:p>
            <w:pPr>
              <w:rPr>
                <w:rFonts w:ascii="楷体" w:hAnsi="楷体" w:eastAsia="楷体"/>
                <w:szCs w:val="21"/>
              </w:rPr>
            </w:pPr>
            <w:r>
              <w:rPr>
                <w:rFonts w:hint="eastAsia" w:ascii="楷体" w:hAnsi="楷体" w:eastAsia="楷体"/>
                <w:szCs w:val="21"/>
              </w:rPr>
              <w:t>10. 对建设工程项目招标人不按照规定组建评标委员会，或者违法确定、更换评标委员会成员行为的行政检查（交通运输领域）</w:t>
            </w:r>
          </w:p>
          <w:p>
            <w:pPr>
              <w:rPr>
                <w:rFonts w:ascii="楷体" w:hAnsi="楷体" w:eastAsia="楷体"/>
                <w:szCs w:val="21"/>
              </w:rPr>
            </w:pPr>
            <w:r>
              <w:rPr>
                <w:rFonts w:hint="eastAsia" w:ascii="楷体" w:hAnsi="楷体" w:eastAsia="楷体"/>
                <w:szCs w:val="21"/>
              </w:rPr>
              <w:t>11. 对建设工程项目招标人超额收取保证金或者不按规定退还保证金及利息行为的行政检查（交通运输领域）</w:t>
            </w:r>
          </w:p>
          <w:p>
            <w:pPr>
              <w:rPr>
                <w:rFonts w:ascii="楷体" w:hAnsi="楷体" w:eastAsia="楷体"/>
                <w:szCs w:val="21"/>
              </w:rPr>
            </w:pPr>
            <w:r>
              <w:rPr>
                <w:rFonts w:hint="eastAsia" w:ascii="楷体" w:hAnsi="楷体" w:eastAsia="楷体"/>
                <w:szCs w:val="21"/>
              </w:rPr>
              <w:t>12. 对建设工程项目招标人在评标委员会依法推荐的中标候选人以外确定中标人等行为的行政检查（交通运输领域）</w:t>
            </w:r>
          </w:p>
          <w:p>
            <w:pPr>
              <w:rPr>
                <w:rFonts w:ascii="楷体" w:hAnsi="楷体" w:eastAsia="楷体"/>
                <w:szCs w:val="21"/>
              </w:rPr>
            </w:pPr>
            <w:r>
              <w:rPr>
                <w:rFonts w:hint="eastAsia" w:ascii="楷体" w:hAnsi="楷体" w:eastAsia="楷体"/>
                <w:szCs w:val="21"/>
              </w:rPr>
              <w:t>13. 对建设工程项目招标人限制或排斥潜在投标人行为的行政检查（交通运输领域）</w:t>
            </w:r>
          </w:p>
          <w:p>
            <w:pPr>
              <w:rPr>
                <w:rFonts w:ascii="楷体" w:hAnsi="楷体" w:eastAsia="楷体"/>
                <w:szCs w:val="21"/>
              </w:rPr>
            </w:pPr>
            <w:r>
              <w:rPr>
                <w:rFonts w:hint="eastAsia" w:ascii="楷体" w:hAnsi="楷体" w:eastAsia="楷体"/>
                <w:szCs w:val="21"/>
              </w:rPr>
              <w:t>14. 对建设工程项目依法应当公开招标而采用邀请招标行为的行政检查（交通运输领域）</w:t>
            </w:r>
          </w:p>
          <w:p>
            <w:pPr>
              <w:rPr>
                <w:rFonts w:ascii="楷体" w:hAnsi="楷体" w:eastAsia="楷体"/>
                <w:szCs w:val="21"/>
              </w:rPr>
            </w:pPr>
            <w:r>
              <w:rPr>
                <w:rFonts w:hint="eastAsia" w:ascii="楷体" w:hAnsi="楷体" w:eastAsia="楷体"/>
                <w:szCs w:val="21"/>
              </w:rPr>
              <w:t>15. 对必须招标的项目建设工程单位弄虚作假骗取中标行为的行政检查（交通运输领域）</w:t>
            </w:r>
          </w:p>
          <w:p>
            <w:pPr>
              <w:rPr>
                <w:rFonts w:ascii="楷体" w:hAnsi="楷体" w:eastAsia="楷体"/>
                <w:szCs w:val="21"/>
              </w:rPr>
            </w:pPr>
            <w:r>
              <w:rPr>
                <w:rFonts w:hint="eastAsia" w:ascii="楷体" w:hAnsi="楷体" w:eastAsia="楷体"/>
                <w:szCs w:val="21"/>
              </w:rPr>
              <w:t>16. 对建设工程项目必须招标而不招标行为的行政检查（交通运输领域）</w:t>
            </w:r>
          </w:p>
          <w:p>
            <w:pPr>
              <w:rPr>
                <w:rFonts w:ascii="楷体" w:hAnsi="楷体" w:eastAsia="楷体"/>
                <w:szCs w:val="21"/>
              </w:rPr>
            </w:pPr>
            <w:r>
              <w:rPr>
                <w:rFonts w:hint="eastAsia" w:ascii="楷体" w:hAnsi="楷体" w:eastAsia="楷体"/>
                <w:szCs w:val="21"/>
              </w:rPr>
              <w:t>17. 对建设工程项目不按照规定发布资格预审公告或者招标公告行为的行政检查（交通运输领域）</w:t>
            </w:r>
          </w:p>
          <w:p>
            <w:pPr>
              <w:rPr>
                <w:rFonts w:ascii="楷体" w:hAnsi="楷体" w:eastAsia="楷体"/>
                <w:szCs w:val="21"/>
              </w:rPr>
            </w:pPr>
            <w:r>
              <w:rPr>
                <w:rFonts w:hint="eastAsia" w:ascii="楷体" w:hAnsi="楷体" w:eastAsia="楷体"/>
                <w:szCs w:val="21"/>
              </w:rPr>
              <w:t>18. 对建设工程从业单位不按招标文件和投标文件订立合同或者订立背离合同实质性内容的协议行为的行政检查（交通运输领域）</w:t>
            </w:r>
          </w:p>
          <w:p>
            <w:pPr>
              <w:rPr>
                <w:rFonts w:ascii="楷体" w:hAnsi="楷体" w:eastAsia="楷体"/>
                <w:szCs w:val="21"/>
              </w:rPr>
            </w:pPr>
            <w:r>
              <w:rPr>
                <w:rFonts w:hint="eastAsia" w:ascii="楷体" w:hAnsi="楷体" w:eastAsia="楷体"/>
                <w:szCs w:val="21"/>
              </w:rPr>
              <w:t>19. 对建设工程项目招标人接受未通过资格预审的单位或者个人参加投标行为的行政检查（交通运输领域）</w:t>
            </w:r>
          </w:p>
          <w:p>
            <w:pPr>
              <w:rPr>
                <w:rFonts w:ascii="楷体" w:hAnsi="楷体" w:eastAsia="楷体"/>
                <w:szCs w:val="21"/>
              </w:rPr>
            </w:pPr>
            <w:r>
              <w:rPr>
                <w:rFonts w:hint="eastAsia" w:ascii="楷体" w:hAnsi="楷体" w:eastAsia="楷体"/>
                <w:szCs w:val="21"/>
              </w:rPr>
              <w:t>20. 对建设工程项目招标人接受应当拒收的投标文件行为的行政检查（交通运输领域）</w:t>
            </w:r>
          </w:p>
          <w:p>
            <w:pPr>
              <w:rPr>
                <w:rFonts w:ascii="楷体" w:hAnsi="楷体" w:eastAsia="楷体"/>
                <w:szCs w:val="21"/>
              </w:rPr>
            </w:pPr>
            <w:r>
              <w:rPr>
                <w:rFonts w:hint="eastAsia" w:ascii="楷体" w:hAnsi="楷体" w:eastAsia="楷体"/>
                <w:szCs w:val="21"/>
              </w:rPr>
              <w:t>21. 对建设工程项目中标后不按规定履行后续流程行为的行政检查（交通运输领域）</w:t>
            </w:r>
          </w:p>
          <w:p>
            <w:pPr>
              <w:rPr>
                <w:rFonts w:ascii="楷体" w:hAnsi="楷体" w:eastAsia="楷体"/>
                <w:szCs w:val="21"/>
              </w:rPr>
            </w:pPr>
            <w:r>
              <w:rPr>
                <w:rFonts w:hint="eastAsia" w:ascii="楷体" w:hAnsi="楷体" w:eastAsia="楷体"/>
                <w:szCs w:val="21"/>
              </w:rPr>
              <w:t>22. 对建设工程项目投标资料时限不符合规定行为的行政检查（交通运输领域）</w:t>
            </w:r>
          </w:p>
          <w:p>
            <w:pPr>
              <w:rPr>
                <w:rFonts w:ascii="楷体" w:hAnsi="楷体" w:eastAsia="楷体"/>
                <w:szCs w:val="21"/>
              </w:rPr>
            </w:pPr>
            <w:r>
              <w:rPr>
                <w:rFonts w:hint="eastAsia" w:ascii="楷体" w:hAnsi="楷体" w:eastAsia="楷体"/>
                <w:szCs w:val="21"/>
              </w:rPr>
              <w:t>23. 对建设工程从业单位不按照合同履行义务，情节较为严重行为的行政检查（交通运输领域）</w:t>
            </w:r>
          </w:p>
          <w:p>
            <w:pPr>
              <w:rPr>
                <w:rFonts w:ascii="楷体" w:hAnsi="楷体" w:eastAsia="楷体"/>
                <w:szCs w:val="21"/>
              </w:rPr>
            </w:pPr>
            <w:r>
              <w:rPr>
                <w:rFonts w:hint="eastAsia" w:ascii="楷体" w:hAnsi="楷体" w:eastAsia="楷体"/>
                <w:szCs w:val="21"/>
              </w:rPr>
              <w:t>24. 对建设从业单位越级（无证）承揽工程行为的行政检查（交通运输领域）</w:t>
            </w:r>
          </w:p>
          <w:p>
            <w:pPr>
              <w:rPr>
                <w:rFonts w:ascii="楷体" w:hAnsi="楷体" w:eastAsia="楷体"/>
                <w:szCs w:val="21"/>
              </w:rPr>
            </w:pPr>
            <w:r>
              <w:rPr>
                <w:rFonts w:hint="eastAsia" w:ascii="楷体" w:hAnsi="楷体" w:eastAsia="楷体"/>
                <w:szCs w:val="21"/>
              </w:rPr>
              <w:t>25.对执业人员和其他专业技术人员不按规定受聘而从事建设工程勘察、设计活动行为的行政检查（交通运输领域）</w:t>
            </w:r>
          </w:p>
          <w:p>
            <w:pPr>
              <w:rPr>
                <w:rFonts w:ascii="楷体" w:hAnsi="楷体" w:eastAsia="楷体"/>
                <w:szCs w:val="21"/>
              </w:rPr>
            </w:pPr>
            <w:r>
              <w:rPr>
                <w:rFonts w:hint="eastAsia" w:ascii="楷体" w:hAnsi="楷体" w:eastAsia="楷体"/>
                <w:szCs w:val="21"/>
              </w:rPr>
              <w:t>26. 对建设工程项目肢解发包行为的行政检查（交通运输领域）</w:t>
            </w:r>
          </w:p>
          <w:p>
            <w:pPr>
              <w:rPr>
                <w:rFonts w:ascii="楷体" w:hAnsi="楷体" w:eastAsia="楷体"/>
                <w:szCs w:val="21"/>
              </w:rPr>
            </w:pPr>
            <w:r>
              <w:rPr>
                <w:rFonts w:hint="eastAsia" w:ascii="楷体" w:hAnsi="楷体" w:eastAsia="楷体"/>
                <w:szCs w:val="21"/>
              </w:rPr>
              <w:t>27. 对建设工程从业单位违法转分包行为的行政检查（交通运输领域）</w:t>
            </w:r>
          </w:p>
          <w:p>
            <w:pPr>
              <w:rPr>
                <w:rFonts w:ascii="楷体" w:hAnsi="楷体" w:eastAsia="楷体"/>
                <w:szCs w:val="21"/>
              </w:rPr>
            </w:pPr>
            <w:r>
              <w:rPr>
                <w:rFonts w:hint="eastAsia" w:ascii="楷体" w:hAnsi="楷体" w:eastAsia="楷体"/>
                <w:szCs w:val="21"/>
              </w:rPr>
              <w:t>28. 对建设工程建设单位将工程发包给不具备安全生产条件或者相应资质的单位或个人行为的行政检查（交通运输领域）</w:t>
            </w:r>
          </w:p>
          <w:p>
            <w:pPr>
              <w:rPr>
                <w:rFonts w:ascii="楷体" w:hAnsi="楷体" w:eastAsia="楷体"/>
                <w:szCs w:val="21"/>
              </w:rPr>
            </w:pPr>
            <w:r>
              <w:rPr>
                <w:rFonts w:hint="eastAsia" w:ascii="楷体" w:hAnsi="楷体" w:eastAsia="楷体"/>
                <w:szCs w:val="21"/>
              </w:rPr>
              <w:t>29. 对未经注册擅自以注册人员名义从事建设工程勘察、设计活动行为的行政检查（交通运输领域）</w:t>
            </w:r>
          </w:p>
          <w:p>
            <w:pPr>
              <w:rPr>
                <w:rFonts w:ascii="楷体" w:hAnsi="楷体" w:eastAsia="楷体"/>
                <w:szCs w:val="21"/>
              </w:rPr>
            </w:pPr>
            <w:r>
              <w:rPr>
                <w:rFonts w:hint="eastAsia" w:ascii="楷体" w:hAnsi="楷体" w:eastAsia="楷体"/>
                <w:szCs w:val="21"/>
              </w:rPr>
              <w:t>30. 对建设单位将工程业务发包给不具有相应资质等级的单位行为的行政检查（交通运输领域）</w:t>
            </w:r>
          </w:p>
          <w:p>
            <w:pPr>
              <w:rPr>
                <w:rFonts w:ascii="楷体" w:hAnsi="楷体" w:eastAsia="楷体"/>
                <w:szCs w:val="21"/>
              </w:rPr>
            </w:pPr>
            <w:r>
              <w:rPr>
                <w:rFonts w:hint="eastAsia" w:ascii="楷体" w:hAnsi="楷体" w:eastAsia="楷体"/>
                <w:szCs w:val="21"/>
              </w:rPr>
              <w:t>31.对建设工程项目招标中介机构与他人串通行为的行政检查（交通运输领域）</w:t>
            </w:r>
          </w:p>
          <w:p>
            <w:pPr>
              <w:rPr>
                <w:rFonts w:ascii="楷体" w:hAnsi="楷体" w:eastAsia="楷体"/>
                <w:szCs w:val="21"/>
              </w:rPr>
            </w:pPr>
            <w:r>
              <w:rPr>
                <w:rFonts w:hint="eastAsia" w:ascii="楷体" w:hAnsi="楷体" w:eastAsia="楷体"/>
                <w:szCs w:val="21"/>
              </w:rPr>
              <w:t>32.对建设从业单位出借资质行为的行政检查（交通运输领域）</w:t>
            </w:r>
          </w:p>
          <w:p>
            <w:pPr>
              <w:rPr>
                <w:rFonts w:ascii="楷体" w:hAnsi="楷体" w:eastAsia="楷体"/>
                <w:szCs w:val="21"/>
              </w:rPr>
            </w:pPr>
            <w:r>
              <w:rPr>
                <w:rFonts w:hint="eastAsia" w:ascii="楷体" w:hAnsi="楷体" w:eastAsia="楷体"/>
                <w:szCs w:val="21"/>
              </w:rPr>
              <w:t>33.对建设工程施工单位委托不具有相应资质的单位承担施工现场安装拆除施工起重机械和自升式架设设施等行为的行政检查（交通运输领域）</w:t>
            </w:r>
          </w:p>
          <w:p>
            <w:pPr>
              <w:rPr>
                <w:rFonts w:ascii="楷体" w:hAnsi="楷体" w:eastAsia="楷体"/>
                <w:szCs w:val="21"/>
              </w:rPr>
            </w:pPr>
            <w:r>
              <w:rPr>
                <w:rFonts w:hint="eastAsia" w:ascii="楷体" w:hAnsi="楷体" w:eastAsia="楷体"/>
                <w:szCs w:val="21"/>
              </w:rPr>
              <w:t>34.对水运工程建设项目不具备招标条件而进行招标行为的行政检查</w:t>
            </w:r>
          </w:p>
          <w:p>
            <w:pPr>
              <w:rPr>
                <w:rFonts w:ascii="楷体" w:hAnsi="楷体" w:eastAsia="楷体"/>
                <w:szCs w:val="21"/>
              </w:rPr>
            </w:pPr>
            <w:r>
              <w:rPr>
                <w:rFonts w:hint="eastAsia" w:ascii="楷体" w:hAnsi="楷体" w:eastAsia="楷体"/>
                <w:szCs w:val="21"/>
              </w:rPr>
              <w:t>35.对水运工程建设项目未履行相关审批、核准手续开展招标活动行为的行政检查</w:t>
            </w:r>
          </w:p>
          <w:p>
            <w:pPr>
              <w:rPr>
                <w:rFonts w:ascii="楷体" w:hAnsi="楷体" w:eastAsia="楷体"/>
                <w:szCs w:val="21"/>
              </w:rPr>
            </w:pPr>
            <w:r>
              <w:rPr>
                <w:rFonts w:hint="eastAsia" w:ascii="楷体" w:hAnsi="楷体" w:eastAsia="楷体"/>
                <w:szCs w:val="21"/>
              </w:rPr>
              <w:t>36. 对新建、改建、扩建从事港口危险货物作业的建设项目安全条件的行政检查</w:t>
            </w:r>
          </w:p>
          <w:p>
            <w:pPr>
              <w:rPr>
                <w:rFonts w:ascii="楷体" w:hAnsi="楷体" w:eastAsia="楷体"/>
                <w:szCs w:val="21"/>
              </w:rPr>
            </w:pPr>
            <w:r>
              <w:rPr>
                <w:rFonts w:hint="eastAsia" w:ascii="楷体" w:hAnsi="楷体" w:eastAsia="楷体"/>
                <w:szCs w:val="21"/>
              </w:rPr>
              <w:t>37. 对主要安全管理人员未按照规定经考核合格行为的行政检查</w:t>
            </w:r>
          </w:p>
          <w:p>
            <w:pPr>
              <w:rPr>
                <w:rFonts w:ascii="楷体" w:hAnsi="楷体" w:eastAsia="楷体"/>
                <w:szCs w:val="21"/>
              </w:rPr>
            </w:pPr>
            <w:r>
              <w:rPr>
                <w:rFonts w:hint="eastAsia" w:ascii="楷体" w:hAnsi="楷体" w:eastAsia="楷体"/>
                <w:szCs w:val="21"/>
              </w:rPr>
              <w:t>38. 对公路水运建设工程的安全生产监督检查</w:t>
            </w:r>
          </w:p>
          <w:p>
            <w:pPr>
              <w:rPr>
                <w:rFonts w:ascii="楷体" w:hAnsi="楷体" w:eastAsia="楷体"/>
                <w:szCs w:val="21"/>
              </w:rPr>
            </w:pPr>
            <w:r>
              <w:rPr>
                <w:rFonts w:hint="eastAsia" w:ascii="楷体" w:hAnsi="楷体" w:eastAsia="楷体"/>
                <w:szCs w:val="21"/>
              </w:rPr>
              <w:t>39. 对公路水运工程建设项目设计文件的行政检查</w:t>
            </w:r>
          </w:p>
          <w:p>
            <w:pPr>
              <w:rPr>
                <w:rFonts w:ascii="楷体" w:hAnsi="楷体" w:eastAsia="楷体"/>
                <w:szCs w:val="21"/>
              </w:rPr>
            </w:pPr>
            <w:r>
              <w:rPr>
                <w:rFonts w:hint="eastAsia" w:ascii="楷体" w:hAnsi="楷体" w:eastAsia="楷体"/>
                <w:szCs w:val="21"/>
              </w:rPr>
              <w:t>40. 对违反港口规划建设港口、码头或者其他港口设施的行政检查</w:t>
            </w:r>
          </w:p>
          <w:p>
            <w:pPr>
              <w:rPr>
                <w:rFonts w:ascii="楷体" w:hAnsi="楷体" w:eastAsia="楷体"/>
                <w:szCs w:val="21"/>
              </w:rPr>
            </w:pPr>
            <w:r>
              <w:rPr>
                <w:rFonts w:hint="eastAsia" w:ascii="楷体" w:hAnsi="楷体" w:eastAsia="楷体"/>
                <w:szCs w:val="21"/>
              </w:rPr>
              <w:t>41. 对港口采掘、爆破施工作业的行政检查</w:t>
            </w:r>
          </w:p>
          <w:p>
            <w:pPr>
              <w:rPr>
                <w:rFonts w:ascii="楷体" w:hAnsi="楷体" w:eastAsia="楷体"/>
                <w:szCs w:val="21"/>
              </w:rPr>
            </w:pPr>
            <w:r>
              <w:rPr>
                <w:rFonts w:hint="eastAsia" w:ascii="楷体" w:hAnsi="楷体" w:eastAsia="楷体"/>
                <w:szCs w:val="21"/>
              </w:rPr>
              <w:t>42. 对港口非深水岸线使用的行政检查</w:t>
            </w:r>
          </w:p>
          <w:p>
            <w:pPr>
              <w:rPr>
                <w:rFonts w:ascii="楷体" w:hAnsi="楷体" w:eastAsia="楷体"/>
                <w:szCs w:val="21"/>
              </w:rPr>
            </w:pPr>
            <w:r>
              <w:rPr>
                <w:rFonts w:hint="eastAsia" w:ascii="楷体" w:hAnsi="楷体" w:eastAsia="楷体"/>
                <w:szCs w:val="21"/>
              </w:rPr>
              <w:t>43. 对没有安全设施设计或者安全设施设计未按照规定报经港口管理部门审查同意行为的行政检查</w:t>
            </w:r>
          </w:p>
          <w:p>
            <w:pPr>
              <w:rPr>
                <w:rFonts w:ascii="楷体" w:hAnsi="楷体" w:eastAsia="楷体"/>
                <w:szCs w:val="21"/>
              </w:rPr>
            </w:pPr>
            <w:r>
              <w:rPr>
                <w:rFonts w:hint="eastAsia" w:ascii="楷体" w:hAnsi="楷体" w:eastAsia="楷体"/>
                <w:szCs w:val="21"/>
              </w:rPr>
              <w:t>44. 对安全设施未经验收合格，擅自从事危险货物港口作业行为的行政检查</w:t>
            </w:r>
          </w:p>
          <w:p>
            <w:pPr>
              <w:rPr>
                <w:rFonts w:ascii="楷体" w:hAnsi="楷体" w:eastAsia="楷体"/>
                <w:szCs w:val="21"/>
              </w:rPr>
            </w:pPr>
            <w:r>
              <w:rPr>
                <w:rFonts w:hint="eastAsia" w:ascii="楷体" w:hAnsi="楷体" w:eastAsia="楷体"/>
                <w:szCs w:val="21"/>
              </w:rPr>
              <w:t>45.对未按照规定对危险货物港口建设项目进行安全评价行为的行政检查</w:t>
            </w:r>
          </w:p>
          <w:p>
            <w:pPr>
              <w:rPr>
                <w:rFonts w:ascii="楷体" w:hAnsi="楷体" w:eastAsia="楷体"/>
                <w:szCs w:val="21"/>
              </w:rPr>
            </w:pPr>
            <w:r>
              <w:rPr>
                <w:rFonts w:hint="eastAsia" w:ascii="楷体" w:hAnsi="楷体" w:eastAsia="楷体"/>
                <w:szCs w:val="21"/>
              </w:rPr>
              <w:t>46.对在港口建设的危险货物作业场所、实施卫生除害处理的专用场所与人口密集区或者港口客运设施的距离不符合国务院有关部门的规定行为的行政检查</w:t>
            </w: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水运（港口）工程建设项目</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jc w:val="cente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 w:hRule="atLeast"/>
        </w:trPr>
        <w:tc>
          <w:tcPr>
            <w:tcW w:w="754" w:type="dxa"/>
            <w:vAlign w:val="center"/>
          </w:tcPr>
          <w:p>
            <w:pPr>
              <w:jc w:val="center"/>
              <w:rPr>
                <w:rFonts w:ascii="楷体" w:hAnsi="楷体" w:eastAsia="楷体"/>
                <w:szCs w:val="21"/>
              </w:rPr>
            </w:pPr>
            <w:r>
              <w:rPr>
                <w:rFonts w:hint="eastAsia" w:ascii="楷体" w:hAnsi="楷体" w:eastAsia="楷体"/>
                <w:szCs w:val="21"/>
              </w:rPr>
              <w:t>4</w:t>
            </w:r>
          </w:p>
        </w:tc>
        <w:tc>
          <w:tcPr>
            <w:tcW w:w="1055"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度对公路工程建设项目的抽查计划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1.对公路水运建设工程的质量监督检查</w:t>
            </w:r>
          </w:p>
          <w:p>
            <w:pPr>
              <w:rPr>
                <w:rFonts w:ascii="楷体" w:hAnsi="楷体" w:eastAsia="楷体"/>
                <w:szCs w:val="21"/>
              </w:rPr>
            </w:pPr>
            <w:r>
              <w:rPr>
                <w:rFonts w:hint="eastAsia" w:ascii="楷体" w:hAnsi="楷体" w:eastAsia="楷体"/>
                <w:szCs w:val="21"/>
              </w:rPr>
              <w:t>2.对迫使承包方以低于成本价竞标等行为的行政检查（交通运输领域）</w:t>
            </w:r>
          </w:p>
          <w:p>
            <w:pPr>
              <w:rPr>
                <w:rFonts w:ascii="楷体" w:hAnsi="楷体" w:eastAsia="楷体"/>
                <w:szCs w:val="21"/>
              </w:rPr>
            </w:pPr>
            <w:r>
              <w:rPr>
                <w:rFonts w:hint="eastAsia" w:ascii="楷体" w:hAnsi="楷体" w:eastAsia="楷体"/>
                <w:szCs w:val="21"/>
              </w:rPr>
              <w:t>3. 对泄露应当保密的与建设工程项目招标投标活动有关的情况和资料行为的行政检查（交通运输领域）</w:t>
            </w:r>
          </w:p>
          <w:p>
            <w:pPr>
              <w:rPr>
                <w:rFonts w:ascii="楷体" w:hAnsi="楷体" w:eastAsia="楷体"/>
                <w:szCs w:val="21"/>
              </w:rPr>
            </w:pPr>
            <w:r>
              <w:rPr>
                <w:rFonts w:hint="eastAsia" w:ascii="楷体" w:hAnsi="楷体" w:eastAsia="楷体"/>
                <w:szCs w:val="21"/>
              </w:rPr>
              <w:t>4. 对建设工程项目投标人与他人串通投标或者以行贿手段中标等行为的行政检查</w:t>
            </w:r>
          </w:p>
          <w:p>
            <w:pPr>
              <w:rPr>
                <w:rFonts w:ascii="楷体" w:hAnsi="楷体" w:eastAsia="楷体"/>
                <w:szCs w:val="21"/>
              </w:rPr>
            </w:pPr>
            <w:r>
              <w:rPr>
                <w:rFonts w:hint="eastAsia" w:ascii="楷体" w:hAnsi="楷体" w:eastAsia="楷体"/>
                <w:szCs w:val="21"/>
              </w:rPr>
              <w:t>5. 对违反国家有关规定办理招标业务行为的行政检查</w:t>
            </w:r>
          </w:p>
          <w:p>
            <w:pPr>
              <w:rPr>
                <w:rFonts w:ascii="楷体" w:hAnsi="楷体" w:eastAsia="楷体"/>
                <w:szCs w:val="21"/>
              </w:rPr>
            </w:pPr>
            <w:r>
              <w:rPr>
                <w:rFonts w:hint="eastAsia" w:ascii="楷体" w:hAnsi="楷体" w:eastAsia="楷体"/>
                <w:szCs w:val="21"/>
              </w:rPr>
              <w:t>6. 对建设工程项目招标人向他人透露可能影响公平竞争的有关招标投标情况或者泄露标的的行为的行政检查</w:t>
            </w:r>
          </w:p>
          <w:p>
            <w:pPr>
              <w:rPr>
                <w:rFonts w:ascii="楷体" w:hAnsi="楷体" w:eastAsia="楷体"/>
                <w:szCs w:val="21"/>
              </w:rPr>
            </w:pPr>
            <w:r>
              <w:rPr>
                <w:rFonts w:hint="eastAsia" w:ascii="楷体" w:hAnsi="楷体" w:eastAsia="楷体"/>
                <w:szCs w:val="21"/>
              </w:rPr>
              <w:t>7. 对建设工程项目评标委员会委员不客观、不公正履行职务行为的行政检查（交通运输领域）</w:t>
            </w:r>
          </w:p>
          <w:p>
            <w:pPr>
              <w:rPr>
                <w:rFonts w:ascii="楷体" w:hAnsi="楷体" w:eastAsia="楷体"/>
                <w:szCs w:val="21"/>
              </w:rPr>
            </w:pPr>
            <w:r>
              <w:rPr>
                <w:rFonts w:hint="eastAsia" w:ascii="楷体" w:hAnsi="楷体" w:eastAsia="楷体"/>
                <w:szCs w:val="21"/>
              </w:rPr>
              <w:t>8. 对依法必须进行招标的项目，招标人违反规定，与投标人就实质内容进行谈判行为的行政检查（交通运输领域）</w:t>
            </w:r>
          </w:p>
          <w:p>
            <w:pPr>
              <w:rPr>
                <w:rFonts w:ascii="楷体" w:hAnsi="楷体" w:eastAsia="楷体"/>
                <w:szCs w:val="21"/>
              </w:rPr>
            </w:pPr>
            <w:r>
              <w:rPr>
                <w:rFonts w:hint="eastAsia" w:ascii="楷体" w:hAnsi="楷体" w:eastAsia="楷体"/>
                <w:szCs w:val="21"/>
              </w:rPr>
              <w:t>9. 对收受建设工程项目投标人好处，或透露信息行为的行政检查（交通运输领域）</w:t>
            </w:r>
          </w:p>
          <w:p>
            <w:pPr>
              <w:rPr>
                <w:rFonts w:ascii="楷体" w:hAnsi="楷体" w:eastAsia="楷体"/>
                <w:szCs w:val="21"/>
              </w:rPr>
            </w:pPr>
            <w:r>
              <w:rPr>
                <w:rFonts w:hint="eastAsia" w:ascii="楷体" w:hAnsi="楷体" w:eastAsia="楷体"/>
                <w:szCs w:val="21"/>
              </w:rPr>
              <w:t>10. 对建设工程项目招标人不按照规定组建评标委员会，或者违法确定、更换评标委员会成员行为的行政检查（交通运输领域）</w:t>
            </w:r>
          </w:p>
          <w:p>
            <w:pPr>
              <w:rPr>
                <w:rFonts w:ascii="楷体" w:hAnsi="楷体" w:eastAsia="楷体"/>
                <w:szCs w:val="21"/>
              </w:rPr>
            </w:pPr>
            <w:r>
              <w:rPr>
                <w:rFonts w:hint="eastAsia" w:ascii="楷体" w:hAnsi="楷体" w:eastAsia="楷体"/>
                <w:szCs w:val="21"/>
              </w:rPr>
              <w:t>11. 对建设工程项目招标人超额收取保证金或者不按规定退还保证金及利息行为的行政检查（交通运输领域）</w:t>
            </w:r>
          </w:p>
          <w:p>
            <w:pPr>
              <w:rPr>
                <w:rFonts w:ascii="楷体" w:hAnsi="楷体" w:eastAsia="楷体"/>
                <w:szCs w:val="21"/>
              </w:rPr>
            </w:pPr>
            <w:r>
              <w:rPr>
                <w:rFonts w:hint="eastAsia" w:ascii="楷体" w:hAnsi="楷体" w:eastAsia="楷体"/>
                <w:szCs w:val="21"/>
              </w:rPr>
              <w:t>12. 对建设工程项目招标人在评标委员会依法推荐的中标候选人以外确定中标人等行为的行政检查（交通运输领域）</w:t>
            </w:r>
          </w:p>
          <w:p>
            <w:pPr>
              <w:rPr>
                <w:rFonts w:ascii="楷体" w:hAnsi="楷体" w:eastAsia="楷体"/>
                <w:szCs w:val="21"/>
              </w:rPr>
            </w:pPr>
            <w:r>
              <w:rPr>
                <w:rFonts w:hint="eastAsia" w:ascii="楷体" w:hAnsi="楷体" w:eastAsia="楷体"/>
                <w:szCs w:val="21"/>
              </w:rPr>
              <w:t>13. 对建设工程项目招标人限制或排斥潜在投标人行为的行政检查（交通运输领域）</w:t>
            </w:r>
          </w:p>
          <w:p>
            <w:pPr>
              <w:rPr>
                <w:rFonts w:ascii="楷体" w:hAnsi="楷体" w:eastAsia="楷体"/>
                <w:szCs w:val="21"/>
              </w:rPr>
            </w:pPr>
            <w:r>
              <w:rPr>
                <w:rFonts w:hint="eastAsia" w:ascii="楷体" w:hAnsi="楷体" w:eastAsia="楷体"/>
                <w:szCs w:val="21"/>
              </w:rPr>
              <w:t>14. 对建设工程项目依法应当公开招标而采用邀请招标行为的行政检查（交通运输领域）</w:t>
            </w:r>
          </w:p>
          <w:p>
            <w:pPr>
              <w:rPr>
                <w:rFonts w:ascii="楷体" w:hAnsi="楷体" w:eastAsia="楷体"/>
                <w:szCs w:val="21"/>
              </w:rPr>
            </w:pPr>
            <w:r>
              <w:rPr>
                <w:rFonts w:hint="eastAsia" w:ascii="楷体" w:hAnsi="楷体" w:eastAsia="楷体"/>
                <w:szCs w:val="21"/>
              </w:rPr>
              <w:t>15. 对必须招标的项目建设工程单位弄虚作假骗取中标行为的行政检查（交通运输领域）</w:t>
            </w:r>
          </w:p>
          <w:p>
            <w:pPr>
              <w:rPr>
                <w:rFonts w:ascii="楷体" w:hAnsi="楷体" w:eastAsia="楷体"/>
                <w:szCs w:val="21"/>
              </w:rPr>
            </w:pPr>
            <w:r>
              <w:rPr>
                <w:rFonts w:hint="eastAsia" w:ascii="楷体" w:hAnsi="楷体" w:eastAsia="楷体"/>
                <w:szCs w:val="21"/>
              </w:rPr>
              <w:t>16. 对建设工程项目必须招标而不招标行为的行政检查（交通运输领域）</w:t>
            </w:r>
          </w:p>
          <w:p>
            <w:pPr>
              <w:rPr>
                <w:rFonts w:ascii="楷体" w:hAnsi="楷体" w:eastAsia="楷体"/>
                <w:szCs w:val="21"/>
              </w:rPr>
            </w:pPr>
            <w:r>
              <w:rPr>
                <w:rFonts w:hint="eastAsia" w:ascii="楷体" w:hAnsi="楷体" w:eastAsia="楷体"/>
                <w:szCs w:val="21"/>
              </w:rPr>
              <w:t>17. 对建设工程项目不按照规定发布资格预审公告或者招标公告行为的行政检查（交通运输领域）</w:t>
            </w:r>
          </w:p>
          <w:p>
            <w:pPr>
              <w:rPr>
                <w:rFonts w:ascii="楷体" w:hAnsi="楷体" w:eastAsia="楷体"/>
                <w:szCs w:val="21"/>
              </w:rPr>
            </w:pPr>
            <w:r>
              <w:rPr>
                <w:rFonts w:hint="eastAsia" w:ascii="楷体" w:hAnsi="楷体" w:eastAsia="楷体"/>
                <w:szCs w:val="21"/>
              </w:rPr>
              <w:t>18. 对建设工程从业单位不按招标文件和投标文件订立合同或者订立背离合同实质性内容的协议行为的行政检查（交通运输领域）</w:t>
            </w:r>
          </w:p>
          <w:p>
            <w:pPr>
              <w:rPr>
                <w:rFonts w:ascii="楷体" w:hAnsi="楷体" w:eastAsia="楷体"/>
                <w:szCs w:val="21"/>
              </w:rPr>
            </w:pPr>
            <w:r>
              <w:rPr>
                <w:rFonts w:hint="eastAsia" w:ascii="楷体" w:hAnsi="楷体" w:eastAsia="楷体"/>
                <w:szCs w:val="21"/>
              </w:rPr>
              <w:t>19. 对建设工程项目招标人接受未通过资格预审的单位或者个人参加投标行为的行政检查（交通运输领域）</w:t>
            </w:r>
          </w:p>
          <w:p>
            <w:pPr>
              <w:rPr>
                <w:rFonts w:ascii="楷体" w:hAnsi="楷体" w:eastAsia="楷体"/>
                <w:szCs w:val="21"/>
              </w:rPr>
            </w:pPr>
            <w:r>
              <w:rPr>
                <w:rFonts w:hint="eastAsia" w:ascii="楷体" w:hAnsi="楷体" w:eastAsia="楷体"/>
                <w:szCs w:val="21"/>
              </w:rPr>
              <w:t>20. 对建设工程项目招标人接受应当拒收的投标文件行为的行政检查（交通运输领域）</w:t>
            </w:r>
          </w:p>
          <w:p>
            <w:pPr>
              <w:rPr>
                <w:rFonts w:ascii="楷体" w:hAnsi="楷体" w:eastAsia="楷体"/>
                <w:szCs w:val="21"/>
              </w:rPr>
            </w:pPr>
            <w:r>
              <w:rPr>
                <w:rFonts w:hint="eastAsia" w:ascii="楷体" w:hAnsi="楷体" w:eastAsia="楷体"/>
                <w:szCs w:val="21"/>
              </w:rPr>
              <w:t>21. 对建设工程项目中标后不按规定履行后续流程行为的行政检查（交通运输领域）</w:t>
            </w:r>
          </w:p>
          <w:p>
            <w:pPr>
              <w:rPr>
                <w:rFonts w:ascii="楷体" w:hAnsi="楷体" w:eastAsia="楷体"/>
                <w:szCs w:val="21"/>
              </w:rPr>
            </w:pPr>
            <w:r>
              <w:rPr>
                <w:rFonts w:hint="eastAsia" w:ascii="楷体" w:hAnsi="楷体" w:eastAsia="楷体"/>
                <w:szCs w:val="21"/>
              </w:rPr>
              <w:t>22. 对建设工程项目投标资料时限不符合规定行为的行政检查（交通运输领域）</w:t>
            </w:r>
          </w:p>
          <w:p>
            <w:pPr>
              <w:rPr>
                <w:rFonts w:ascii="楷体" w:hAnsi="楷体" w:eastAsia="楷体"/>
                <w:szCs w:val="21"/>
              </w:rPr>
            </w:pPr>
            <w:r>
              <w:rPr>
                <w:rFonts w:hint="eastAsia" w:ascii="楷体" w:hAnsi="楷体" w:eastAsia="楷体"/>
                <w:szCs w:val="21"/>
              </w:rPr>
              <w:t>23. 对建设工程从业单位不按照合同履行义务，情节较为严重行为的行政检查（交通运输领域）</w:t>
            </w:r>
          </w:p>
          <w:p>
            <w:pPr>
              <w:rPr>
                <w:rFonts w:ascii="楷体" w:hAnsi="楷体" w:eastAsia="楷体"/>
                <w:szCs w:val="21"/>
              </w:rPr>
            </w:pPr>
            <w:r>
              <w:rPr>
                <w:rFonts w:hint="eastAsia" w:ascii="楷体" w:hAnsi="楷体" w:eastAsia="楷体"/>
                <w:szCs w:val="21"/>
              </w:rPr>
              <w:t>24. 对建设从业单位越级（无证）承揽工程行为的行政检查（交通运输领域）</w:t>
            </w:r>
          </w:p>
          <w:p>
            <w:pPr>
              <w:rPr>
                <w:rFonts w:ascii="楷体" w:hAnsi="楷体" w:eastAsia="楷体"/>
                <w:szCs w:val="21"/>
              </w:rPr>
            </w:pPr>
            <w:r>
              <w:rPr>
                <w:rFonts w:hint="eastAsia" w:ascii="楷体" w:hAnsi="楷体" w:eastAsia="楷体"/>
                <w:szCs w:val="21"/>
              </w:rPr>
              <w:t>25.对执业人员和其他专业技术人员不按规定受聘而从事建设工程勘察、设计活动行为的行政检查（交通运输领域）</w:t>
            </w:r>
          </w:p>
          <w:p>
            <w:pPr>
              <w:rPr>
                <w:rFonts w:ascii="楷体" w:hAnsi="楷体" w:eastAsia="楷体"/>
                <w:szCs w:val="21"/>
              </w:rPr>
            </w:pPr>
            <w:r>
              <w:rPr>
                <w:rFonts w:hint="eastAsia" w:ascii="楷体" w:hAnsi="楷体" w:eastAsia="楷体"/>
                <w:szCs w:val="21"/>
              </w:rPr>
              <w:t>26. 对建设工程项目肢解发包行为的行政检查（交通运输领域）</w:t>
            </w:r>
          </w:p>
          <w:p>
            <w:pPr>
              <w:rPr>
                <w:rFonts w:ascii="楷体" w:hAnsi="楷体" w:eastAsia="楷体"/>
                <w:szCs w:val="21"/>
              </w:rPr>
            </w:pPr>
            <w:r>
              <w:rPr>
                <w:rFonts w:hint="eastAsia" w:ascii="楷体" w:hAnsi="楷体" w:eastAsia="楷体"/>
                <w:szCs w:val="21"/>
              </w:rPr>
              <w:t>27. 对建设工程从业单位违法转分包行为的行政检查（交通运输领域）</w:t>
            </w:r>
          </w:p>
          <w:p>
            <w:pPr>
              <w:rPr>
                <w:rFonts w:ascii="楷体" w:hAnsi="楷体" w:eastAsia="楷体"/>
                <w:szCs w:val="21"/>
              </w:rPr>
            </w:pPr>
            <w:r>
              <w:rPr>
                <w:rFonts w:hint="eastAsia" w:ascii="楷体" w:hAnsi="楷体" w:eastAsia="楷体"/>
                <w:szCs w:val="21"/>
              </w:rPr>
              <w:t>28. 对建设工程建设单位将工程发包给不具备安全生产条件或者相应资质的单位或个人行为的行政检查（交通运输领域）</w:t>
            </w:r>
          </w:p>
          <w:p>
            <w:pPr>
              <w:rPr>
                <w:rFonts w:ascii="楷体" w:hAnsi="楷体" w:eastAsia="楷体"/>
                <w:szCs w:val="21"/>
              </w:rPr>
            </w:pPr>
            <w:r>
              <w:rPr>
                <w:rFonts w:hint="eastAsia" w:ascii="楷体" w:hAnsi="楷体" w:eastAsia="楷体"/>
                <w:szCs w:val="21"/>
              </w:rPr>
              <w:t>29. 对未经注册擅自以注册人员名义从事建设工程勘察、设计活动行为的行政检查（交通运输领域）</w:t>
            </w:r>
          </w:p>
          <w:p>
            <w:pPr>
              <w:rPr>
                <w:rFonts w:ascii="楷体" w:hAnsi="楷体" w:eastAsia="楷体"/>
                <w:szCs w:val="21"/>
              </w:rPr>
            </w:pPr>
            <w:r>
              <w:rPr>
                <w:rFonts w:hint="eastAsia" w:ascii="楷体" w:hAnsi="楷体" w:eastAsia="楷体"/>
                <w:szCs w:val="21"/>
              </w:rPr>
              <w:t>30. 对建设单位将工程业务发包给不具有相应资质等级的单位行为的行政检查（交通运输领域）</w:t>
            </w:r>
          </w:p>
          <w:p>
            <w:pPr>
              <w:rPr>
                <w:rFonts w:ascii="楷体" w:hAnsi="楷体" w:eastAsia="楷体"/>
                <w:szCs w:val="21"/>
              </w:rPr>
            </w:pPr>
            <w:r>
              <w:rPr>
                <w:rFonts w:hint="eastAsia" w:ascii="楷体" w:hAnsi="楷体" w:eastAsia="楷体"/>
                <w:szCs w:val="21"/>
              </w:rPr>
              <w:t>31.对建设工程项目招标中介机构与他人串通行为的行政检查（交通运输领域）</w:t>
            </w:r>
          </w:p>
          <w:p>
            <w:pPr>
              <w:rPr>
                <w:rFonts w:ascii="楷体" w:hAnsi="楷体" w:eastAsia="楷体"/>
                <w:szCs w:val="21"/>
              </w:rPr>
            </w:pPr>
            <w:r>
              <w:rPr>
                <w:rFonts w:hint="eastAsia" w:ascii="楷体" w:hAnsi="楷体" w:eastAsia="楷体"/>
                <w:szCs w:val="21"/>
              </w:rPr>
              <w:t>32.对建设从业单位出借资质行为的行政检查（交通运输领域）</w:t>
            </w:r>
          </w:p>
          <w:p>
            <w:pPr>
              <w:rPr>
                <w:rFonts w:ascii="楷体" w:hAnsi="楷体" w:eastAsia="楷体"/>
                <w:szCs w:val="21"/>
              </w:rPr>
            </w:pPr>
            <w:r>
              <w:rPr>
                <w:rFonts w:hint="eastAsia" w:ascii="楷体" w:hAnsi="楷体" w:eastAsia="楷体"/>
                <w:szCs w:val="21"/>
              </w:rPr>
              <w:t>33.对建设工程施工单位委托不具有相应资质的单位承担施工现场安装拆除施工起重机械和自升式架设设施等行为的行政检查（交通运输领域）</w:t>
            </w:r>
          </w:p>
          <w:p>
            <w:pPr>
              <w:rPr>
                <w:rFonts w:ascii="楷体" w:hAnsi="楷体" w:eastAsia="楷体"/>
                <w:szCs w:val="21"/>
              </w:rPr>
            </w:pPr>
            <w:r>
              <w:rPr>
                <w:rFonts w:hint="eastAsia" w:ascii="楷体" w:hAnsi="楷体" w:eastAsia="楷体"/>
                <w:szCs w:val="21"/>
              </w:rPr>
              <w:t>34. 对主要安全管理人员未按照规定经考核合格行为的行政检查</w:t>
            </w:r>
          </w:p>
          <w:p>
            <w:pPr>
              <w:rPr>
                <w:rFonts w:ascii="楷体" w:hAnsi="楷体" w:eastAsia="楷体"/>
                <w:szCs w:val="21"/>
              </w:rPr>
            </w:pPr>
            <w:r>
              <w:rPr>
                <w:rFonts w:hint="eastAsia" w:ascii="楷体" w:hAnsi="楷体" w:eastAsia="楷体"/>
                <w:szCs w:val="21"/>
              </w:rPr>
              <w:t>35. 对公路水运建设工程的安全生产监督检查行政检查</w:t>
            </w:r>
          </w:p>
          <w:p>
            <w:pPr>
              <w:rPr>
                <w:rFonts w:ascii="楷体" w:hAnsi="楷体" w:eastAsia="楷体"/>
                <w:szCs w:val="21"/>
              </w:rPr>
            </w:pPr>
            <w:r>
              <w:rPr>
                <w:rFonts w:hint="eastAsia" w:ascii="楷体" w:hAnsi="楷体" w:eastAsia="楷体"/>
                <w:szCs w:val="21"/>
              </w:rPr>
              <w:t>36. 对公路水运工程建设项目设计文件的行政检查</w:t>
            </w:r>
          </w:p>
          <w:p>
            <w:pPr>
              <w:rPr>
                <w:rFonts w:ascii="楷体" w:hAnsi="楷体" w:eastAsia="楷体"/>
                <w:szCs w:val="21"/>
              </w:rPr>
            </w:pPr>
          </w:p>
          <w:p>
            <w:pPr>
              <w:rPr>
                <w:rFonts w:ascii="楷体" w:hAnsi="楷体" w:eastAsia="楷体"/>
                <w:color w:val="FF0000"/>
                <w:szCs w:val="21"/>
                <w:u w:val="single"/>
              </w:rPr>
            </w:pPr>
          </w:p>
        </w:tc>
        <w:tc>
          <w:tcPr>
            <w:tcW w:w="1134" w:type="dxa"/>
            <w:vAlign w:val="center"/>
          </w:tcPr>
          <w:p>
            <w:pPr>
              <w:rPr>
                <w:rFonts w:ascii="楷体" w:hAnsi="楷体" w:eastAsia="楷体"/>
                <w:szCs w:val="21"/>
              </w:rPr>
            </w:pPr>
            <w:r>
              <w:rPr>
                <w:rFonts w:hint="eastAsia" w:ascii="楷体" w:hAnsi="楷体" w:eastAsia="楷体"/>
                <w:szCs w:val="21"/>
              </w:rPr>
              <w:t>公路工程建设项目</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自治区交通运输建设管理处指导，自治区交通运输综合行政执法局实施（自治区公路发展中心、自治区高速公路发展中心、自治区交通运输工程质量监测鉴定中心配合）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75" w:hRule="atLeast"/>
        </w:trPr>
        <w:tc>
          <w:tcPr>
            <w:tcW w:w="754" w:type="dxa"/>
            <w:vAlign w:val="center"/>
          </w:tcPr>
          <w:p>
            <w:pPr>
              <w:jc w:val="center"/>
              <w:rPr>
                <w:rFonts w:ascii="楷体" w:hAnsi="楷体" w:eastAsia="楷体"/>
                <w:szCs w:val="21"/>
              </w:rPr>
            </w:pPr>
            <w:r>
              <w:rPr>
                <w:rFonts w:hint="eastAsia" w:ascii="楷体" w:hAnsi="楷体" w:eastAsia="楷体"/>
                <w:szCs w:val="21"/>
              </w:rPr>
              <w:t>5</w:t>
            </w:r>
          </w:p>
        </w:tc>
        <w:tc>
          <w:tcPr>
            <w:tcW w:w="1055"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度对公路养护作业单位的抽查计划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对从事养护企业申报资质情况进行行政检查</w:t>
            </w: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广西区内从事公路养护作业的企业或个人</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自治区交通运输厅建设管理处指导，自治区交通运输综合行政执法局实施（自治区公路发展中心、高速公路发展中心配合）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8" w:hRule="atLeast"/>
        </w:trPr>
        <w:tc>
          <w:tcPr>
            <w:tcW w:w="754" w:type="dxa"/>
            <w:vAlign w:val="center"/>
          </w:tcPr>
          <w:p>
            <w:pPr>
              <w:jc w:val="center"/>
              <w:rPr>
                <w:rFonts w:ascii="楷体" w:hAnsi="楷体" w:eastAsia="楷体"/>
                <w:szCs w:val="21"/>
              </w:rPr>
            </w:pPr>
            <w:r>
              <w:rPr>
                <w:rFonts w:hint="eastAsia" w:ascii="楷体" w:hAnsi="楷体" w:eastAsia="楷体"/>
                <w:szCs w:val="21"/>
              </w:rPr>
              <w:t>6</w:t>
            </w:r>
          </w:p>
        </w:tc>
        <w:tc>
          <w:tcPr>
            <w:tcW w:w="1055"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度对水运工程监理单位的抽查计划（交通运输领域）</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1.对监理单位未严格落实安全监理责任，未依照法律、法规和工程建设强制性标准实施监理行为的行政检查（交通运输领域）</w:t>
            </w:r>
          </w:p>
          <w:p>
            <w:pPr>
              <w:rPr>
                <w:rFonts w:ascii="楷体" w:hAnsi="楷体" w:eastAsia="楷体"/>
                <w:szCs w:val="21"/>
              </w:rPr>
            </w:pPr>
            <w:r>
              <w:rPr>
                <w:rFonts w:hint="eastAsia" w:ascii="楷体" w:hAnsi="楷体" w:eastAsia="楷体"/>
                <w:szCs w:val="21"/>
              </w:rPr>
              <w:t>2. 对水运工程监理企业资质的行政检查</w:t>
            </w:r>
          </w:p>
          <w:p>
            <w:pPr>
              <w:rPr>
                <w:rFonts w:ascii="楷体" w:hAnsi="楷体" w:eastAsia="楷体"/>
                <w:szCs w:val="21"/>
              </w:rPr>
            </w:pPr>
            <w:r>
              <w:rPr>
                <w:rFonts w:hint="eastAsia" w:ascii="楷体" w:hAnsi="楷体" w:eastAsia="楷体"/>
                <w:szCs w:val="21"/>
              </w:rPr>
              <w:t>3. 对监理企业及监理现场工作的行政检查</w:t>
            </w:r>
          </w:p>
          <w:p>
            <w:pPr>
              <w:rPr>
                <w:rFonts w:ascii="楷体" w:hAnsi="楷体" w:eastAsia="楷体"/>
                <w:szCs w:val="21"/>
              </w:rPr>
            </w:pPr>
            <w:r>
              <w:rPr>
                <w:rFonts w:hint="eastAsia" w:ascii="楷体" w:hAnsi="楷体" w:eastAsia="楷体"/>
                <w:szCs w:val="21"/>
              </w:rPr>
              <w:t>4. 对建设从业单位越级（无证）承揽工程行为的行政检查（交通运输领域）</w:t>
            </w:r>
          </w:p>
          <w:p>
            <w:pPr>
              <w:rPr>
                <w:rFonts w:ascii="楷体" w:hAnsi="楷体" w:eastAsia="楷体"/>
                <w:szCs w:val="21"/>
              </w:rPr>
            </w:pPr>
            <w:r>
              <w:rPr>
                <w:rFonts w:hint="eastAsia" w:ascii="楷体" w:hAnsi="楷体" w:eastAsia="楷体"/>
                <w:szCs w:val="21"/>
              </w:rPr>
              <w:t>5. 对建设从业单位出借资质行为的行政检查（交通运输领域）</w:t>
            </w:r>
          </w:p>
          <w:p>
            <w:pPr>
              <w:rPr>
                <w:rFonts w:ascii="楷体" w:hAnsi="楷体" w:eastAsia="楷体"/>
                <w:szCs w:val="21"/>
              </w:rPr>
            </w:pPr>
            <w:r>
              <w:rPr>
                <w:rFonts w:hint="eastAsia" w:ascii="楷体" w:hAnsi="楷体" w:eastAsia="楷体"/>
                <w:szCs w:val="21"/>
              </w:rPr>
              <w:t>6. 对建设工程从业单位不按照合同履行义务，情节较为严重行为的行政检查（交通运输领域）</w:t>
            </w: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在区内水运工程项目从业的,持交通运输部水运工程监理资质的企业</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8" w:hRule="atLeast"/>
        </w:trPr>
        <w:tc>
          <w:tcPr>
            <w:tcW w:w="754" w:type="dxa"/>
            <w:vAlign w:val="center"/>
          </w:tcPr>
          <w:p>
            <w:pPr>
              <w:jc w:val="center"/>
              <w:rPr>
                <w:rFonts w:ascii="楷体" w:hAnsi="楷体" w:eastAsia="楷体"/>
                <w:szCs w:val="21"/>
              </w:rPr>
            </w:pPr>
            <w:r>
              <w:rPr>
                <w:rFonts w:hint="eastAsia" w:ascii="楷体" w:hAnsi="楷体" w:eastAsia="楷体"/>
                <w:szCs w:val="21"/>
              </w:rPr>
              <w:t>7</w:t>
            </w:r>
          </w:p>
        </w:tc>
        <w:tc>
          <w:tcPr>
            <w:tcW w:w="1055"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度对公路工程监理单位的抽查计划（交通运输领域）</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1.对监理单位未严格落实安全监理责任，未依照法律、法规和工程建设强制性标准实施监理行为的行政检查（交通运输领域）</w:t>
            </w:r>
          </w:p>
          <w:p>
            <w:pPr>
              <w:rPr>
                <w:rFonts w:ascii="楷体" w:hAnsi="楷体" w:eastAsia="楷体"/>
                <w:szCs w:val="21"/>
              </w:rPr>
            </w:pPr>
            <w:r>
              <w:rPr>
                <w:rFonts w:hint="eastAsia" w:ascii="楷体" w:hAnsi="楷体" w:eastAsia="楷体"/>
                <w:szCs w:val="21"/>
              </w:rPr>
              <w:t>2. 对监理企业及监理现场工作的行政检查</w:t>
            </w:r>
          </w:p>
          <w:p>
            <w:pPr>
              <w:rPr>
                <w:rFonts w:ascii="楷体" w:hAnsi="楷体" w:eastAsia="楷体"/>
                <w:szCs w:val="21"/>
              </w:rPr>
            </w:pPr>
            <w:r>
              <w:rPr>
                <w:rFonts w:hint="eastAsia" w:ascii="楷体" w:hAnsi="楷体" w:eastAsia="楷体"/>
                <w:szCs w:val="21"/>
              </w:rPr>
              <w:t>3. 对建设从业单位越级（无证）承揽工程行为的行政检查（交通运输领域）</w:t>
            </w:r>
          </w:p>
          <w:p>
            <w:pPr>
              <w:rPr>
                <w:rFonts w:ascii="楷体" w:hAnsi="楷体" w:eastAsia="楷体"/>
                <w:szCs w:val="21"/>
              </w:rPr>
            </w:pPr>
            <w:r>
              <w:rPr>
                <w:rFonts w:hint="eastAsia" w:ascii="楷体" w:hAnsi="楷体" w:eastAsia="楷体"/>
                <w:szCs w:val="21"/>
              </w:rPr>
              <w:t>4. 对建设从业单位出借资质行为的行政检查（交通运输领域）</w:t>
            </w:r>
          </w:p>
          <w:p>
            <w:pPr>
              <w:rPr>
                <w:rFonts w:ascii="楷体" w:hAnsi="楷体" w:eastAsia="楷体"/>
                <w:szCs w:val="21"/>
              </w:rPr>
            </w:pPr>
            <w:r>
              <w:rPr>
                <w:rFonts w:hint="eastAsia" w:ascii="楷体" w:hAnsi="楷体" w:eastAsia="楷体"/>
                <w:szCs w:val="21"/>
              </w:rPr>
              <w:t>5. 对建设工程从业单位不按照合同履行义务，情节较为严重行为的行政检查（交通运输领域）</w:t>
            </w:r>
          </w:p>
        </w:tc>
        <w:tc>
          <w:tcPr>
            <w:tcW w:w="1134" w:type="dxa"/>
            <w:vAlign w:val="center"/>
          </w:tcPr>
          <w:p>
            <w:pPr>
              <w:rPr>
                <w:rFonts w:ascii="楷体" w:hAnsi="楷体" w:eastAsia="楷体"/>
                <w:szCs w:val="21"/>
              </w:rPr>
            </w:pPr>
            <w:r>
              <w:rPr>
                <w:rFonts w:hint="eastAsia" w:ascii="楷体" w:hAnsi="楷体" w:eastAsia="楷体"/>
                <w:szCs w:val="21"/>
              </w:rPr>
              <w:t>在区内公路工程项目从业的,持交通运输部公路工程监理资质的企业</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4" w:hRule="atLeast"/>
        </w:trPr>
        <w:tc>
          <w:tcPr>
            <w:tcW w:w="754" w:type="dxa"/>
            <w:vAlign w:val="center"/>
          </w:tcPr>
          <w:p>
            <w:pPr>
              <w:jc w:val="center"/>
              <w:rPr>
                <w:rFonts w:ascii="楷体" w:hAnsi="楷体" w:eastAsia="楷体"/>
                <w:szCs w:val="21"/>
              </w:rPr>
            </w:pPr>
            <w:r>
              <w:rPr>
                <w:rFonts w:hint="eastAsia" w:ascii="楷体" w:hAnsi="楷体" w:eastAsia="楷体"/>
                <w:szCs w:val="21"/>
              </w:rPr>
              <w:t>8</w:t>
            </w:r>
          </w:p>
        </w:tc>
        <w:tc>
          <w:tcPr>
            <w:tcW w:w="1055"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度对水运工程试验检测机构的抽查计划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ind w:left="34"/>
              <w:rPr>
                <w:rFonts w:ascii="楷体" w:hAnsi="楷体" w:eastAsia="楷体"/>
                <w:szCs w:val="21"/>
              </w:rPr>
            </w:pPr>
            <w:r>
              <w:rPr>
                <w:rFonts w:hint="eastAsia" w:ascii="楷体" w:hAnsi="楷体" w:eastAsia="楷体"/>
                <w:szCs w:val="21"/>
              </w:rPr>
              <w:t>1.对公路水运工程试验检测机构标准规范执行、工作规范性、内部运行管理等情况的行政检查</w:t>
            </w:r>
          </w:p>
          <w:p>
            <w:pPr>
              <w:rPr>
                <w:rFonts w:ascii="楷体" w:hAnsi="楷体" w:eastAsia="楷体"/>
                <w:szCs w:val="21"/>
              </w:rPr>
            </w:pPr>
            <w:r>
              <w:rPr>
                <w:rFonts w:hint="eastAsia" w:ascii="楷体" w:hAnsi="楷体" w:eastAsia="楷体"/>
                <w:szCs w:val="21"/>
              </w:rPr>
              <w:t>2. 对建设从业单位越级（无证）承揽工程行为的行政检查（交通运输领域）</w:t>
            </w:r>
          </w:p>
          <w:p>
            <w:pPr>
              <w:rPr>
                <w:rFonts w:ascii="楷体" w:hAnsi="楷体" w:eastAsia="楷体"/>
                <w:szCs w:val="21"/>
              </w:rPr>
            </w:pPr>
            <w:r>
              <w:rPr>
                <w:rFonts w:hint="eastAsia" w:ascii="楷体" w:hAnsi="楷体" w:eastAsia="楷体"/>
                <w:szCs w:val="21"/>
              </w:rPr>
              <w:t>3.对建设从业单位出借资质行为的行政检查（交通运输领域）</w:t>
            </w:r>
          </w:p>
          <w:p>
            <w:pPr>
              <w:rPr>
                <w:rFonts w:ascii="楷体" w:hAnsi="楷体" w:eastAsia="楷体"/>
                <w:szCs w:val="21"/>
              </w:rPr>
            </w:pPr>
            <w:r>
              <w:rPr>
                <w:rFonts w:hint="eastAsia" w:ascii="楷体" w:hAnsi="楷体" w:eastAsia="楷体"/>
                <w:szCs w:val="21"/>
              </w:rPr>
              <w:t>4. 对建设工程从业单位不按照合同履行义务，情节较为严重行为的行政检查（交通运输领域）</w:t>
            </w:r>
          </w:p>
        </w:tc>
        <w:tc>
          <w:tcPr>
            <w:tcW w:w="1134" w:type="dxa"/>
            <w:vAlign w:val="center"/>
          </w:tcPr>
          <w:p>
            <w:pPr>
              <w:rPr>
                <w:rFonts w:ascii="楷体" w:hAnsi="楷体" w:eastAsia="楷体"/>
                <w:szCs w:val="21"/>
              </w:rPr>
            </w:pPr>
            <w:r>
              <w:rPr>
                <w:rFonts w:hint="eastAsia" w:ascii="楷体" w:hAnsi="楷体" w:eastAsia="楷体"/>
                <w:szCs w:val="21"/>
              </w:rPr>
              <w:t>在区内水运工程项目从业的,持交通运输部水运工程试验检测资质的机构</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9</w:t>
            </w:r>
          </w:p>
        </w:tc>
        <w:tc>
          <w:tcPr>
            <w:tcW w:w="1055"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度对公路工程试验检测机构的抽查计划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ind w:left="34"/>
              <w:rPr>
                <w:rFonts w:ascii="楷体" w:hAnsi="楷体" w:eastAsia="楷体"/>
                <w:szCs w:val="21"/>
              </w:rPr>
            </w:pPr>
            <w:r>
              <w:rPr>
                <w:rFonts w:hint="eastAsia" w:ascii="楷体" w:hAnsi="楷体" w:eastAsia="楷体"/>
                <w:szCs w:val="21"/>
              </w:rPr>
              <w:t>1.对公路水运工程试验检测机构标准规范执行、工作规范性、内部运行管理等情况的行政检查</w:t>
            </w:r>
          </w:p>
          <w:p>
            <w:pPr>
              <w:rPr>
                <w:rFonts w:ascii="楷体" w:hAnsi="楷体" w:eastAsia="楷体"/>
                <w:szCs w:val="21"/>
              </w:rPr>
            </w:pPr>
            <w:r>
              <w:rPr>
                <w:rFonts w:hint="eastAsia" w:ascii="楷体" w:hAnsi="楷体" w:eastAsia="楷体"/>
                <w:szCs w:val="21"/>
              </w:rPr>
              <w:t>2. 对建设从业单位越级（无证）承揽工程行为的行政检查（交通运输领域）</w:t>
            </w:r>
          </w:p>
          <w:p>
            <w:pPr>
              <w:rPr>
                <w:rFonts w:ascii="楷体" w:hAnsi="楷体" w:eastAsia="楷体"/>
                <w:szCs w:val="21"/>
              </w:rPr>
            </w:pPr>
            <w:r>
              <w:rPr>
                <w:rFonts w:hint="eastAsia" w:ascii="楷体" w:hAnsi="楷体" w:eastAsia="楷体"/>
                <w:szCs w:val="21"/>
              </w:rPr>
              <w:t>3.对建设从业单位出借资质行为的行政检查（交通运输领域）</w:t>
            </w:r>
          </w:p>
          <w:p>
            <w:pPr>
              <w:rPr>
                <w:rFonts w:ascii="楷体" w:hAnsi="楷体" w:eastAsia="楷体"/>
                <w:szCs w:val="21"/>
              </w:rPr>
            </w:pPr>
            <w:r>
              <w:rPr>
                <w:rFonts w:hint="eastAsia" w:ascii="楷体" w:hAnsi="楷体" w:eastAsia="楷体"/>
                <w:szCs w:val="21"/>
              </w:rPr>
              <w:t>4. 对建设工程从业单位不按照合同履行义务，情节较为严重行为的行政检查（交通运输领域）</w:t>
            </w: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在区内公路工程项目从业的,持交通运输部公路工程试验检测资质的机构</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10</w:t>
            </w:r>
          </w:p>
        </w:tc>
        <w:tc>
          <w:tcPr>
            <w:tcW w:w="1055" w:type="dxa"/>
            <w:vAlign w:val="center"/>
          </w:tcPr>
          <w:p>
            <w:pPr>
              <w:jc w:val="center"/>
              <w:rPr>
                <w:rFonts w:ascii="楷体" w:hAnsi="楷体" w:eastAsia="楷体"/>
                <w:szCs w:val="21"/>
              </w:rPr>
            </w:pPr>
            <w:r>
              <w:rPr>
                <w:rFonts w:hint="eastAsia" w:ascii="楷体" w:hAnsi="楷体" w:eastAsia="楷体" w:cs="仿宋_GB2312"/>
                <w:szCs w:val="21"/>
                <w:lang w:eastAsia="zh-CN"/>
              </w:rPr>
              <w:t>2024年</w:t>
            </w:r>
            <w:r>
              <w:rPr>
                <w:rFonts w:hint="eastAsia" w:ascii="楷体" w:hAnsi="楷体" w:eastAsia="楷体" w:cs="仿宋_GB2312"/>
                <w:szCs w:val="21"/>
              </w:rPr>
              <w:t>对危害航道通航安全行为的抽查计划</w:t>
            </w:r>
          </w:p>
        </w:tc>
        <w:tc>
          <w:tcPr>
            <w:tcW w:w="1134" w:type="dxa"/>
            <w:vAlign w:val="center"/>
          </w:tcPr>
          <w:p>
            <w:pPr>
              <w:jc w:val="center"/>
              <w:rPr>
                <w:rFonts w:ascii="楷体" w:hAnsi="楷体" w:eastAsia="楷体"/>
                <w:szCs w:val="21"/>
              </w:rPr>
            </w:pPr>
            <w:r>
              <w:rPr>
                <w:rFonts w:hint="eastAsia" w:ascii="楷体" w:hAnsi="楷体" w:eastAsia="楷体"/>
                <w:szCs w:val="21"/>
              </w:rPr>
              <w:t>定向抽查</w:t>
            </w:r>
          </w:p>
        </w:tc>
        <w:tc>
          <w:tcPr>
            <w:tcW w:w="5670" w:type="dxa"/>
          </w:tcPr>
          <w:p>
            <w:pPr>
              <w:rPr>
                <w:rFonts w:ascii="楷体" w:hAnsi="楷体" w:eastAsia="楷体"/>
                <w:szCs w:val="21"/>
              </w:rPr>
            </w:pPr>
            <w:r>
              <w:rPr>
                <w:rFonts w:hint="eastAsia" w:ascii="楷体" w:hAnsi="楷体" w:eastAsia="楷体"/>
                <w:szCs w:val="21"/>
              </w:rPr>
              <w:t>1.对与航道有关的工程建设项目对航道通航条件影响评价的行政检查</w:t>
            </w:r>
          </w:p>
          <w:p>
            <w:pPr>
              <w:rPr>
                <w:rFonts w:ascii="楷体" w:hAnsi="楷体" w:eastAsia="楷体"/>
                <w:szCs w:val="21"/>
              </w:rPr>
            </w:pPr>
            <w:r>
              <w:rPr>
                <w:rFonts w:hint="eastAsia" w:ascii="楷体" w:hAnsi="楷体" w:eastAsia="楷体"/>
                <w:szCs w:val="21"/>
              </w:rPr>
              <w:t>2.对违反航道通航条件影响评价的规定建成的项目导致航道通航条件严重下降的，逾期未采取补救措施或者拆除行为的行政检查</w:t>
            </w:r>
          </w:p>
          <w:p>
            <w:pPr>
              <w:rPr>
                <w:rFonts w:ascii="楷体" w:hAnsi="楷体" w:eastAsia="楷体"/>
                <w:szCs w:val="21"/>
              </w:rPr>
            </w:pPr>
            <w:r>
              <w:rPr>
                <w:rFonts w:hint="eastAsia" w:ascii="楷体" w:hAnsi="楷体" w:eastAsia="楷体"/>
                <w:szCs w:val="21"/>
              </w:rPr>
              <w:t>3. 对专用航标设置、撤除、位置移动和其他状况改变情况的行政检查</w:t>
            </w:r>
          </w:p>
          <w:p>
            <w:pPr>
              <w:rPr>
                <w:rFonts w:ascii="楷体" w:hAnsi="楷体" w:eastAsia="楷体"/>
                <w:szCs w:val="21"/>
              </w:rPr>
            </w:pPr>
            <w:r>
              <w:rPr>
                <w:rFonts w:hint="eastAsia" w:ascii="楷体" w:hAnsi="楷体" w:eastAsia="楷体"/>
                <w:bCs/>
                <w:szCs w:val="21"/>
              </w:rPr>
              <w:t>4.</w:t>
            </w:r>
            <w:r>
              <w:rPr>
                <w:rFonts w:hint="eastAsia" w:ascii="楷体" w:hAnsi="楷体" w:eastAsia="楷体"/>
                <w:szCs w:val="21"/>
              </w:rPr>
              <w:t xml:space="preserve"> 对未及时清除影响航道通航条件的临时设施及其残留物行为的行政检查</w:t>
            </w:r>
          </w:p>
          <w:p>
            <w:pPr>
              <w:rPr>
                <w:rFonts w:ascii="楷体" w:hAnsi="楷体" w:eastAsia="楷体"/>
                <w:szCs w:val="21"/>
              </w:rPr>
            </w:pPr>
          </w:p>
        </w:tc>
        <w:tc>
          <w:tcPr>
            <w:tcW w:w="1134" w:type="dxa"/>
            <w:vAlign w:val="center"/>
          </w:tcPr>
          <w:p>
            <w:pPr>
              <w:jc w:val="center"/>
              <w:rPr>
                <w:rFonts w:ascii="楷体" w:hAnsi="楷体" w:eastAsia="楷体"/>
                <w:szCs w:val="21"/>
              </w:rPr>
            </w:pPr>
            <w:r>
              <w:rPr>
                <w:rFonts w:hint="eastAsia" w:ascii="楷体" w:hAnsi="楷体" w:eastAsia="楷体" w:cs="仿宋_GB2312"/>
                <w:szCs w:val="21"/>
              </w:rPr>
              <w:t>建设与航道有关的工程的单位和个人</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bookmarkStart w:id="1" w:name="RANGE!F4"/>
            <w:r>
              <w:rPr>
                <w:rFonts w:hint="eastAsia" w:ascii="楷体" w:hAnsi="楷体" w:eastAsia="楷体"/>
                <w:szCs w:val="21"/>
              </w:rPr>
              <w:t>自治区交通运输厅水运管理处指导，自治区交通运输综合行政执法局实施（自治区港航发展中心</w:t>
            </w:r>
            <w:bookmarkEnd w:id="1"/>
            <w:r>
              <w:rPr>
                <w:rFonts w:hint="eastAsia" w:ascii="楷体" w:hAnsi="楷体" w:eastAsia="楷体"/>
                <w:szCs w:val="21"/>
              </w:rPr>
              <w:t>配合）</w:t>
            </w:r>
          </w:p>
        </w:tc>
        <w:tc>
          <w:tcPr>
            <w:tcW w:w="686" w:type="dxa"/>
            <w:vAlign w:val="center"/>
          </w:tcPr>
          <w:p>
            <w:pPr>
              <w:rPr>
                <w:rFonts w:ascii="楷体" w:hAnsi="楷体" w:eastAsia="楷体"/>
                <w:szCs w:val="21"/>
              </w:rPr>
            </w:pPr>
            <w:r>
              <w:rPr>
                <w:rFonts w:hint="eastAsia" w:ascii="楷体" w:hAnsi="楷体" w:eastAsia="楷体" w:cs="仿宋_GB2312"/>
                <w:szCs w:val="21"/>
              </w:rPr>
              <w:t>不低于20%</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11</w:t>
            </w:r>
          </w:p>
        </w:tc>
        <w:tc>
          <w:tcPr>
            <w:tcW w:w="1055" w:type="dxa"/>
            <w:vAlign w:val="center"/>
          </w:tcPr>
          <w:p>
            <w:pPr>
              <w:jc w:val="center"/>
              <w:rPr>
                <w:rFonts w:ascii="楷体" w:hAnsi="楷体" w:eastAsia="楷体"/>
                <w:szCs w:val="21"/>
              </w:rPr>
            </w:pPr>
            <w:r>
              <w:rPr>
                <w:rFonts w:hint="eastAsia" w:ascii="楷体" w:hAnsi="楷体" w:eastAsia="楷体" w:cs="仿宋_GB2312"/>
                <w:szCs w:val="21"/>
                <w:lang w:eastAsia="zh-CN"/>
              </w:rPr>
              <w:t>2024年</w:t>
            </w:r>
            <w:r>
              <w:rPr>
                <w:rFonts w:hint="eastAsia" w:ascii="楷体" w:hAnsi="楷体" w:eastAsia="楷体" w:cs="仿宋_GB2312"/>
                <w:szCs w:val="21"/>
              </w:rPr>
              <w:t>对大件运输审批的抽查计划</w:t>
            </w:r>
          </w:p>
        </w:tc>
        <w:tc>
          <w:tcPr>
            <w:tcW w:w="1134" w:type="dxa"/>
            <w:vAlign w:val="center"/>
          </w:tcPr>
          <w:p>
            <w:pPr>
              <w:jc w:val="cente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对大件运输行政审批的行政检查</w:t>
            </w:r>
          </w:p>
        </w:tc>
        <w:tc>
          <w:tcPr>
            <w:tcW w:w="1134" w:type="dxa"/>
            <w:vAlign w:val="center"/>
          </w:tcPr>
          <w:p>
            <w:pPr>
              <w:jc w:val="center"/>
              <w:rPr>
                <w:rFonts w:ascii="楷体" w:hAnsi="楷体" w:eastAsia="楷体"/>
                <w:szCs w:val="21"/>
              </w:rPr>
            </w:pPr>
            <w:r>
              <w:rPr>
                <w:rFonts w:hint="eastAsia" w:ascii="楷体" w:hAnsi="楷体" w:eastAsia="楷体"/>
                <w:szCs w:val="21"/>
              </w:rPr>
              <w:t>区内从事大件运输的企业</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hint="default" w:ascii="楷体" w:hAnsi="楷体" w:eastAsia="楷体"/>
                <w:szCs w:val="21"/>
                <w:lang w:val="en-US" w:eastAsia="zh-CN"/>
              </w:rPr>
            </w:pPr>
            <w:r>
              <w:rPr>
                <w:rFonts w:hint="eastAsia" w:ascii="楷体" w:hAnsi="楷体" w:eastAsia="楷体"/>
                <w:szCs w:val="21"/>
              </w:rPr>
              <w:t>网络检查</w:t>
            </w:r>
            <w:r>
              <w:rPr>
                <w:rFonts w:hint="eastAsia" w:ascii="楷体" w:hAnsi="楷体" w:eastAsia="楷体"/>
                <w:szCs w:val="21"/>
                <w:lang w:eastAsia="zh-CN"/>
              </w:rPr>
              <w:t>、</w:t>
            </w:r>
            <w:r>
              <w:rPr>
                <w:rFonts w:hint="eastAsia" w:ascii="楷体" w:hAnsi="楷体" w:eastAsia="楷体"/>
                <w:szCs w:val="21"/>
                <w:lang w:val="en-US" w:eastAsia="zh-CN"/>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自治区交通运输综合行政执法局实施（自治区公路发展中心、自治区高速公路发展中心配合）</w:t>
            </w:r>
          </w:p>
        </w:tc>
        <w:tc>
          <w:tcPr>
            <w:tcW w:w="686" w:type="dxa"/>
            <w:vAlign w:val="center"/>
          </w:tcPr>
          <w:p>
            <w:pPr>
              <w:rPr>
                <w:rFonts w:ascii="楷体" w:hAnsi="楷体" w:eastAsia="楷体"/>
                <w:szCs w:val="21"/>
              </w:rPr>
            </w:pPr>
            <w:r>
              <w:rPr>
                <w:rFonts w:hint="eastAsia" w:ascii="楷体" w:hAnsi="楷体" w:eastAsia="楷体" w:cs="仿宋_GB2312"/>
                <w:szCs w:val="21"/>
                <w:highlight w:val="none"/>
              </w:rPr>
              <w:t>不低于</w:t>
            </w:r>
            <w:r>
              <w:rPr>
                <w:rFonts w:hint="eastAsia" w:ascii="楷体" w:hAnsi="楷体" w:eastAsia="楷体" w:cs="仿宋_GB2312"/>
                <w:szCs w:val="21"/>
                <w:highlight w:val="none"/>
                <w:lang w:val="en-US" w:eastAsia="zh-CN"/>
              </w:rPr>
              <w:t>3</w:t>
            </w:r>
            <w:r>
              <w:rPr>
                <w:rFonts w:hint="eastAsia" w:ascii="楷体" w:hAnsi="楷体" w:eastAsia="楷体" w:cs="仿宋_GB2312"/>
                <w:szCs w:val="21"/>
                <w:highlight w:val="none"/>
              </w:rPr>
              <w:t>%</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12</w:t>
            </w:r>
          </w:p>
        </w:tc>
        <w:tc>
          <w:tcPr>
            <w:tcW w:w="1055" w:type="dxa"/>
            <w:vAlign w:val="center"/>
          </w:tcPr>
          <w:p>
            <w:pPr>
              <w:jc w:val="center"/>
              <w:rPr>
                <w:rFonts w:ascii="楷体" w:hAnsi="楷体" w:eastAsia="楷体" w:cs="仿宋_GB2312"/>
                <w:szCs w:val="21"/>
              </w:rPr>
            </w:pPr>
            <w:r>
              <w:rPr>
                <w:rFonts w:hint="eastAsia" w:ascii="楷体" w:hAnsi="楷体" w:eastAsia="楷体" w:cs="仿宋_GB2312"/>
                <w:szCs w:val="21"/>
                <w:lang w:eastAsia="zh-CN"/>
              </w:rPr>
              <w:t>2024年</w:t>
            </w:r>
            <w:r>
              <w:rPr>
                <w:rFonts w:hint="eastAsia" w:ascii="楷体" w:hAnsi="楷体" w:eastAsia="楷体" w:cs="仿宋_GB2312"/>
                <w:szCs w:val="21"/>
              </w:rPr>
              <w:t>对</w:t>
            </w:r>
            <w:r>
              <w:rPr>
                <w:rFonts w:hint="eastAsia" w:ascii="楷体" w:hAnsi="楷体" w:eastAsia="楷体"/>
                <w:szCs w:val="21"/>
              </w:rPr>
              <w:t>高速公路运营企业</w:t>
            </w:r>
            <w:r>
              <w:rPr>
                <w:rFonts w:hint="eastAsia" w:ascii="楷体" w:hAnsi="楷体" w:eastAsia="楷体" w:cs="仿宋_GB2312"/>
                <w:szCs w:val="21"/>
              </w:rPr>
              <w:t>的抽查计划</w:t>
            </w:r>
          </w:p>
        </w:tc>
        <w:tc>
          <w:tcPr>
            <w:tcW w:w="1134" w:type="dxa"/>
            <w:vAlign w:val="center"/>
          </w:tcPr>
          <w:p>
            <w:pPr>
              <w:jc w:val="cente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1.对高速公路运营企业履行安全生产主体责任的行政检查</w:t>
            </w:r>
          </w:p>
          <w:p>
            <w:pPr>
              <w:rPr>
                <w:rFonts w:ascii="楷体" w:hAnsi="楷体" w:eastAsia="楷体"/>
                <w:szCs w:val="21"/>
              </w:rPr>
            </w:pPr>
            <w:r>
              <w:rPr>
                <w:rFonts w:hint="eastAsia" w:ascii="楷体" w:hAnsi="楷体" w:eastAsia="楷体"/>
                <w:szCs w:val="21"/>
              </w:rPr>
              <w:t>2.对高速公路运营企业按规定履行养护职责行为的行政检查</w:t>
            </w:r>
          </w:p>
        </w:tc>
        <w:tc>
          <w:tcPr>
            <w:tcW w:w="1134" w:type="dxa"/>
            <w:vAlign w:val="center"/>
          </w:tcPr>
          <w:p>
            <w:pPr>
              <w:jc w:val="center"/>
              <w:rPr>
                <w:rFonts w:ascii="楷体" w:hAnsi="楷体" w:eastAsia="楷体"/>
                <w:szCs w:val="21"/>
              </w:rPr>
            </w:pPr>
            <w:r>
              <w:rPr>
                <w:rFonts w:hint="eastAsia" w:ascii="楷体" w:hAnsi="楷体" w:eastAsia="楷体"/>
                <w:szCs w:val="21"/>
              </w:rPr>
              <w:t>区内高速公路运营企业</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自治区交通运输综合行政执法局实施（自治区高速公路发展中心配合）</w:t>
            </w:r>
          </w:p>
        </w:tc>
        <w:tc>
          <w:tcPr>
            <w:tcW w:w="686" w:type="dxa"/>
            <w:vAlign w:val="center"/>
          </w:tcPr>
          <w:p>
            <w:pPr>
              <w:rPr>
                <w:rFonts w:ascii="楷体" w:hAnsi="楷体" w:eastAsia="楷体" w:cs="仿宋_GB2312"/>
                <w:szCs w:val="21"/>
              </w:rPr>
            </w:pPr>
            <w:r>
              <w:rPr>
                <w:rFonts w:hint="eastAsia" w:ascii="楷体" w:hAnsi="楷体" w:eastAsia="楷体" w:cs="仿宋_GB2312"/>
                <w:szCs w:val="21"/>
                <w:highlight w:val="none"/>
              </w:rPr>
              <w:t>不低于</w:t>
            </w:r>
            <w:r>
              <w:rPr>
                <w:rFonts w:hint="eastAsia" w:ascii="楷体" w:hAnsi="楷体" w:eastAsia="楷体" w:cs="仿宋_GB2312"/>
                <w:szCs w:val="21"/>
                <w:highlight w:val="none"/>
                <w:lang w:val="en-US" w:eastAsia="zh-CN"/>
              </w:rPr>
              <w:t>2</w:t>
            </w:r>
            <w:r>
              <w:rPr>
                <w:rFonts w:hint="eastAsia" w:ascii="楷体" w:hAnsi="楷体" w:eastAsia="楷体" w:cs="仿宋_GB2312"/>
                <w:szCs w:val="21"/>
                <w:highlight w:val="none"/>
              </w:rPr>
              <w:t>0%</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13</w:t>
            </w:r>
          </w:p>
        </w:tc>
        <w:tc>
          <w:tcPr>
            <w:tcW w:w="1055" w:type="dxa"/>
            <w:vAlign w:val="center"/>
          </w:tcPr>
          <w:p>
            <w:pPr>
              <w:jc w:val="center"/>
              <w:rPr>
                <w:rFonts w:ascii="楷体" w:hAnsi="楷体" w:eastAsia="楷体" w:cs="仿宋_GB2312"/>
                <w:szCs w:val="21"/>
              </w:rPr>
            </w:pPr>
            <w:r>
              <w:rPr>
                <w:rFonts w:hint="eastAsia" w:ascii="楷体" w:hAnsi="楷体" w:eastAsia="楷体" w:cs="仿宋_GB2312"/>
                <w:szCs w:val="21"/>
                <w:lang w:eastAsia="zh-CN"/>
              </w:rPr>
              <w:t>2024年</w:t>
            </w:r>
            <w:r>
              <w:rPr>
                <w:rFonts w:hint="eastAsia" w:ascii="楷体" w:hAnsi="楷体" w:eastAsia="楷体" w:cs="仿宋_GB2312"/>
                <w:szCs w:val="21"/>
              </w:rPr>
              <w:t>对涉路施工活动的抽查计划</w:t>
            </w:r>
          </w:p>
          <w:p>
            <w:pPr>
              <w:jc w:val="center"/>
              <w:rPr>
                <w:rFonts w:ascii="楷体" w:hAnsi="楷体" w:eastAsia="楷体" w:cs="仿宋_GB2312"/>
                <w:szCs w:val="21"/>
              </w:rPr>
            </w:pPr>
          </w:p>
        </w:tc>
        <w:tc>
          <w:tcPr>
            <w:tcW w:w="1134" w:type="dxa"/>
            <w:vAlign w:val="center"/>
          </w:tcPr>
          <w:p>
            <w:pPr>
              <w:jc w:val="cente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1.对占用、挖掘公路、公路用地或者使公路改线审批的行政检查</w:t>
            </w:r>
          </w:p>
          <w:p>
            <w:pPr>
              <w:rPr>
                <w:rFonts w:ascii="楷体" w:hAnsi="楷体" w:eastAsia="楷体"/>
                <w:szCs w:val="21"/>
              </w:rPr>
            </w:pPr>
            <w:r>
              <w:rPr>
                <w:rFonts w:hint="eastAsia" w:ascii="楷体" w:hAnsi="楷体" w:eastAsia="楷体"/>
                <w:szCs w:val="21"/>
              </w:rPr>
              <w:t>2.对设置非公路标志审批的行政检查</w:t>
            </w:r>
          </w:p>
          <w:p>
            <w:pPr>
              <w:rPr>
                <w:rFonts w:ascii="楷体" w:hAnsi="楷体" w:eastAsia="楷体"/>
                <w:szCs w:val="21"/>
              </w:rPr>
            </w:pPr>
            <w:r>
              <w:rPr>
                <w:rFonts w:hint="eastAsia" w:ascii="楷体" w:hAnsi="楷体" w:eastAsia="楷体"/>
                <w:szCs w:val="21"/>
              </w:rPr>
              <w:t>3.对在公路增设或改造平面交叉道口审批的行政检查</w:t>
            </w:r>
          </w:p>
          <w:p>
            <w:pPr>
              <w:rPr>
                <w:rFonts w:ascii="楷体" w:hAnsi="楷体" w:eastAsia="楷体"/>
                <w:szCs w:val="21"/>
              </w:rPr>
            </w:pPr>
          </w:p>
        </w:tc>
        <w:tc>
          <w:tcPr>
            <w:tcW w:w="1134" w:type="dxa"/>
            <w:vAlign w:val="center"/>
          </w:tcPr>
          <w:p>
            <w:pPr>
              <w:jc w:val="center"/>
              <w:rPr>
                <w:rFonts w:ascii="楷体" w:hAnsi="楷体" w:eastAsia="楷体"/>
                <w:szCs w:val="21"/>
              </w:rPr>
            </w:pPr>
            <w:r>
              <w:rPr>
                <w:rFonts w:ascii="楷体" w:hAnsi="楷体" w:eastAsia="楷体"/>
                <w:szCs w:val="21"/>
              </w:rPr>
              <w:t>涉路</w:t>
            </w:r>
            <w:r>
              <w:rPr>
                <w:rFonts w:hint="eastAsia" w:ascii="楷体" w:hAnsi="楷体" w:eastAsia="楷体"/>
                <w:szCs w:val="21"/>
              </w:rPr>
              <w:t>施工活动申请人</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自治区交通运输综合行政执法局实施（自治区高速公路发展中心配合）</w:t>
            </w:r>
          </w:p>
        </w:tc>
        <w:tc>
          <w:tcPr>
            <w:tcW w:w="686" w:type="dxa"/>
            <w:vAlign w:val="center"/>
          </w:tcPr>
          <w:p>
            <w:pPr>
              <w:rPr>
                <w:rFonts w:ascii="楷体" w:hAnsi="楷体" w:eastAsia="楷体" w:cs="仿宋_GB2312"/>
                <w:szCs w:val="21"/>
              </w:rPr>
            </w:pPr>
            <w:r>
              <w:rPr>
                <w:rFonts w:hint="eastAsia" w:ascii="楷体" w:hAnsi="楷体" w:eastAsia="楷体" w:cs="仿宋_GB2312"/>
                <w:szCs w:val="21"/>
                <w:highlight w:val="none"/>
              </w:rPr>
              <w:t>不低于</w:t>
            </w:r>
            <w:r>
              <w:rPr>
                <w:rFonts w:hint="eastAsia" w:ascii="楷体" w:hAnsi="楷体" w:eastAsia="楷体" w:cs="仿宋_GB2312"/>
                <w:szCs w:val="21"/>
                <w:highlight w:val="none"/>
                <w:lang w:val="en-US" w:eastAsia="zh-CN"/>
              </w:rPr>
              <w:t>10</w:t>
            </w:r>
            <w:r>
              <w:rPr>
                <w:rFonts w:hint="eastAsia" w:ascii="楷体" w:hAnsi="楷体" w:eastAsia="楷体" w:cs="仿宋_GB2312"/>
                <w:szCs w:val="21"/>
                <w:highlight w:val="none"/>
              </w:rPr>
              <w:t>%</w:t>
            </w:r>
          </w:p>
        </w:tc>
        <w:tc>
          <w:tcPr>
            <w:tcW w:w="708" w:type="dxa"/>
            <w:vAlign w:val="center"/>
          </w:tcPr>
          <w:p>
            <w:pPr>
              <w:rPr>
                <w:rFonts w:ascii="楷体" w:hAnsi="楷体" w:eastAsia="楷体"/>
                <w:szCs w:val="21"/>
              </w:rPr>
            </w:pPr>
            <w:r>
              <w:rPr>
                <w:rFonts w:hint="eastAsia" w:ascii="楷体" w:hAnsi="楷体" w:eastAsia="楷体"/>
                <w:szCs w:val="21"/>
                <w:lang w:eastAsia="zh-CN"/>
              </w:rPr>
              <w:t>2024年</w:t>
            </w:r>
            <w:r>
              <w:rPr>
                <w:rFonts w:hint="eastAsia" w:ascii="楷体" w:hAnsi="楷体" w:eastAsia="楷体"/>
                <w:szCs w:val="21"/>
              </w:rPr>
              <w:t>11月30日前</w:t>
            </w:r>
          </w:p>
        </w:tc>
      </w:tr>
    </w:tbl>
    <w:p>
      <w:pPr>
        <w:rPr>
          <w:b/>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8AE8DA-D875-4119-9D64-6FEA78445090}"/>
  </w:font>
  <w:font w:name="Agency FB">
    <w:altName w:val="DejaVu Math TeX Gyre"/>
    <w:panose1 w:val="020B0503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2" w:fontKey="{7FEEB5D5-FC90-4DB4-B3A6-891D3EDF60B5}"/>
  </w:font>
  <w:font w:name="方正小标宋_GBK">
    <w:panose1 w:val="02000000000000000000"/>
    <w:charset w:val="86"/>
    <w:family w:val="script"/>
    <w:pitch w:val="default"/>
    <w:sig w:usb0="A00002BF" w:usb1="38CF7CFA" w:usb2="00082016" w:usb3="00000000" w:csb0="00040001" w:csb1="00000000"/>
    <w:embedRegular r:id="rId3" w:fontKey="{94CD4276-C76A-48E0-952A-22BAB0D6B3CA}"/>
  </w:font>
  <w:font w:name="仿宋_GB2312">
    <w:panose1 w:val="02010609030101010101"/>
    <w:charset w:val="86"/>
    <w:family w:val="modern"/>
    <w:pitch w:val="default"/>
    <w:sig w:usb0="00000001" w:usb1="080E0000" w:usb2="00000000" w:usb3="00000000" w:csb0="00040000" w:csb1="00000000"/>
    <w:embedRegular r:id="rId4" w:fontKey="{0CB4C047-9BC4-478C-A0F3-44D85B9C48A1}"/>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133914"/>
    </w:sdtPr>
    <w:sdtContent>
      <w:p>
        <w:pPr>
          <w:pStyle w:val="3"/>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1YjMyOTU1NzFhZWE3ZTQ1NmMyNWMxNDViZjY5MTcifQ=="/>
  </w:docVars>
  <w:rsids>
    <w:rsidRoot w:val="005F4B41"/>
    <w:rsid w:val="00017551"/>
    <w:rsid w:val="00026E60"/>
    <w:rsid w:val="000435AD"/>
    <w:rsid w:val="00066282"/>
    <w:rsid w:val="00066B50"/>
    <w:rsid w:val="00083BA8"/>
    <w:rsid w:val="00093FC1"/>
    <w:rsid w:val="000A4CD5"/>
    <w:rsid w:val="000B115E"/>
    <w:rsid w:val="000B2203"/>
    <w:rsid w:val="000B2C16"/>
    <w:rsid w:val="000B4EEF"/>
    <w:rsid w:val="000C34D6"/>
    <w:rsid w:val="000D3405"/>
    <w:rsid w:val="000D3AF9"/>
    <w:rsid w:val="000F1F75"/>
    <w:rsid w:val="00124506"/>
    <w:rsid w:val="00136B76"/>
    <w:rsid w:val="00137036"/>
    <w:rsid w:val="001406CA"/>
    <w:rsid w:val="0014702C"/>
    <w:rsid w:val="00150A66"/>
    <w:rsid w:val="00160386"/>
    <w:rsid w:val="00172011"/>
    <w:rsid w:val="001752BB"/>
    <w:rsid w:val="001958F0"/>
    <w:rsid w:val="00197D1C"/>
    <w:rsid w:val="001B2BAF"/>
    <w:rsid w:val="001C12E4"/>
    <w:rsid w:val="00202C33"/>
    <w:rsid w:val="00226FF4"/>
    <w:rsid w:val="002355C3"/>
    <w:rsid w:val="002525E6"/>
    <w:rsid w:val="00256D1B"/>
    <w:rsid w:val="002620FD"/>
    <w:rsid w:val="00276294"/>
    <w:rsid w:val="002769CA"/>
    <w:rsid w:val="002941C3"/>
    <w:rsid w:val="002953AE"/>
    <w:rsid w:val="002B28FA"/>
    <w:rsid w:val="002B2F90"/>
    <w:rsid w:val="002C4E89"/>
    <w:rsid w:val="002C7648"/>
    <w:rsid w:val="002D1890"/>
    <w:rsid w:val="002E5544"/>
    <w:rsid w:val="002F1154"/>
    <w:rsid w:val="002F2D22"/>
    <w:rsid w:val="002F74CB"/>
    <w:rsid w:val="003044E0"/>
    <w:rsid w:val="0030467C"/>
    <w:rsid w:val="0032625C"/>
    <w:rsid w:val="0033177E"/>
    <w:rsid w:val="00342D4C"/>
    <w:rsid w:val="00361E14"/>
    <w:rsid w:val="00362A0F"/>
    <w:rsid w:val="00365590"/>
    <w:rsid w:val="00380B3B"/>
    <w:rsid w:val="00381874"/>
    <w:rsid w:val="00382D4A"/>
    <w:rsid w:val="00392F5A"/>
    <w:rsid w:val="00395970"/>
    <w:rsid w:val="003C77A8"/>
    <w:rsid w:val="003D2626"/>
    <w:rsid w:val="003E62BA"/>
    <w:rsid w:val="00405EA7"/>
    <w:rsid w:val="00414F4C"/>
    <w:rsid w:val="004507A0"/>
    <w:rsid w:val="00454097"/>
    <w:rsid w:val="00464FF7"/>
    <w:rsid w:val="004700CA"/>
    <w:rsid w:val="00485CA5"/>
    <w:rsid w:val="0049132D"/>
    <w:rsid w:val="004B1A13"/>
    <w:rsid w:val="004B2DE7"/>
    <w:rsid w:val="004D2671"/>
    <w:rsid w:val="004D3484"/>
    <w:rsid w:val="0054201B"/>
    <w:rsid w:val="00546F4B"/>
    <w:rsid w:val="0055242E"/>
    <w:rsid w:val="00561503"/>
    <w:rsid w:val="00565007"/>
    <w:rsid w:val="005749E6"/>
    <w:rsid w:val="00587A0F"/>
    <w:rsid w:val="00591C17"/>
    <w:rsid w:val="00592FE1"/>
    <w:rsid w:val="005A7E47"/>
    <w:rsid w:val="005B1DDA"/>
    <w:rsid w:val="005C0D13"/>
    <w:rsid w:val="005C7746"/>
    <w:rsid w:val="005E616F"/>
    <w:rsid w:val="005F1864"/>
    <w:rsid w:val="005F207D"/>
    <w:rsid w:val="005F2922"/>
    <w:rsid w:val="005F4B41"/>
    <w:rsid w:val="00624EE2"/>
    <w:rsid w:val="00627F1A"/>
    <w:rsid w:val="00627F23"/>
    <w:rsid w:val="00640926"/>
    <w:rsid w:val="00642842"/>
    <w:rsid w:val="00642EB5"/>
    <w:rsid w:val="00644DBB"/>
    <w:rsid w:val="006524FD"/>
    <w:rsid w:val="00655BEA"/>
    <w:rsid w:val="006573C0"/>
    <w:rsid w:val="0067660B"/>
    <w:rsid w:val="00677AB3"/>
    <w:rsid w:val="006844EE"/>
    <w:rsid w:val="00695377"/>
    <w:rsid w:val="006A1E13"/>
    <w:rsid w:val="006A4B08"/>
    <w:rsid w:val="006C00C3"/>
    <w:rsid w:val="006D3163"/>
    <w:rsid w:val="006D34AB"/>
    <w:rsid w:val="006E5B5C"/>
    <w:rsid w:val="006E6A51"/>
    <w:rsid w:val="006F07C1"/>
    <w:rsid w:val="006F101E"/>
    <w:rsid w:val="006F4789"/>
    <w:rsid w:val="006F60D6"/>
    <w:rsid w:val="00710910"/>
    <w:rsid w:val="00712A73"/>
    <w:rsid w:val="007548F6"/>
    <w:rsid w:val="007557E7"/>
    <w:rsid w:val="00756E11"/>
    <w:rsid w:val="00762063"/>
    <w:rsid w:val="007677B4"/>
    <w:rsid w:val="007707A9"/>
    <w:rsid w:val="00782AB7"/>
    <w:rsid w:val="007A49F4"/>
    <w:rsid w:val="007D6387"/>
    <w:rsid w:val="007E635A"/>
    <w:rsid w:val="007F3DE0"/>
    <w:rsid w:val="00806950"/>
    <w:rsid w:val="00810AA3"/>
    <w:rsid w:val="00821D5C"/>
    <w:rsid w:val="008565EC"/>
    <w:rsid w:val="00882801"/>
    <w:rsid w:val="0088465D"/>
    <w:rsid w:val="008848A5"/>
    <w:rsid w:val="00893D49"/>
    <w:rsid w:val="008B0D30"/>
    <w:rsid w:val="008C1E85"/>
    <w:rsid w:val="008C31B8"/>
    <w:rsid w:val="008C59FD"/>
    <w:rsid w:val="008D1E78"/>
    <w:rsid w:val="008D2425"/>
    <w:rsid w:val="008E2F1E"/>
    <w:rsid w:val="00903807"/>
    <w:rsid w:val="0090424D"/>
    <w:rsid w:val="0092163B"/>
    <w:rsid w:val="00922F4C"/>
    <w:rsid w:val="00936D81"/>
    <w:rsid w:val="009459C5"/>
    <w:rsid w:val="009717D2"/>
    <w:rsid w:val="0097747B"/>
    <w:rsid w:val="0098109C"/>
    <w:rsid w:val="00982733"/>
    <w:rsid w:val="009854AD"/>
    <w:rsid w:val="00994F91"/>
    <w:rsid w:val="009B0878"/>
    <w:rsid w:val="009B50C8"/>
    <w:rsid w:val="009C3F47"/>
    <w:rsid w:val="009F41EB"/>
    <w:rsid w:val="00A07C82"/>
    <w:rsid w:val="00A106B3"/>
    <w:rsid w:val="00A21A53"/>
    <w:rsid w:val="00A24D2A"/>
    <w:rsid w:val="00A543FF"/>
    <w:rsid w:val="00A55308"/>
    <w:rsid w:val="00A80858"/>
    <w:rsid w:val="00A93529"/>
    <w:rsid w:val="00AD3E45"/>
    <w:rsid w:val="00AD50E3"/>
    <w:rsid w:val="00AE1D5B"/>
    <w:rsid w:val="00AE2FC9"/>
    <w:rsid w:val="00AE4AE9"/>
    <w:rsid w:val="00AE4D99"/>
    <w:rsid w:val="00B017A8"/>
    <w:rsid w:val="00B05B01"/>
    <w:rsid w:val="00B10781"/>
    <w:rsid w:val="00B169E4"/>
    <w:rsid w:val="00B3045B"/>
    <w:rsid w:val="00B318B7"/>
    <w:rsid w:val="00B329DF"/>
    <w:rsid w:val="00B35324"/>
    <w:rsid w:val="00B608CB"/>
    <w:rsid w:val="00B70846"/>
    <w:rsid w:val="00B75D2F"/>
    <w:rsid w:val="00BB08BA"/>
    <w:rsid w:val="00BF61E4"/>
    <w:rsid w:val="00C07A11"/>
    <w:rsid w:val="00C37602"/>
    <w:rsid w:val="00C41B05"/>
    <w:rsid w:val="00C45AD3"/>
    <w:rsid w:val="00C53F74"/>
    <w:rsid w:val="00C57BD6"/>
    <w:rsid w:val="00C70FC4"/>
    <w:rsid w:val="00C86BDB"/>
    <w:rsid w:val="00C87081"/>
    <w:rsid w:val="00C91916"/>
    <w:rsid w:val="00CA5535"/>
    <w:rsid w:val="00CB0178"/>
    <w:rsid w:val="00CD23CB"/>
    <w:rsid w:val="00CE4FCD"/>
    <w:rsid w:val="00CE5286"/>
    <w:rsid w:val="00CE633E"/>
    <w:rsid w:val="00CF4BB2"/>
    <w:rsid w:val="00D00CA5"/>
    <w:rsid w:val="00D34B4A"/>
    <w:rsid w:val="00D54471"/>
    <w:rsid w:val="00D73BDA"/>
    <w:rsid w:val="00D740F2"/>
    <w:rsid w:val="00D87411"/>
    <w:rsid w:val="00DB2AF4"/>
    <w:rsid w:val="00DD7A56"/>
    <w:rsid w:val="00DF058D"/>
    <w:rsid w:val="00E304CA"/>
    <w:rsid w:val="00E327A4"/>
    <w:rsid w:val="00E42705"/>
    <w:rsid w:val="00E451FB"/>
    <w:rsid w:val="00E87DFB"/>
    <w:rsid w:val="00E95F6E"/>
    <w:rsid w:val="00EA667E"/>
    <w:rsid w:val="00EA7E44"/>
    <w:rsid w:val="00ED754C"/>
    <w:rsid w:val="00EE5B31"/>
    <w:rsid w:val="00F067B6"/>
    <w:rsid w:val="00F14117"/>
    <w:rsid w:val="00F147C0"/>
    <w:rsid w:val="00F16038"/>
    <w:rsid w:val="00F31E06"/>
    <w:rsid w:val="00F50646"/>
    <w:rsid w:val="00F64A7A"/>
    <w:rsid w:val="00F64CB6"/>
    <w:rsid w:val="00F70A10"/>
    <w:rsid w:val="00F74A64"/>
    <w:rsid w:val="00F76D29"/>
    <w:rsid w:val="00F813EC"/>
    <w:rsid w:val="00F82952"/>
    <w:rsid w:val="00F96BCF"/>
    <w:rsid w:val="00FA02A3"/>
    <w:rsid w:val="00FB5CDC"/>
    <w:rsid w:val="00FD089A"/>
    <w:rsid w:val="00FE2DC3"/>
    <w:rsid w:val="07F468CE"/>
    <w:rsid w:val="09AC201D"/>
    <w:rsid w:val="15D1043A"/>
    <w:rsid w:val="17B143B6"/>
    <w:rsid w:val="18867999"/>
    <w:rsid w:val="1A1B72A3"/>
    <w:rsid w:val="1BD56B7E"/>
    <w:rsid w:val="1D2E74D1"/>
    <w:rsid w:val="1D4421B0"/>
    <w:rsid w:val="25900F5E"/>
    <w:rsid w:val="2BD96EF8"/>
    <w:rsid w:val="2C400939"/>
    <w:rsid w:val="321D3A6E"/>
    <w:rsid w:val="389E0D62"/>
    <w:rsid w:val="3CFD31DE"/>
    <w:rsid w:val="46767A7A"/>
    <w:rsid w:val="53854D31"/>
    <w:rsid w:val="61930A7C"/>
    <w:rsid w:val="627D6C70"/>
    <w:rsid w:val="74AE0CA5"/>
    <w:rsid w:val="75015704"/>
    <w:rsid w:val="76146960"/>
    <w:rsid w:val="77C90B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gency FB" w:hAnsi="Agency FB"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800080"/>
      <w:u w:val="single"/>
    </w:rPr>
  </w:style>
  <w:style w:type="character" w:styleId="9">
    <w:name w:val="Hyperlink"/>
    <w:basedOn w:val="7"/>
    <w:autoRedefine/>
    <w:semiHidden/>
    <w:unhideWhenUsed/>
    <w:qFormat/>
    <w:uiPriority w:val="99"/>
    <w:rPr>
      <w:color w:val="0000FF"/>
      <w:u w:val="single"/>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paragraph" w:styleId="12">
    <w:name w:val="List Paragraph"/>
    <w:basedOn w:val="1"/>
    <w:autoRedefine/>
    <w:unhideWhenUsed/>
    <w:qFormat/>
    <w:uiPriority w:val="99"/>
    <w:pPr>
      <w:ind w:firstLine="420" w:firstLineChars="200"/>
    </w:pPr>
  </w:style>
  <w:style w:type="character" w:customStyle="1" w:styleId="13">
    <w:name w:val="批注框文本 Char"/>
    <w:basedOn w:val="7"/>
    <w:link w:val="2"/>
    <w:autoRedefine/>
    <w:semiHidden/>
    <w:qFormat/>
    <w:uiPriority w:val="99"/>
    <w:rPr>
      <w:rFonts w:ascii="Agency FB" w:hAnsi="Agency FB" w:eastAsia="宋体" w:cs="Times New Roman"/>
      <w:kern w:val="2"/>
      <w:sz w:val="18"/>
      <w:szCs w:val="18"/>
    </w:rPr>
  </w:style>
  <w:style w:type="paragraph" w:customStyle="1" w:styleId="14">
    <w:name w:val="font5"/>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
    <w:name w:val="font6"/>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
    <w:name w:val="font7"/>
    <w:basedOn w:val="1"/>
    <w:autoRedefine/>
    <w:qFormat/>
    <w:uiPriority w:val="0"/>
    <w:pPr>
      <w:widowControl/>
      <w:spacing w:before="100" w:beforeAutospacing="1" w:after="100" w:afterAutospacing="1"/>
      <w:jc w:val="left"/>
    </w:pPr>
    <w:rPr>
      <w:rFonts w:cs="宋体"/>
      <w:color w:val="000000"/>
      <w:kern w:val="0"/>
      <w:szCs w:val="21"/>
    </w:rPr>
  </w:style>
  <w:style w:type="paragraph" w:customStyle="1" w:styleId="17">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1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2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1">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2">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6689</Words>
  <Characters>7059</Characters>
  <Lines>53</Lines>
  <Paragraphs>14</Paragraphs>
  <TotalTime>2</TotalTime>
  <ScaleCrop>false</ScaleCrop>
  <LinksUpToDate>false</LinksUpToDate>
  <CharactersWithSpaces>7168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2021-02-26T00:46:00Z</dcterms:created>
  <dc:creator>NTKO</dc:creator>
  <cp:lastModifiedBy>Oliver</cp:lastModifiedBy>
  <cp:lastPrinted>2021-03-18T03:36:00Z</cp:lastPrinted>
  <dcterms:modified xsi:type="dcterms:W3CDTF">2024-08-25T03:55:38Z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1FFAB07E72B94A849DC95389EE1C6835</vt:lpwstr>
  </property>
</Properties>
</file>