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ascii="方正小标宋简体" w:hAnsi="方正小标宋简体" w:eastAsia="方正小标宋简体" w:cs="方正小标宋简体"/>
          <w:b w:val="0"/>
          <w:bCs w:val="0"/>
          <w:color w:val="auto"/>
          <w:sz w:val="44"/>
          <w:szCs w:val="44"/>
          <w:highlight w:val="none"/>
          <w:shd w:val="clear" w:color="auto" w:fill="auto"/>
        </w:rPr>
      </w:pPr>
      <w:r>
        <w:rPr>
          <w:rFonts w:ascii="方正小标宋简体" w:hAnsi="方正小标宋简体" w:eastAsia="方正小标宋简体" w:cs="方正小标宋简体"/>
          <w:b w:val="0"/>
          <w:bCs w:val="0"/>
          <w:color w:val="auto"/>
          <w:sz w:val="44"/>
          <w:szCs w:val="44"/>
          <w:highlight w:val="none"/>
          <w:shd w:val="clear" w:color="auto" w:fill="auto"/>
        </w:rPr>
        <w:t>广西壮族自治区交通运输厅关于修订广西水运工程设计和施工企业信用评价实施</w:t>
      </w:r>
    </w:p>
    <w:p>
      <w:pPr>
        <w:pStyle w:val="2"/>
        <w:widowControl/>
        <w:shd w:val="clear" w:color="auto" w:fill="FFFFFF"/>
        <w:spacing w:beforeAutospacing="0" w:afterAutospacing="0" w:line="560" w:lineRule="exact"/>
        <w:jc w:val="cente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pPr>
      <w:r>
        <w:rPr>
          <w:rFonts w:ascii="方正小标宋简体" w:hAnsi="方正小标宋简体" w:eastAsia="方正小标宋简体" w:cs="方正小标宋简体"/>
          <w:b w:val="0"/>
          <w:bCs w:val="0"/>
          <w:color w:val="auto"/>
          <w:sz w:val="44"/>
          <w:szCs w:val="44"/>
          <w:highlight w:val="none"/>
          <w:shd w:val="clear" w:color="auto" w:fill="auto"/>
        </w:rPr>
        <w:t>细则（修订）的通知</w:t>
      </w: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（征求意见稿）</w:t>
      </w:r>
    </w:p>
    <w:p>
      <w:pPr>
        <w:pStyle w:val="5"/>
        <w:widowControl/>
        <w:spacing w:before="16" w:beforeAutospacing="0" w:after="16" w:afterAutospacing="0" w:line="560" w:lineRule="exact"/>
        <w:rPr>
          <w:rFonts w:ascii="仿宋" w:hAnsi="仿宋" w:eastAsia="仿宋" w:cs="仿宋"/>
          <w:color w:val="auto"/>
          <w:sz w:val="32"/>
          <w:szCs w:val="32"/>
          <w:highlight w:val="none"/>
          <w:shd w:val="clear" w:color="auto" w:fill="auto"/>
        </w:rPr>
      </w:pPr>
    </w:p>
    <w:p>
      <w:pPr>
        <w:pStyle w:val="5"/>
        <w:widowControl/>
        <w:spacing w:before="16" w:beforeAutospacing="0" w:after="16" w:afterAutospacing="0" w:line="560" w:lineRule="exact"/>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各市交通运输局，自治区港航发展中心、交通运输工程质量监测鉴定中心、交通运输综合行政执法局，广西北部湾国际港务集团有限公司：</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结合我区水运建设市场实际，我厅决定对《广西壮族自治区交通运输厅关于印发广西水运工程设计和施工企业信用评价实施细则（修订）的通知》（桂交水运发〔2019〕58号）部分条款进行了修订，具体如下：</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一、第十七条修改为“水运工程设计和施工企业信用评价等级分为AA、A、B、C、D五个等级，</w:t>
      </w:r>
      <w:r>
        <w:rPr>
          <w:rFonts w:hint="eastAsia" w:ascii="仿宋" w:hAnsi="仿宋" w:eastAsia="仿宋" w:cs="仿宋"/>
          <w:b/>
          <w:bCs/>
          <w:color w:val="auto"/>
          <w:sz w:val="32"/>
          <w:szCs w:val="32"/>
          <w:highlight w:val="none"/>
          <w:shd w:val="clear" w:color="auto" w:fill="auto"/>
        </w:rPr>
        <w:t>各信用等级对应的企业综合评分分别为：</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（一）AA级：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95分≤X≤100分，如年度信用评价符合AA级要求（X≥95分）的企业占参评企业总数的比例超过50%时，按年度信用评价综合评分从高到低选取参评企业总数50%以内</w:t>
      </w:r>
      <w:r>
        <w:rPr>
          <w:rFonts w:hint="eastAsia" w:ascii="仿宋" w:hAnsi="仿宋" w:eastAsia="仿宋" w:cs="仿宋"/>
          <w:b/>
          <w:bCs/>
          <w:color w:val="auto"/>
          <w:sz w:val="32"/>
          <w:szCs w:val="32"/>
          <w:highlight w:val="none"/>
          <w:shd w:val="clear" w:color="auto" w:fill="auto"/>
          <w:lang w:eastAsia="zh-CN"/>
        </w:rPr>
        <w:t>（含</w:t>
      </w:r>
      <w:r>
        <w:rPr>
          <w:rFonts w:hint="eastAsia" w:ascii="仿宋" w:hAnsi="仿宋" w:eastAsia="仿宋" w:cs="仿宋"/>
          <w:b/>
          <w:bCs/>
          <w:color w:val="auto"/>
          <w:sz w:val="32"/>
          <w:szCs w:val="32"/>
          <w:highlight w:val="none"/>
          <w:shd w:val="clear" w:color="auto" w:fill="auto"/>
          <w:lang w:val="en-US" w:eastAsia="zh-CN"/>
        </w:rPr>
        <w:t>50%</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的企业。</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评价结论：信用好。</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（二）A级：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85分≤X＜95分；或X≥95分，但</w:t>
      </w:r>
      <w:r>
        <w:rPr>
          <w:rFonts w:hint="eastAsia" w:ascii="仿宋" w:hAnsi="仿宋" w:eastAsia="仿宋" w:cs="仿宋"/>
          <w:b/>
          <w:bCs/>
          <w:color w:val="auto"/>
          <w:sz w:val="32"/>
          <w:szCs w:val="32"/>
          <w:highlight w:val="none"/>
          <w:shd w:val="clear" w:color="auto" w:fill="auto"/>
          <w:lang w:eastAsia="zh-CN"/>
        </w:rPr>
        <w:t>不</w:t>
      </w:r>
      <w:r>
        <w:rPr>
          <w:rFonts w:hint="eastAsia" w:ascii="仿宋" w:hAnsi="仿宋" w:eastAsia="仿宋" w:cs="仿宋"/>
          <w:b/>
          <w:bCs/>
          <w:color w:val="auto"/>
          <w:sz w:val="32"/>
          <w:szCs w:val="32"/>
          <w:highlight w:val="none"/>
          <w:shd w:val="clear" w:color="auto" w:fill="auto"/>
        </w:rPr>
        <w:t>满足</w:t>
      </w:r>
      <w:r>
        <w:rPr>
          <w:rFonts w:hint="eastAsia" w:ascii="仿宋" w:hAnsi="仿宋" w:eastAsia="仿宋" w:cs="仿宋"/>
          <w:b/>
          <w:bCs/>
          <w:color w:val="auto"/>
          <w:sz w:val="32"/>
          <w:szCs w:val="32"/>
          <w:highlight w:val="none"/>
          <w:shd w:val="clear" w:color="auto" w:fill="auto"/>
          <w:lang w:eastAsia="zh-CN"/>
        </w:rPr>
        <w:t>“（一）</w:t>
      </w:r>
      <w:r>
        <w:rPr>
          <w:rFonts w:hint="eastAsia" w:ascii="仿宋" w:hAnsi="仿宋" w:eastAsia="仿宋" w:cs="仿宋"/>
          <w:b/>
          <w:bCs/>
          <w:color w:val="auto"/>
          <w:sz w:val="32"/>
          <w:szCs w:val="32"/>
          <w:highlight w:val="none"/>
          <w:shd w:val="clear" w:color="auto" w:fill="auto"/>
        </w:rPr>
        <w:t>AA级</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要求的企业</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按年度信用评价综合评分从高到低</w:t>
      </w:r>
      <w:r>
        <w:rPr>
          <w:rFonts w:hint="eastAsia" w:ascii="仿宋" w:hAnsi="仿宋" w:eastAsia="仿宋" w:cs="仿宋"/>
          <w:b/>
          <w:bCs/>
          <w:color w:val="auto"/>
          <w:sz w:val="32"/>
          <w:szCs w:val="32"/>
          <w:highlight w:val="none"/>
          <w:shd w:val="clear" w:color="auto" w:fill="auto"/>
          <w:lang w:eastAsia="zh-CN"/>
        </w:rPr>
        <w:t>，综合评分在</w:t>
      </w:r>
      <w:r>
        <w:rPr>
          <w:rFonts w:hint="eastAsia" w:ascii="仿宋" w:hAnsi="仿宋" w:eastAsia="仿宋" w:cs="仿宋"/>
          <w:b/>
          <w:bCs/>
          <w:color w:val="auto"/>
          <w:sz w:val="32"/>
          <w:szCs w:val="32"/>
          <w:highlight w:val="none"/>
          <w:shd w:val="clear" w:color="auto" w:fill="auto"/>
        </w:rPr>
        <w:t>参评企业总数50%以</w:t>
      </w:r>
      <w:r>
        <w:rPr>
          <w:rFonts w:hint="eastAsia" w:ascii="仿宋" w:hAnsi="仿宋" w:eastAsia="仿宋" w:cs="仿宋"/>
          <w:b/>
          <w:bCs/>
          <w:color w:val="auto"/>
          <w:sz w:val="32"/>
          <w:szCs w:val="32"/>
          <w:highlight w:val="none"/>
          <w:shd w:val="clear" w:color="auto" w:fill="auto"/>
          <w:lang w:eastAsia="zh-CN"/>
        </w:rPr>
        <w:t>上（不含</w:t>
      </w:r>
      <w:r>
        <w:rPr>
          <w:rFonts w:hint="eastAsia" w:ascii="仿宋" w:hAnsi="仿宋" w:eastAsia="仿宋" w:cs="仿宋"/>
          <w:b/>
          <w:bCs/>
          <w:color w:val="auto"/>
          <w:sz w:val="32"/>
          <w:szCs w:val="32"/>
          <w:highlight w:val="none"/>
          <w:shd w:val="clear" w:color="auto" w:fill="auto"/>
          <w:lang w:val="en-US" w:eastAsia="zh-CN"/>
        </w:rPr>
        <w:t>50%</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的企业</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评价结论：信用较好。</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（三）B级：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75分≤X＜85分。</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评价结论：信用一般。</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（四）C级：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60分≤X＜75分；或存在直接定为C级的不良行为。</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评价结论：信用较差。</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（五）D级：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X＜60分；或存在直接定为D级的不良行为。</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评价结论：信用差。</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信用评价结果实行告知和公示制度。信用评价结果将在自治区交通运输厅政府部门网站及广西壮族自治区水运工程建设市场信用信息管理系统平台上公开”。</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二、第二十四条修改为“水运工程设计和施工企业在广西的信用评价结果应用于广西的水运工程建设市场。</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设计和施工企业初次进入广西水运工程建设市场时，其信用等级按照全国汇总评价结果确定。无全国汇总评价结果，且在其他省份或部属单位无严重失信行为的企业，信用等级可按A级对待；若有严重失信行为的，可参照相关省份或部属单位信用评价结果确定其信用等级。</w:t>
      </w:r>
    </w:p>
    <w:p>
      <w:pPr>
        <w:pStyle w:val="5"/>
        <w:widowControl/>
        <w:spacing w:before="16" w:beforeAutospacing="0" w:after="16" w:afterAutospacing="0" w:line="560" w:lineRule="exact"/>
        <w:ind w:firstLine="642" w:firstLineChars="200"/>
        <w:rPr>
          <w:rFonts w:ascii="仿宋" w:hAnsi="仿宋" w:eastAsia="仿宋" w:cs="仿宋"/>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水运工程设计和施工企业</w:t>
      </w:r>
      <w:r>
        <w:rPr>
          <w:rFonts w:hint="eastAsia" w:ascii="仿宋" w:hAnsi="仿宋" w:eastAsia="仿宋" w:cs="仿宋"/>
          <w:b/>
          <w:bCs/>
          <w:color w:val="auto"/>
          <w:sz w:val="32"/>
          <w:szCs w:val="32"/>
          <w:highlight w:val="none"/>
          <w:shd w:val="clear" w:color="auto" w:fill="auto"/>
          <w:lang w:eastAsia="zh-CN"/>
        </w:rPr>
        <w:t>初</w:t>
      </w:r>
      <w:r>
        <w:rPr>
          <w:rFonts w:hint="eastAsia" w:ascii="仿宋" w:hAnsi="仿宋" w:eastAsia="仿宋" w:cs="仿宋"/>
          <w:b/>
          <w:bCs/>
          <w:color w:val="auto"/>
          <w:sz w:val="32"/>
          <w:szCs w:val="32"/>
          <w:highlight w:val="none"/>
          <w:shd w:val="clear" w:color="auto" w:fill="auto"/>
        </w:rPr>
        <w:t>次进入广西水运工程建设市场参加信用评价时，其</w:t>
      </w:r>
      <w:r>
        <w:rPr>
          <w:rFonts w:hint="eastAsia" w:ascii="仿宋_GB2312" w:eastAsia="仿宋_GB2312"/>
          <w:b/>
          <w:bCs/>
          <w:color w:val="auto"/>
          <w:sz w:val="32"/>
          <w:szCs w:val="32"/>
          <w:highlight w:val="none"/>
          <w:shd w:val="clear" w:color="auto" w:fill="auto"/>
        </w:rPr>
        <w:t>信用评价等级最高为A级</w:t>
      </w:r>
      <w:r>
        <w:rPr>
          <w:rFonts w:hint="eastAsia" w:ascii="仿宋" w:hAnsi="仿宋" w:eastAsia="仿宋" w:cs="仿宋"/>
          <w:b/>
          <w:bCs/>
          <w:color w:val="auto"/>
          <w:sz w:val="32"/>
          <w:szCs w:val="32"/>
          <w:highlight w:val="none"/>
          <w:shd w:val="clear" w:color="auto" w:fill="auto"/>
        </w:rPr>
        <w:t>。</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水运工程设计和施工企业在广西的信用评价结果将应用于招标中。采用综合评估法和经评审的最低评标价法时，投标人信用评价评分（信誉、荣誉方面得分）应采用以下评审标准：</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水运工程设计企业信用评价等级为AA级的，其信用评价可得4分；信用评价等级为A级的，其信用评价可得2分；信用评价等级为B级及以下的，其信用评价不得分。</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水运工程施工企业信用评价等级为AA级的，其信用评价可得3分；信用评价等级为A级的，其信用评价可得1.5分；信用评价等级为B级及以下的，其信用评价不得分。</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联合体参与投标时，其信用评价等级按照联合体中信用等级最低一方确定”。</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三、修改部分单位的称谓。将“自治区北部湾港口管理局、自治区交通工程质量安全</w:t>
      </w:r>
      <w:bookmarkStart w:id="2" w:name="_GoBack"/>
      <w:bookmarkEnd w:id="2"/>
      <w:r>
        <w:rPr>
          <w:rFonts w:hint="eastAsia" w:ascii="仿宋" w:hAnsi="仿宋" w:eastAsia="仿宋" w:cs="仿宋"/>
          <w:color w:val="auto"/>
          <w:sz w:val="32"/>
          <w:szCs w:val="32"/>
          <w:highlight w:val="none"/>
          <w:shd w:val="clear" w:color="auto" w:fill="auto"/>
        </w:rPr>
        <w:t>监督站”分别修改为“自治区港航发展中心、自治区交通运输工程质量监测鉴定中心”。</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《广西水运工程设计和施工企业信用评价实施细则（修订）》根据本通知作相应修改，重新发布，自印发之日起施行。</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p>
    <w:p>
      <w:pPr>
        <w:pStyle w:val="5"/>
        <w:widowControl/>
        <w:spacing w:before="16" w:beforeAutospacing="0" w:after="16" w:afterAutospacing="0" w:line="560" w:lineRule="exact"/>
        <w:ind w:firstLine="420"/>
        <w:rPr>
          <w:rFonts w:ascii="仿宋" w:hAnsi="仿宋" w:eastAsia="仿宋" w:cs="仿宋"/>
          <w:color w:val="auto"/>
          <w:sz w:val="32"/>
          <w:szCs w:val="32"/>
          <w:highlight w:val="none"/>
          <w:shd w:val="clear" w:color="auto" w:fill="auto"/>
        </w:rPr>
      </w:pPr>
    </w:p>
    <w:p>
      <w:pPr>
        <w:pStyle w:val="5"/>
        <w:widowControl/>
        <w:spacing w:before="16" w:beforeAutospacing="0" w:after="16" w:afterAutospacing="0" w:line="560" w:lineRule="exact"/>
        <w:ind w:firstLine="420"/>
        <w:rPr>
          <w:rFonts w:ascii="仿宋" w:hAnsi="仿宋" w:eastAsia="仿宋" w:cs="仿宋"/>
          <w:color w:val="auto"/>
          <w:sz w:val="32"/>
          <w:szCs w:val="32"/>
          <w:highlight w:val="none"/>
          <w:shd w:val="clear" w:color="auto" w:fill="auto"/>
        </w:rPr>
      </w:pPr>
    </w:p>
    <w:p>
      <w:pPr>
        <w:pStyle w:val="5"/>
        <w:widowControl/>
        <w:spacing w:before="16" w:beforeAutospacing="0" w:after="16" w:afterAutospacing="0" w:line="560" w:lineRule="exact"/>
        <w:ind w:firstLine="5120" w:firstLineChars="1600"/>
        <w:jc w:val="both"/>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2023年</w:t>
      </w:r>
      <w:r>
        <w:rPr>
          <w:rFonts w:hint="eastAsia" w:ascii="仿宋" w:hAnsi="仿宋" w:eastAsia="仿宋" w:cs="仿宋"/>
          <w:color w:val="auto"/>
          <w:sz w:val="32"/>
          <w:szCs w:val="32"/>
          <w:highlight w:val="none"/>
          <w:shd w:val="clear" w:color="auto" w:fill="auto"/>
          <w:lang w:val="en-US" w:eastAsia="zh-CN"/>
        </w:rPr>
        <w:t>8</w:t>
      </w:r>
      <w:r>
        <w:rPr>
          <w:rFonts w:hint="eastAsia" w:ascii="仿宋" w:hAnsi="仿宋" w:eastAsia="仿宋" w:cs="仿宋"/>
          <w:color w:val="auto"/>
          <w:sz w:val="32"/>
          <w:szCs w:val="32"/>
          <w:highlight w:val="none"/>
          <w:shd w:val="clear" w:color="auto" w:fill="auto"/>
        </w:rPr>
        <w:t>月 日</w:t>
      </w:r>
    </w:p>
    <w:p>
      <w:pPr>
        <w:pStyle w:val="5"/>
        <w:widowControl/>
        <w:spacing w:before="16" w:beforeAutospacing="0" w:after="16" w:afterAutospacing="0" w:line="560" w:lineRule="exact"/>
        <w:ind w:firstLine="42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（此件公开发布）</w:t>
      </w:r>
    </w:p>
    <w:p>
      <w:pPr>
        <w:spacing w:line="560" w:lineRule="exact"/>
        <w:rPr>
          <w:rFonts w:ascii="仿宋" w:hAnsi="仿宋" w:eastAsia="仿宋" w:cs="仿宋"/>
          <w:color w:val="auto"/>
          <w:sz w:val="32"/>
          <w:szCs w:val="32"/>
          <w:highlight w:val="none"/>
          <w:shd w:val="clear" w:color="auto" w:fill="auto"/>
        </w:rPr>
      </w:pPr>
    </w:p>
    <w:p>
      <w:pPr>
        <w:spacing w:line="560" w:lineRule="exact"/>
        <w:rPr>
          <w:rFonts w:ascii="仿宋" w:hAnsi="仿宋" w:eastAsia="仿宋" w:cs="仿宋"/>
          <w:color w:val="auto"/>
          <w:sz w:val="32"/>
          <w:szCs w:val="32"/>
          <w:highlight w:val="none"/>
          <w:shd w:val="clear" w:color="auto" w:fill="auto"/>
        </w:rPr>
      </w:pPr>
    </w:p>
    <w:p>
      <w:pPr>
        <w:pStyle w:val="5"/>
        <w:widowControl/>
        <w:spacing w:before="16" w:beforeAutospacing="0" w:after="16" w:afterAutospacing="0" w:line="560" w:lineRule="exact"/>
        <w:jc w:val="center"/>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广西壮族自治区水运工程设计和施工企业</w:t>
      </w:r>
    </w:p>
    <w:p>
      <w:pPr>
        <w:pStyle w:val="5"/>
        <w:widowControl/>
        <w:spacing w:before="16" w:beforeAutospacing="0" w:after="16" w:afterAutospacing="0" w:line="560" w:lineRule="exact"/>
        <w:jc w:val="center"/>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信用评价实施细则（修订）</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第一条 为加强水运建设市场管理，维护公平有序的市场秩序，规范水运工程设计和施工企业信用评价工作，根据交通运输部《水运工程设计和施工企业信用评价办法（试行）》，结合广西当地实际情况，制定本实施细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第二条 本实施细则适用于广西壮族自治区行政区域内所有从事水运工程设计、施工企业的信用评价工作，信用评价工作统一在广西壮族自治区水运工程建设市场信用信息管理系统上进行。</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第三条 本实施细则所称水运工程设计和施工企业信用评价，是指自治区交通运输厅依据交通运输部《水运工程设计和施工企业信用评价办法（试行）》以及本实施细则规定的评价标准和方法，对水运工程设计和施工企业在广西水运工程建设市场从业行为进行的信用评价。</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第四条 本实施细则所称水运工程设计企业是指具有水运行业设计资质的企业，水运工程施工企业是指具有水运工程相关施工总承包资质及相关专业承包资质的企业。从业行为是指企业参与依法招标水运工程建设项目的投标、履约等市场行为。</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第五条 水运工程设计和施工企业信用评价遵循公开、公平、公正、科学、有效的原则。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第六条 水运工程设计和施工企业信用评价工作实行统一管理、分级、分工负责制度。</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招标人、项目法人、负责项目监管的地方交通运输（港口）行政主管部门等评价人对评价结果负责。</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第七条 自治区交通运输厅成立广西水运建设市场信用评价领导小组（以下简称“信用评价领导小组”），负责组织实施全区水运工程设计和施工企业信用评价的具体工作。小组成员由自治区交通运输厅、</w:t>
      </w:r>
      <w:r>
        <w:rPr>
          <w:rFonts w:hint="eastAsia" w:ascii="仿宋" w:hAnsi="仿宋" w:eastAsia="仿宋" w:cs="仿宋"/>
          <w:b/>
          <w:bCs/>
          <w:color w:val="auto"/>
          <w:sz w:val="32"/>
          <w:szCs w:val="32"/>
          <w:highlight w:val="none"/>
          <w:shd w:val="clear" w:color="auto" w:fill="auto"/>
        </w:rPr>
        <w:t>自治区</w:t>
      </w:r>
      <w:r>
        <w:rPr>
          <w:rFonts w:hint="eastAsia" w:ascii="仿宋" w:hAnsi="仿宋" w:eastAsia="仿宋" w:cs="仿宋"/>
          <w:b/>
          <w:bCs/>
          <w:color w:val="auto"/>
          <w:sz w:val="32"/>
          <w:szCs w:val="32"/>
          <w:highlight w:val="none"/>
          <w:shd w:val="clear" w:color="auto" w:fill="auto"/>
          <w:lang w:eastAsia="zh-CN"/>
        </w:rPr>
        <w:t>港航发展中心</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b/>
          <w:bCs/>
          <w:color w:val="auto"/>
          <w:sz w:val="32"/>
          <w:szCs w:val="32"/>
          <w:highlight w:val="none"/>
          <w:shd w:val="clear" w:color="auto" w:fill="auto"/>
        </w:rPr>
        <w:t>交通运输工程质量监测鉴定中心</w:t>
      </w:r>
      <w:r>
        <w:rPr>
          <w:rFonts w:hint="eastAsia" w:ascii="仿宋" w:hAnsi="仿宋" w:eastAsia="仿宋" w:cs="仿宋"/>
          <w:color w:val="auto"/>
          <w:sz w:val="32"/>
          <w:szCs w:val="32"/>
          <w:highlight w:val="none"/>
          <w:shd w:val="clear" w:color="auto" w:fill="auto"/>
        </w:rPr>
        <w:t>有关人员组成。领导小组下设广西水运建设市场信用评价领导小组办公室（以下简称“信用评价领导小组办公室”），设在</w:t>
      </w:r>
      <w:r>
        <w:rPr>
          <w:rFonts w:hint="eastAsia" w:ascii="仿宋" w:hAnsi="仿宋" w:eastAsia="仿宋" w:cs="仿宋"/>
          <w:b/>
          <w:bCs/>
          <w:color w:val="auto"/>
          <w:sz w:val="32"/>
          <w:szCs w:val="32"/>
          <w:highlight w:val="none"/>
          <w:shd w:val="clear" w:color="auto" w:fill="auto"/>
        </w:rPr>
        <w:t>自治区交通运输工程质量监测鉴定中心</w:t>
      </w:r>
      <w:r>
        <w:rPr>
          <w:rFonts w:hint="eastAsia" w:ascii="仿宋" w:hAnsi="仿宋" w:eastAsia="仿宋" w:cs="仿宋"/>
          <w:color w:val="auto"/>
          <w:sz w:val="32"/>
          <w:szCs w:val="32"/>
          <w:highlight w:val="none"/>
          <w:shd w:val="clear" w:color="auto" w:fill="auto"/>
        </w:rPr>
        <w:t>。</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第八条 自治区交通运输厅负责广西水运工程设计和施工企业信用评价监督管理工作。主要职责是：</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（一）宣传贯彻国家和广西有关信用评价的法律、法规和规章制度，制定广西水运工程设计和施工企业信用评价实施细则。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（二）组织实施广西水运工程建设项目的水运工程设计和施工企业信用评价工作。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（三）对广西水运工程设计和施工企业进行综合评价，并将国务院有关部门许可资质的水运工程设计、施工企业信用评价结果报交通运输部。</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（四）对广西水运工程建设项目的水运工程设计和施工企业其他信用行为进行记录、评价。</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（五）指导和监督各级交通运输（港口）行政主管部门开展水运工程设计和施工企业信用评价工作。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（六）发布信用评价结果等信息。</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 xml:space="preserve">第九条 </w:t>
      </w:r>
      <w:r>
        <w:rPr>
          <w:rFonts w:hint="eastAsia" w:ascii="仿宋" w:hAnsi="仿宋" w:eastAsia="仿宋" w:cs="仿宋"/>
          <w:b/>
          <w:bCs/>
          <w:color w:val="auto"/>
          <w:sz w:val="32"/>
          <w:szCs w:val="32"/>
          <w:highlight w:val="none"/>
          <w:shd w:val="clear" w:color="auto" w:fill="auto"/>
        </w:rPr>
        <w:t>自治区交通运输工程质量监测鉴定中心</w:t>
      </w:r>
      <w:r>
        <w:rPr>
          <w:rFonts w:hint="eastAsia" w:ascii="仿宋" w:hAnsi="仿宋" w:eastAsia="仿宋" w:cs="仿宋"/>
          <w:color w:val="auto"/>
          <w:sz w:val="32"/>
          <w:szCs w:val="32"/>
          <w:highlight w:val="none"/>
          <w:shd w:val="clear" w:color="auto" w:fill="auto"/>
        </w:rPr>
        <w:t>负责全区水运工程设计和施工企业履约行为信用评价工作。其主要职责为：</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（一）收集汇总全区水运工程项目法人（建设单位）对设计、施工企业履约行为信用评价材料。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（二）对项目法人（建设单位）作出的履约行为评价进行审核确认。</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（三）汇总上报全区水运工程设计和施工企业履约行为信用评价成果材料。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四）结合项目日常监管，建立水运建设项目信用信息台帐，监督检查中发现从业单位失信的履约行为，在其官网上予以公示，并组织核查，相关情况将作为信用信息评价的依据；协助指导各市交通运输（港口）行政主管部门完成从业单位及其关键从业人员的信用评价相关资料的收集、汇总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（五）按自治区交通运输厅要求完成水运工程设计和施工企业信用评价的其他工作。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 xml:space="preserve">第十条 </w:t>
      </w:r>
      <w:r>
        <w:rPr>
          <w:rFonts w:hint="eastAsia" w:ascii="仿宋" w:hAnsi="仿宋" w:eastAsia="仿宋" w:cs="仿宋"/>
          <w:b/>
          <w:bCs/>
          <w:color w:val="auto"/>
          <w:sz w:val="32"/>
          <w:szCs w:val="32"/>
          <w:highlight w:val="none"/>
          <w:shd w:val="clear" w:color="auto" w:fill="auto"/>
        </w:rPr>
        <w:t>自治区</w:t>
      </w:r>
      <w:r>
        <w:rPr>
          <w:rFonts w:hint="eastAsia" w:ascii="仿宋" w:hAnsi="仿宋" w:eastAsia="仿宋" w:cs="仿宋"/>
          <w:b/>
          <w:bCs/>
          <w:color w:val="auto"/>
          <w:sz w:val="32"/>
          <w:szCs w:val="32"/>
          <w:highlight w:val="none"/>
          <w:shd w:val="clear" w:color="auto" w:fill="auto"/>
          <w:lang w:eastAsia="zh-CN"/>
        </w:rPr>
        <w:t>港航发展中心</w:t>
      </w:r>
      <w:r>
        <w:rPr>
          <w:rFonts w:hint="eastAsia" w:ascii="仿宋" w:hAnsi="仿宋" w:eastAsia="仿宋" w:cs="仿宋"/>
          <w:color w:val="auto"/>
          <w:sz w:val="32"/>
          <w:szCs w:val="32"/>
          <w:highlight w:val="none"/>
          <w:shd w:val="clear" w:color="auto" w:fill="auto"/>
        </w:rPr>
        <w:t>负责全区水运工程设计和施工企业投标行为评价及其他信用行为评价工作。其主要职责为：</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（一）收集汇总全区水运工程招标人对设计、施工企业投标行为信用评价材料。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（二）对招标人作出的投标行为信用评价进行审核确认。</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配合自治区交通运输厅调查核实全区水运工程设计和施工企业其他信用行为情况，并按照《水运工程设计企业信用行为评定标准》、《水运工程施工企业信用行为评定标准》（以下简称《评定标准》，见附件</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rPr>
        <w:t>2</w:t>
      </w:r>
      <w:r>
        <w:rPr>
          <w:rFonts w:hint="eastAsia" w:ascii="仿宋" w:hAnsi="仿宋" w:eastAsia="仿宋" w:cs="仿宋"/>
          <w:color w:val="auto"/>
          <w:sz w:val="32"/>
          <w:szCs w:val="32"/>
          <w:highlight w:val="none"/>
          <w:shd w:val="clear" w:color="auto" w:fill="auto"/>
        </w:rPr>
        <w:t>）和《水运工程设计和施工企业信用评价评分计算方法》（以下简称《计算方法》，见附件</w:t>
      </w:r>
      <w:r>
        <w:rPr>
          <w:rFonts w:hint="eastAsia" w:ascii="仿宋" w:hAnsi="仿宋" w:eastAsia="仿宋" w:cs="仿宋"/>
          <w:color w:val="auto"/>
          <w:sz w:val="32"/>
          <w:szCs w:val="32"/>
          <w:highlight w:val="none"/>
          <w:shd w:val="clear" w:color="auto" w:fill="auto"/>
          <w:lang w:val="en-US"/>
        </w:rPr>
        <w:t>3</w:t>
      </w:r>
      <w:r>
        <w:rPr>
          <w:rFonts w:hint="eastAsia" w:ascii="仿宋" w:hAnsi="仿宋" w:eastAsia="仿宋" w:cs="仿宋"/>
          <w:color w:val="auto"/>
          <w:sz w:val="32"/>
          <w:szCs w:val="32"/>
          <w:highlight w:val="none"/>
          <w:shd w:val="clear" w:color="auto" w:fill="auto"/>
        </w:rPr>
        <w:t>）进行评价。</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（四）汇总上报全区水运工程设计和施工企业投标行为评价及其他信用行为评价成果材料。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五）结合项目日常监管，建立水运建设项目信用信息台帐，监督检查中发现从业单位失信的投标行为及其他信用行为，在其官网上予以公示，并组织核查，相关情况将作为信用信息评价的依据；协助指导各市交通运输（港口）行政主管部门完成从业单位及其关键从业人员的信用评价相关资料的收集、汇总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（六）按自治区交通运输厅要求完成水运工程设计和施工企业信用评价的其他工作。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第十一条 各市交通运输（港口）行政主管部门负责开展本辖区内水运工程设计和施工企业信用评价工作，按自治区交通运输厅要求完成水运工程设计和施工企业信用评价的其他工作。主要职责是：</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（一）负责实施本辖区内水运工程设计和施工企业的信用评价有关工作。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（二）收集汇总辖区内水运工程招标人对设计、施工企业投标行为信用评价材料以及项目法人（建设单位）对设计、施工企业履约行为信用评价材料。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（三）对辖区内水运工程招标人以及项目法人（建设单位）作出的信用评价进行初步审核确认，如有调整，应对调整内容进行说明。</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（四）按照《评定标准》和《计算方法》对水运工程设计和施工企业其他信用行为进行评价。</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（五）指导和监督水运工程招标人、项目法人（建设单位）开展水运工程设计、施工企业信用评价工作。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（六）负责辖区内水运工程设计和施工企业信用信息汇总、审核和上报工作。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第十二条 招标人或项目法人（建设单位）的主要职责是：</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（一）负责其建设项目中水运工程设计和施工企业的投标行为、履约行为的评价工作，并按照项目管理权限将水运工程设计和施工企业不良行为扣分情况和履约考核结果报当地交通运输（港口</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行政主管部门。</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（二）按照本实施细则的规定，制定项目履约考核工作方案，并在项目招标文件中载明。</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（三）协助交通运输（港口）行政主管部门等相关部门做好所管理项目水运工程设计和施工企业的信用评价工作。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第十三条 水运工程设计和施工企业信用评价工作实行定期评价和动态管理相结合的方式。定期评价周期为</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年，评价期为每年</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月</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日至</w:t>
      </w:r>
      <w:r>
        <w:rPr>
          <w:rFonts w:hint="eastAsia" w:ascii="仿宋" w:hAnsi="仿宋" w:eastAsia="仿宋" w:cs="仿宋"/>
          <w:color w:val="auto"/>
          <w:sz w:val="32"/>
          <w:szCs w:val="32"/>
          <w:highlight w:val="none"/>
          <w:shd w:val="clear" w:color="auto" w:fill="auto"/>
          <w:lang w:val="en-US"/>
        </w:rPr>
        <w:t>12</w:t>
      </w:r>
      <w:r>
        <w:rPr>
          <w:rFonts w:hint="eastAsia" w:ascii="仿宋" w:hAnsi="仿宋" w:eastAsia="仿宋" w:cs="仿宋"/>
          <w:color w:val="auto"/>
          <w:sz w:val="32"/>
          <w:szCs w:val="32"/>
          <w:highlight w:val="none"/>
          <w:shd w:val="clear" w:color="auto" w:fill="auto"/>
        </w:rPr>
        <w:t>月</w:t>
      </w:r>
      <w:r>
        <w:rPr>
          <w:rFonts w:hint="eastAsia" w:ascii="仿宋" w:hAnsi="仿宋" w:eastAsia="仿宋" w:cs="仿宋"/>
          <w:color w:val="auto"/>
          <w:sz w:val="32"/>
          <w:szCs w:val="32"/>
          <w:highlight w:val="none"/>
          <w:shd w:val="clear" w:color="auto" w:fill="auto"/>
          <w:lang w:val="en-US"/>
        </w:rPr>
        <w:t>31</w:t>
      </w:r>
      <w:r>
        <w:rPr>
          <w:rFonts w:hint="eastAsia" w:ascii="仿宋" w:hAnsi="仿宋" w:eastAsia="仿宋" w:cs="仿宋"/>
          <w:color w:val="auto"/>
          <w:sz w:val="32"/>
          <w:szCs w:val="32"/>
          <w:highlight w:val="none"/>
          <w:shd w:val="clear" w:color="auto" w:fill="auto"/>
        </w:rPr>
        <w:t>日。对存在严重失信行为或按规定直接进行定级的企业实行动态管理。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第十四条 水运工程设计和施工企业信用评价内容包括投标行为、履约行为和其他信用行为。</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第十五条 设计、施工企业投标行为由招标人进行初步评价；履约行为由项目法人（建设单位）进行初步评价，对于通过招标方式选定的特许经营项目投资人依法自行提供设计、施工的，其履约行为由特许经营权出让人或委托机构进行初步评价；其他信用行为由各市交通运输（港口）行政主管部门初步评价。投标行为评价及其他信用行为评价成果由</w:t>
      </w:r>
      <w:r>
        <w:rPr>
          <w:rFonts w:hint="eastAsia" w:ascii="仿宋" w:hAnsi="仿宋" w:eastAsia="仿宋" w:cs="仿宋"/>
          <w:b/>
          <w:bCs/>
          <w:color w:val="auto"/>
          <w:sz w:val="32"/>
          <w:szCs w:val="32"/>
          <w:highlight w:val="none"/>
          <w:shd w:val="clear" w:color="auto" w:fill="auto"/>
        </w:rPr>
        <w:t>自治区</w:t>
      </w:r>
      <w:r>
        <w:rPr>
          <w:rFonts w:hint="eastAsia" w:ascii="仿宋" w:hAnsi="仿宋" w:eastAsia="仿宋" w:cs="仿宋"/>
          <w:b/>
          <w:bCs/>
          <w:color w:val="auto"/>
          <w:sz w:val="32"/>
          <w:szCs w:val="32"/>
          <w:highlight w:val="none"/>
          <w:shd w:val="clear" w:color="auto" w:fill="auto"/>
          <w:lang w:eastAsia="zh-CN"/>
        </w:rPr>
        <w:t>港航发展中心</w:t>
      </w:r>
      <w:r>
        <w:rPr>
          <w:rFonts w:hint="eastAsia" w:ascii="仿宋" w:hAnsi="仿宋" w:eastAsia="仿宋" w:cs="仿宋"/>
          <w:color w:val="auto"/>
          <w:sz w:val="32"/>
          <w:szCs w:val="32"/>
          <w:highlight w:val="none"/>
          <w:shd w:val="clear" w:color="auto" w:fill="auto"/>
        </w:rPr>
        <w:t>审核，履约行为信用评价结果由</w:t>
      </w:r>
      <w:r>
        <w:rPr>
          <w:rFonts w:hint="eastAsia" w:ascii="仿宋" w:hAnsi="仿宋" w:eastAsia="仿宋" w:cs="仿宋"/>
          <w:b/>
          <w:bCs/>
          <w:color w:val="auto"/>
          <w:sz w:val="32"/>
          <w:szCs w:val="32"/>
          <w:highlight w:val="none"/>
          <w:shd w:val="clear" w:color="auto" w:fill="auto"/>
        </w:rPr>
        <w:t>自治区交通运输工程质量监测鉴定中心</w:t>
      </w:r>
      <w:r>
        <w:rPr>
          <w:rFonts w:hint="eastAsia" w:ascii="仿宋" w:hAnsi="仿宋" w:eastAsia="仿宋" w:cs="仿宋"/>
          <w:color w:val="auto"/>
          <w:sz w:val="32"/>
          <w:szCs w:val="32"/>
          <w:highlight w:val="none"/>
          <w:shd w:val="clear" w:color="auto" w:fill="auto"/>
        </w:rPr>
        <w:t>审核。信用评价领导小组对评价结果进行审定。</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各评价单位对相应的评价结果负责，并应将各评价结果和相关材料录入广西壮族自治区水运工程建设市场信用信息管理系统。</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第十六条 水运工程设计和施工企业信用评价采用综合评分制，总分为</w:t>
      </w:r>
      <w:r>
        <w:rPr>
          <w:rFonts w:hint="eastAsia" w:ascii="仿宋" w:hAnsi="仿宋" w:eastAsia="仿宋" w:cs="仿宋"/>
          <w:color w:val="auto"/>
          <w:sz w:val="32"/>
          <w:szCs w:val="32"/>
          <w:highlight w:val="none"/>
          <w:shd w:val="clear" w:color="auto" w:fill="auto"/>
          <w:lang w:val="en-US"/>
        </w:rPr>
        <w:t>100</w:t>
      </w:r>
      <w:r>
        <w:rPr>
          <w:rFonts w:hint="eastAsia" w:ascii="仿宋" w:hAnsi="仿宋" w:eastAsia="仿宋" w:cs="仿宋"/>
          <w:color w:val="auto"/>
          <w:sz w:val="32"/>
          <w:szCs w:val="32"/>
          <w:highlight w:val="none"/>
          <w:shd w:val="clear" w:color="auto" w:fill="auto"/>
        </w:rPr>
        <w:t>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对企业失信行为按照本实施细则规定的《评定标准》进行扣分。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对在抢险救灾、应急保障、国防战备等任务中受到省部级以上行政机关表彰的企业，以及承担的水运工程建设项目获得国家科技进步奖（二等奖以上）、国家优质工程奖、詹天佑奖、鲁班奖的企业，给予适当加分奖励。</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水运工程设计和施工企业信用评价评分计算按照本实施细则规定的《计算方法》执行。</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第十七条 水运工程设计和施工企业信用评价等级分为AA、A、B、C、D五个等级，</w:t>
      </w:r>
      <w:r>
        <w:rPr>
          <w:rFonts w:hint="eastAsia" w:ascii="仿宋" w:hAnsi="仿宋" w:eastAsia="仿宋" w:cs="仿宋"/>
          <w:b/>
          <w:bCs/>
          <w:color w:val="auto"/>
          <w:sz w:val="32"/>
          <w:szCs w:val="32"/>
          <w:highlight w:val="none"/>
          <w:shd w:val="clear" w:color="auto" w:fill="auto"/>
        </w:rPr>
        <w:t>各信用等级对应的企业综合评分分别为：</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（一）AA级：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95分≤X≤100分，如年度信用评价符合AA级要求（X≥95分）的企业占参评企业总数的比例超过50%时，按年度信用评价综合评分从高到低选取参评企业总数50%以内</w:t>
      </w:r>
      <w:r>
        <w:rPr>
          <w:rFonts w:hint="eastAsia" w:ascii="仿宋" w:hAnsi="仿宋" w:eastAsia="仿宋" w:cs="仿宋"/>
          <w:b/>
          <w:bCs/>
          <w:color w:val="auto"/>
          <w:sz w:val="32"/>
          <w:szCs w:val="32"/>
          <w:highlight w:val="none"/>
          <w:shd w:val="clear" w:color="auto" w:fill="auto"/>
          <w:lang w:eastAsia="zh-CN"/>
        </w:rPr>
        <w:t>（含</w:t>
      </w:r>
      <w:r>
        <w:rPr>
          <w:rFonts w:hint="eastAsia" w:ascii="仿宋" w:hAnsi="仿宋" w:eastAsia="仿宋" w:cs="仿宋"/>
          <w:b/>
          <w:bCs/>
          <w:color w:val="auto"/>
          <w:sz w:val="32"/>
          <w:szCs w:val="32"/>
          <w:highlight w:val="none"/>
          <w:shd w:val="clear" w:color="auto" w:fill="auto"/>
          <w:lang w:val="en-US" w:eastAsia="zh-CN"/>
        </w:rPr>
        <w:t>50%</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的企业。</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评价结论：信用好。</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（二）A级：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85分≤X＜95分；或X≥95分，但</w:t>
      </w:r>
      <w:r>
        <w:rPr>
          <w:rFonts w:hint="eastAsia" w:ascii="仿宋" w:hAnsi="仿宋" w:eastAsia="仿宋" w:cs="仿宋"/>
          <w:b/>
          <w:bCs/>
          <w:color w:val="auto"/>
          <w:sz w:val="32"/>
          <w:szCs w:val="32"/>
          <w:highlight w:val="none"/>
          <w:shd w:val="clear" w:color="auto" w:fill="auto"/>
          <w:lang w:eastAsia="zh-CN"/>
        </w:rPr>
        <w:t>不</w:t>
      </w:r>
      <w:r>
        <w:rPr>
          <w:rFonts w:hint="eastAsia" w:ascii="仿宋" w:hAnsi="仿宋" w:eastAsia="仿宋" w:cs="仿宋"/>
          <w:b/>
          <w:bCs/>
          <w:color w:val="auto"/>
          <w:sz w:val="32"/>
          <w:szCs w:val="32"/>
          <w:highlight w:val="none"/>
          <w:shd w:val="clear" w:color="auto" w:fill="auto"/>
        </w:rPr>
        <w:t>满足</w:t>
      </w:r>
      <w:r>
        <w:rPr>
          <w:rFonts w:hint="eastAsia" w:ascii="仿宋" w:hAnsi="仿宋" w:eastAsia="仿宋" w:cs="仿宋"/>
          <w:b/>
          <w:bCs/>
          <w:color w:val="auto"/>
          <w:sz w:val="32"/>
          <w:szCs w:val="32"/>
          <w:highlight w:val="none"/>
          <w:shd w:val="clear" w:color="auto" w:fill="auto"/>
          <w:lang w:eastAsia="zh-CN"/>
        </w:rPr>
        <w:t>“（一）</w:t>
      </w:r>
      <w:r>
        <w:rPr>
          <w:rFonts w:hint="eastAsia" w:ascii="仿宋" w:hAnsi="仿宋" w:eastAsia="仿宋" w:cs="仿宋"/>
          <w:b/>
          <w:bCs/>
          <w:color w:val="auto"/>
          <w:sz w:val="32"/>
          <w:szCs w:val="32"/>
          <w:highlight w:val="none"/>
          <w:shd w:val="clear" w:color="auto" w:fill="auto"/>
        </w:rPr>
        <w:t>AA级</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要求的企业</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按年度信用评价综合评分从高到低</w:t>
      </w:r>
      <w:r>
        <w:rPr>
          <w:rFonts w:hint="eastAsia" w:ascii="仿宋" w:hAnsi="仿宋" w:eastAsia="仿宋" w:cs="仿宋"/>
          <w:b/>
          <w:bCs/>
          <w:color w:val="auto"/>
          <w:sz w:val="32"/>
          <w:szCs w:val="32"/>
          <w:highlight w:val="none"/>
          <w:shd w:val="clear" w:color="auto" w:fill="auto"/>
          <w:lang w:eastAsia="zh-CN"/>
        </w:rPr>
        <w:t>，综合评分在</w:t>
      </w:r>
      <w:r>
        <w:rPr>
          <w:rFonts w:hint="eastAsia" w:ascii="仿宋" w:hAnsi="仿宋" w:eastAsia="仿宋" w:cs="仿宋"/>
          <w:b/>
          <w:bCs/>
          <w:color w:val="auto"/>
          <w:sz w:val="32"/>
          <w:szCs w:val="32"/>
          <w:highlight w:val="none"/>
          <w:shd w:val="clear" w:color="auto" w:fill="auto"/>
        </w:rPr>
        <w:t>参评企业总数50%以</w:t>
      </w:r>
      <w:r>
        <w:rPr>
          <w:rFonts w:hint="eastAsia" w:ascii="仿宋" w:hAnsi="仿宋" w:eastAsia="仿宋" w:cs="仿宋"/>
          <w:b/>
          <w:bCs/>
          <w:color w:val="auto"/>
          <w:sz w:val="32"/>
          <w:szCs w:val="32"/>
          <w:highlight w:val="none"/>
          <w:shd w:val="clear" w:color="auto" w:fill="auto"/>
          <w:lang w:eastAsia="zh-CN"/>
        </w:rPr>
        <w:t>上（不含</w:t>
      </w:r>
      <w:r>
        <w:rPr>
          <w:rFonts w:hint="eastAsia" w:ascii="仿宋" w:hAnsi="仿宋" w:eastAsia="仿宋" w:cs="仿宋"/>
          <w:b/>
          <w:bCs/>
          <w:color w:val="auto"/>
          <w:sz w:val="32"/>
          <w:szCs w:val="32"/>
          <w:highlight w:val="none"/>
          <w:shd w:val="clear" w:color="auto" w:fill="auto"/>
          <w:lang w:val="en-US" w:eastAsia="zh-CN"/>
        </w:rPr>
        <w:t>50%</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的企业</w:t>
      </w:r>
      <w:r>
        <w:rPr>
          <w:rFonts w:hint="eastAsia" w:ascii="仿宋" w:hAnsi="仿宋" w:eastAsia="仿宋" w:cs="仿宋"/>
          <w:b/>
          <w:bCs/>
          <w:color w:val="auto"/>
          <w:sz w:val="32"/>
          <w:szCs w:val="32"/>
          <w:highlight w:val="none"/>
          <w:shd w:val="clear" w:color="auto" w:fill="auto"/>
          <w:lang w:eastAsia="zh-CN"/>
        </w:rPr>
        <w:t>）</w:t>
      </w:r>
      <w:r>
        <w:rPr>
          <w:rFonts w:hint="eastAsia" w:ascii="仿宋" w:hAnsi="仿宋" w:eastAsia="仿宋" w:cs="仿宋"/>
          <w:b/>
          <w:bCs/>
          <w:color w:val="auto"/>
          <w:sz w:val="32"/>
          <w:szCs w:val="32"/>
          <w:highlight w:val="none"/>
          <w:shd w:val="clear" w:color="auto" w:fill="auto"/>
        </w:rPr>
        <w:t>。</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评价结论：信用较好。</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（三）B级：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75分≤X＜85分。</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评价结论：信用一般。</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（四）C级：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60分≤X＜75分；或存在直接定为C级的不良行为。</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评价结论：信用较差。</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（五）D级：</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X＜60分；或存在直接定为D级的不良行为。</w:t>
      </w:r>
    </w:p>
    <w:p>
      <w:pPr>
        <w:pStyle w:val="5"/>
        <w:widowControl/>
        <w:spacing w:before="16" w:beforeAutospacing="0" w:after="16" w:afterAutospacing="0" w:line="560" w:lineRule="exact"/>
        <w:ind w:firstLine="420"/>
        <w:rPr>
          <w:rFonts w:ascii="仿宋" w:hAnsi="仿宋" w:eastAsia="仿宋" w:cs="仿宋"/>
          <w:b/>
          <w:bCs/>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评价结论：信用差。</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信用评价结果实行告知和公示制度。信用评价结果将在自治区交通运输厅政府部门网站及广西壮族自治区水运工程建设市场信用信息管理系统平台上公开。</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第十八条 水运工程设计和施工企业信用行为评分的依据为：</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（一）各级交通运输行政主管部门及港航（港口、港务）管理部门、水运工程质量安全监督机构等的督查、检查结果或通报、决定等。</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（二）招标人、项目法人（建设单位）、监理单位等管理工作中形成的文件。</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（三）举报、投诉或质量、安全事故调查处理结果。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（四）司法判决、裁定、认定及审计意见等。</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（五）自治区级以上水运工程建设市场信用信息管理系统发布的信息。</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（六）其他有关信用信息。</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第十九条 水运工程设计和施工企业信用评价程序与分工：</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（一）投标行为评价。</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招标人或项目法人（建设单位）每完成一次招标工作或定期检查、不定期检查、专项检查、投诉举报调查等工作，应及时发布投标不良行为通报、检查通报、调查处理意见等，制作《水运工程设计和施工企业信用评价不良行为告知单》（见附件</w:t>
      </w:r>
      <w:r>
        <w:rPr>
          <w:rFonts w:hint="eastAsia" w:ascii="仿宋" w:hAnsi="仿宋" w:eastAsia="仿宋" w:cs="仿宋"/>
          <w:color w:val="auto"/>
          <w:sz w:val="32"/>
          <w:szCs w:val="32"/>
          <w:highlight w:val="none"/>
          <w:shd w:val="clear" w:color="auto" w:fill="auto"/>
          <w:lang w:val="en-US"/>
        </w:rPr>
        <w:t>4</w:t>
      </w:r>
      <w:r>
        <w:rPr>
          <w:rFonts w:hint="eastAsia" w:ascii="仿宋" w:hAnsi="仿宋" w:eastAsia="仿宋" w:cs="仿宋"/>
          <w:color w:val="auto"/>
          <w:sz w:val="32"/>
          <w:szCs w:val="32"/>
          <w:highlight w:val="none"/>
          <w:shd w:val="clear" w:color="auto" w:fill="auto"/>
        </w:rPr>
        <w:t>），告知相关企业，各相关企业应对不良行为记录进行签收。相关企业对其不良行为有异议的，应在收到《水运工程设计和施工企业信用评价不良行为告知单》后</w:t>
      </w:r>
      <w:r>
        <w:rPr>
          <w:rFonts w:hint="eastAsia" w:ascii="仿宋" w:hAnsi="仿宋" w:eastAsia="仿宋" w:cs="仿宋"/>
          <w:color w:val="auto"/>
          <w:sz w:val="32"/>
          <w:szCs w:val="32"/>
          <w:highlight w:val="none"/>
          <w:shd w:val="clear" w:color="auto" w:fill="auto"/>
          <w:lang w:val="en-US"/>
        </w:rPr>
        <w:t>10</w:t>
      </w:r>
      <w:r>
        <w:rPr>
          <w:rFonts w:hint="eastAsia" w:ascii="仿宋" w:hAnsi="仿宋" w:eastAsia="仿宋" w:cs="仿宋"/>
          <w:color w:val="auto"/>
          <w:sz w:val="32"/>
          <w:szCs w:val="32"/>
          <w:highlight w:val="none"/>
          <w:shd w:val="clear" w:color="auto" w:fill="auto"/>
        </w:rPr>
        <w:t>日内提出异议，并提供相关依据、理由，否则视为认可。相关企业对其不良行为提出异议的，由项目法人（建设单位）组织复核，复核结果送相关企业。</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rPr>
        <w:t>2</w:t>
      </w:r>
      <w:r>
        <w:rPr>
          <w:rFonts w:hint="eastAsia" w:ascii="仿宋" w:hAnsi="仿宋" w:eastAsia="仿宋" w:cs="仿宋"/>
          <w:color w:val="auto"/>
          <w:sz w:val="32"/>
          <w:szCs w:val="32"/>
          <w:highlight w:val="none"/>
          <w:shd w:val="clear" w:color="auto" w:fill="auto"/>
        </w:rPr>
        <w:t>、各市交通运输（港口</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行政主管部门、</w:t>
      </w:r>
      <w:r>
        <w:rPr>
          <w:rFonts w:hint="eastAsia" w:ascii="仿宋" w:hAnsi="仿宋" w:eastAsia="仿宋" w:cs="仿宋"/>
          <w:b/>
          <w:bCs/>
          <w:color w:val="auto"/>
          <w:sz w:val="32"/>
          <w:szCs w:val="32"/>
          <w:highlight w:val="none"/>
          <w:shd w:val="clear" w:color="auto" w:fill="auto"/>
        </w:rPr>
        <w:t>自治区</w:t>
      </w:r>
      <w:r>
        <w:rPr>
          <w:rFonts w:hint="eastAsia" w:ascii="仿宋" w:hAnsi="仿宋" w:eastAsia="仿宋" w:cs="仿宋"/>
          <w:b/>
          <w:bCs/>
          <w:color w:val="auto"/>
          <w:sz w:val="32"/>
          <w:szCs w:val="32"/>
          <w:highlight w:val="none"/>
          <w:shd w:val="clear" w:color="auto" w:fill="auto"/>
          <w:lang w:eastAsia="zh-CN"/>
        </w:rPr>
        <w:t>港航发展中心</w:t>
      </w:r>
      <w:r>
        <w:rPr>
          <w:rFonts w:hint="eastAsia" w:ascii="仿宋" w:hAnsi="仿宋" w:eastAsia="仿宋" w:cs="仿宋"/>
          <w:color w:val="auto"/>
          <w:sz w:val="32"/>
          <w:szCs w:val="32"/>
          <w:highlight w:val="none"/>
          <w:shd w:val="clear" w:color="auto" w:fill="auto"/>
        </w:rPr>
        <w:t>在工作中发现或查处相关企业的不良行为等问题，应及时向项目法人（建设单位）印发通报文件，项目法人（建设单位）应及时依据通报文件，制作《水运工程设计和施工企业信用评价不良行为告知单》，按本条第</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款要求完成告知，异议复核等工作，复核结果送检查单位和相关企业。</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已确认的不良行为纳入企业的信用评价台账。</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招标人或项目法人（建设单位）应对参与投标且存在失信行为的水运工程设计和施工企业按照《评定标准》和《计算方法》进行评价，将评价结果和相关材料报所在地市交通运输（港口）行政主管部门。</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联合体有投标失信行为的，其各方均按同一标准进行评价。</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（二）履约行为评价。履约行为检查采取定期和不定期检查相结合。</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项目法人（建设单位）应组织定期检查，同时项目法人（建设单位）和各市交通运输</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港口）行政主管部门应结合项目建设情况进行不定期检查。</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检查时，各检查部门应加强资料收集、整理工作，形成正式书面检查通报文件，作为失信行为记录基础材料。</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项目法人（建设单位）结合建设管理工作，对水运工程设计和施工企业按照《评定标准》和《计算方法》进行评价，并于每年的</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月</w:t>
      </w:r>
      <w:r>
        <w:rPr>
          <w:rFonts w:hint="eastAsia" w:ascii="仿宋" w:hAnsi="仿宋" w:eastAsia="仿宋" w:cs="仿宋"/>
          <w:color w:val="auto"/>
          <w:sz w:val="32"/>
          <w:szCs w:val="32"/>
          <w:highlight w:val="none"/>
          <w:shd w:val="clear" w:color="auto" w:fill="auto"/>
          <w:lang w:val="en-US"/>
        </w:rPr>
        <w:t>31</w:t>
      </w:r>
      <w:r>
        <w:rPr>
          <w:rFonts w:hint="eastAsia" w:ascii="仿宋" w:hAnsi="仿宋" w:eastAsia="仿宋" w:cs="仿宋"/>
          <w:color w:val="auto"/>
          <w:sz w:val="32"/>
          <w:szCs w:val="32"/>
          <w:highlight w:val="none"/>
          <w:shd w:val="clear" w:color="auto" w:fill="auto"/>
        </w:rPr>
        <w:t>日前将上一年度的评价结果和相关材料报所在地市交通运输</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港口）行政主管部门。</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对当年组织交工验收的工程项目，项目法人（建设单位）应在交工验收完成后一个月内完成履约行为评价，并将评价结果和相关材料报所在地市交通运输</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港口）行政主管部门。</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联合体有不良履约行为的，其各方均按同一标准进行评价。</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（三）其他信用行为评价。各市交通运输（港口）行政主管部门按照《评定标准》和《计算方法》进行初步评价。</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（四）评价结果及材料收集、审核和汇总。</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各市交通运输（港口</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行政主管部门对招标人、项目法人（建设单位）上报的评价结果及材料进行初步审核，并对水运工程设计和施工企业其他信用行为进行初步评价。上一年度的投标行为、其他信用行为评价结果及相关材料于每年</w:t>
      </w:r>
      <w:r>
        <w:rPr>
          <w:rFonts w:hint="eastAsia" w:ascii="仿宋" w:hAnsi="仿宋" w:eastAsia="仿宋" w:cs="仿宋"/>
          <w:color w:val="auto"/>
          <w:sz w:val="32"/>
          <w:szCs w:val="32"/>
          <w:highlight w:val="none"/>
          <w:shd w:val="clear" w:color="auto" w:fill="auto"/>
          <w:lang w:val="en-US"/>
        </w:rPr>
        <w:t>2</w:t>
      </w:r>
      <w:r>
        <w:rPr>
          <w:rFonts w:hint="eastAsia" w:ascii="仿宋" w:hAnsi="仿宋" w:eastAsia="仿宋" w:cs="仿宋"/>
          <w:color w:val="auto"/>
          <w:sz w:val="32"/>
          <w:szCs w:val="32"/>
          <w:highlight w:val="none"/>
          <w:shd w:val="clear" w:color="auto" w:fill="auto"/>
        </w:rPr>
        <w:t>月</w:t>
      </w:r>
      <w:r>
        <w:rPr>
          <w:rFonts w:hint="eastAsia" w:ascii="仿宋" w:hAnsi="仿宋" w:eastAsia="仿宋" w:cs="仿宋"/>
          <w:color w:val="auto"/>
          <w:sz w:val="32"/>
          <w:szCs w:val="32"/>
          <w:highlight w:val="none"/>
          <w:shd w:val="clear" w:color="auto" w:fill="auto"/>
          <w:lang w:val="en-US"/>
        </w:rPr>
        <w:t>15</w:t>
      </w:r>
      <w:r>
        <w:rPr>
          <w:rFonts w:hint="eastAsia" w:ascii="仿宋" w:hAnsi="仿宋" w:eastAsia="仿宋" w:cs="仿宋"/>
          <w:color w:val="auto"/>
          <w:sz w:val="32"/>
          <w:szCs w:val="32"/>
          <w:highlight w:val="none"/>
          <w:shd w:val="clear" w:color="auto" w:fill="auto"/>
        </w:rPr>
        <w:t>日前报</w:t>
      </w:r>
      <w:r>
        <w:rPr>
          <w:rFonts w:hint="eastAsia" w:ascii="仿宋" w:hAnsi="仿宋" w:eastAsia="仿宋" w:cs="仿宋"/>
          <w:b/>
          <w:bCs/>
          <w:color w:val="auto"/>
          <w:sz w:val="32"/>
          <w:szCs w:val="32"/>
          <w:highlight w:val="none"/>
          <w:shd w:val="clear" w:color="auto" w:fill="auto"/>
        </w:rPr>
        <w:t>自治区</w:t>
      </w:r>
      <w:r>
        <w:rPr>
          <w:rFonts w:hint="eastAsia" w:ascii="仿宋" w:hAnsi="仿宋" w:eastAsia="仿宋" w:cs="仿宋"/>
          <w:b/>
          <w:bCs/>
          <w:color w:val="auto"/>
          <w:sz w:val="32"/>
          <w:szCs w:val="32"/>
          <w:highlight w:val="none"/>
          <w:shd w:val="clear" w:color="auto" w:fill="auto"/>
          <w:lang w:eastAsia="zh-CN"/>
        </w:rPr>
        <w:t>港航发展中心</w:t>
      </w:r>
      <w:r>
        <w:rPr>
          <w:rFonts w:hint="eastAsia" w:ascii="仿宋" w:hAnsi="仿宋" w:eastAsia="仿宋" w:cs="仿宋"/>
          <w:color w:val="auto"/>
          <w:sz w:val="32"/>
          <w:szCs w:val="32"/>
          <w:highlight w:val="none"/>
          <w:shd w:val="clear" w:color="auto" w:fill="auto"/>
        </w:rPr>
        <w:t>，上一年度的履约行为评价结果及相关材料于每年</w:t>
      </w:r>
      <w:r>
        <w:rPr>
          <w:rFonts w:hint="eastAsia" w:ascii="仿宋" w:hAnsi="仿宋" w:eastAsia="仿宋" w:cs="仿宋"/>
          <w:color w:val="auto"/>
          <w:sz w:val="32"/>
          <w:szCs w:val="32"/>
          <w:highlight w:val="none"/>
          <w:shd w:val="clear" w:color="auto" w:fill="auto"/>
          <w:lang w:val="en-US"/>
        </w:rPr>
        <w:t>2</w:t>
      </w:r>
      <w:r>
        <w:rPr>
          <w:rFonts w:hint="eastAsia" w:ascii="仿宋" w:hAnsi="仿宋" w:eastAsia="仿宋" w:cs="仿宋"/>
          <w:color w:val="auto"/>
          <w:sz w:val="32"/>
          <w:szCs w:val="32"/>
          <w:highlight w:val="none"/>
          <w:shd w:val="clear" w:color="auto" w:fill="auto"/>
        </w:rPr>
        <w:t>月</w:t>
      </w:r>
      <w:r>
        <w:rPr>
          <w:rFonts w:hint="eastAsia" w:ascii="仿宋" w:hAnsi="仿宋" w:eastAsia="仿宋" w:cs="仿宋"/>
          <w:color w:val="auto"/>
          <w:sz w:val="32"/>
          <w:szCs w:val="32"/>
          <w:highlight w:val="none"/>
          <w:shd w:val="clear" w:color="auto" w:fill="auto"/>
          <w:lang w:val="en-US"/>
        </w:rPr>
        <w:t>15</w:t>
      </w:r>
      <w:r>
        <w:rPr>
          <w:rFonts w:hint="eastAsia" w:ascii="仿宋" w:hAnsi="仿宋" w:eastAsia="仿宋" w:cs="仿宋"/>
          <w:color w:val="auto"/>
          <w:sz w:val="32"/>
          <w:szCs w:val="32"/>
          <w:highlight w:val="none"/>
          <w:shd w:val="clear" w:color="auto" w:fill="auto"/>
        </w:rPr>
        <w:t>日前报</w:t>
      </w:r>
      <w:r>
        <w:rPr>
          <w:rFonts w:hint="eastAsia" w:ascii="仿宋" w:hAnsi="仿宋" w:eastAsia="仿宋" w:cs="仿宋"/>
          <w:b/>
          <w:bCs/>
          <w:color w:val="auto"/>
          <w:sz w:val="32"/>
          <w:szCs w:val="32"/>
          <w:highlight w:val="none"/>
          <w:shd w:val="clear" w:color="auto" w:fill="auto"/>
        </w:rPr>
        <w:t>自治区交通运输工程质量监测鉴定中心</w:t>
      </w:r>
      <w:r>
        <w:rPr>
          <w:rFonts w:hint="eastAsia" w:ascii="仿宋" w:hAnsi="仿宋" w:eastAsia="仿宋" w:cs="仿宋"/>
          <w:color w:val="auto"/>
          <w:sz w:val="32"/>
          <w:szCs w:val="32"/>
          <w:highlight w:val="none"/>
          <w:shd w:val="clear" w:color="auto" w:fill="auto"/>
        </w:rPr>
        <w:t>。</w:t>
      </w:r>
    </w:p>
    <w:p>
      <w:pPr>
        <w:pStyle w:val="5"/>
        <w:widowControl/>
        <w:spacing w:before="16" w:beforeAutospacing="0" w:after="16" w:afterAutospacing="0" w:line="560" w:lineRule="exact"/>
        <w:ind w:firstLine="642"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自治区</w:t>
      </w:r>
      <w:r>
        <w:rPr>
          <w:rFonts w:hint="eastAsia" w:ascii="仿宋" w:hAnsi="仿宋" w:eastAsia="仿宋" w:cs="仿宋"/>
          <w:b/>
          <w:bCs/>
          <w:color w:val="auto"/>
          <w:sz w:val="32"/>
          <w:szCs w:val="32"/>
          <w:highlight w:val="none"/>
          <w:shd w:val="clear" w:color="auto" w:fill="auto"/>
          <w:lang w:eastAsia="zh-CN"/>
        </w:rPr>
        <w:t>港航发展中心</w:t>
      </w:r>
      <w:r>
        <w:rPr>
          <w:rFonts w:hint="eastAsia" w:ascii="仿宋" w:hAnsi="仿宋" w:eastAsia="仿宋" w:cs="仿宋"/>
          <w:color w:val="auto"/>
          <w:sz w:val="32"/>
          <w:szCs w:val="32"/>
          <w:highlight w:val="none"/>
          <w:shd w:val="clear" w:color="auto" w:fill="auto"/>
        </w:rPr>
        <w:t>对各市交通运输（港口）行政主管部门上报的投标行为、其他信用行为评价结果及材料进行收集、审核和汇总，</w:t>
      </w:r>
      <w:r>
        <w:rPr>
          <w:rFonts w:hint="eastAsia" w:ascii="仿宋" w:hAnsi="仿宋" w:eastAsia="仿宋" w:cs="仿宋"/>
          <w:b/>
          <w:bCs/>
          <w:color w:val="auto"/>
          <w:sz w:val="32"/>
          <w:szCs w:val="32"/>
          <w:highlight w:val="none"/>
          <w:shd w:val="clear" w:color="auto" w:fill="auto"/>
        </w:rPr>
        <w:t>自治区交通运输工程质量监测鉴定中心</w:t>
      </w:r>
      <w:r>
        <w:rPr>
          <w:rFonts w:hint="eastAsia" w:ascii="仿宋" w:hAnsi="仿宋" w:eastAsia="仿宋" w:cs="仿宋"/>
          <w:color w:val="auto"/>
          <w:sz w:val="32"/>
          <w:szCs w:val="32"/>
          <w:highlight w:val="none"/>
          <w:shd w:val="clear" w:color="auto" w:fill="auto"/>
        </w:rPr>
        <w:t>对各市交通运输</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港口</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行政主管部门上报的履约行为评价结果及材料进行收集、审核和汇总，分别于</w:t>
      </w:r>
      <w:r>
        <w:rPr>
          <w:rFonts w:hint="eastAsia" w:ascii="仿宋" w:hAnsi="仿宋" w:eastAsia="仿宋" w:cs="仿宋"/>
          <w:color w:val="auto"/>
          <w:sz w:val="32"/>
          <w:szCs w:val="32"/>
          <w:highlight w:val="none"/>
          <w:shd w:val="clear" w:color="auto" w:fill="auto"/>
          <w:lang w:val="en-US"/>
        </w:rPr>
        <w:t>2</w:t>
      </w:r>
      <w:r>
        <w:rPr>
          <w:rFonts w:hint="eastAsia" w:ascii="仿宋" w:hAnsi="仿宋" w:eastAsia="仿宋" w:cs="仿宋"/>
          <w:color w:val="auto"/>
          <w:sz w:val="32"/>
          <w:szCs w:val="32"/>
          <w:highlight w:val="none"/>
          <w:shd w:val="clear" w:color="auto" w:fill="auto"/>
        </w:rPr>
        <w:t>月底前将汇总的审核评价结果及相关材料报信用评价领导小组办公室。</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信用评价领导小组办公室于每年</w:t>
      </w:r>
      <w:r>
        <w:rPr>
          <w:rFonts w:hint="eastAsia" w:ascii="仿宋" w:hAnsi="仿宋" w:eastAsia="仿宋" w:cs="仿宋"/>
          <w:color w:val="auto"/>
          <w:sz w:val="32"/>
          <w:szCs w:val="32"/>
          <w:highlight w:val="none"/>
          <w:shd w:val="clear" w:color="auto" w:fill="auto"/>
          <w:lang w:val="en-US"/>
        </w:rPr>
        <w:t>3</w:t>
      </w:r>
      <w:r>
        <w:rPr>
          <w:rFonts w:hint="eastAsia" w:ascii="仿宋" w:hAnsi="仿宋" w:eastAsia="仿宋" w:cs="仿宋"/>
          <w:color w:val="auto"/>
          <w:sz w:val="32"/>
          <w:szCs w:val="32"/>
          <w:highlight w:val="none"/>
          <w:shd w:val="clear" w:color="auto" w:fill="auto"/>
        </w:rPr>
        <w:t>月中旬完成水运工程设计和施工企业投标行为评价、履约行为评价和其他信用行为评价的审核和汇总评价周期内各企业的不良信用记录工作，提出综合评价等级评定建议报信用评价领导小组。</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五）自治区级综合评价。信用评价领导小组根据投标行为、履约行为以及其他信用行为的评价结果，按照《评定标准》和《计算方法》进行综合评价，并将评价结果在自治区交通运输厅政府部门网站、广西壮族自治区水运工程建设市场信用信息管理系统平台上公示、公告。公示期不少于</w:t>
      </w:r>
      <w:r>
        <w:rPr>
          <w:rFonts w:hint="eastAsia" w:ascii="仿宋" w:hAnsi="仿宋" w:eastAsia="仿宋" w:cs="仿宋"/>
          <w:color w:val="auto"/>
          <w:sz w:val="32"/>
          <w:szCs w:val="32"/>
          <w:highlight w:val="none"/>
          <w:shd w:val="clear" w:color="auto" w:fill="auto"/>
          <w:lang w:val="en-US"/>
        </w:rPr>
        <w:t>10</w:t>
      </w:r>
      <w:r>
        <w:rPr>
          <w:rFonts w:hint="eastAsia" w:ascii="仿宋" w:hAnsi="仿宋" w:eastAsia="仿宋" w:cs="仿宋"/>
          <w:color w:val="auto"/>
          <w:sz w:val="32"/>
          <w:szCs w:val="32"/>
          <w:highlight w:val="none"/>
          <w:shd w:val="clear" w:color="auto" w:fill="auto"/>
        </w:rPr>
        <w:t>日。</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上一年度自治区级综合评价工作于每年</w:t>
      </w:r>
      <w:r>
        <w:rPr>
          <w:rFonts w:hint="eastAsia" w:ascii="仿宋" w:hAnsi="仿宋" w:eastAsia="仿宋" w:cs="仿宋"/>
          <w:color w:val="auto"/>
          <w:sz w:val="32"/>
          <w:szCs w:val="32"/>
          <w:highlight w:val="none"/>
          <w:shd w:val="clear" w:color="auto" w:fill="auto"/>
          <w:lang w:val="en-US"/>
        </w:rPr>
        <w:t>3</w:t>
      </w:r>
      <w:r>
        <w:rPr>
          <w:rFonts w:hint="eastAsia" w:ascii="仿宋" w:hAnsi="仿宋" w:eastAsia="仿宋" w:cs="仿宋"/>
          <w:color w:val="auto"/>
          <w:sz w:val="32"/>
          <w:szCs w:val="32"/>
          <w:highlight w:val="none"/>
          <w:shd w:val="clear" w:color="auto" w:fill="auto"/>
        </w:rPr>
        <w:t>月</w:t>
      </w:r>
      <w:r>
        <w:rPr>
          <w:rFonts w:hint="eastAsia" w:ascii="仿宋" w:hAnsi="仿宋" w:eastAsia="仿宋" w:cs="仿宋"/>
          <w:color w:val="auto"/>
          <w:sz w:val="32"/>
          <w:szCs w:val="32"/>
          <w:highlight w:val="none"/>
          <w:shd w:val="clear" w:color="auto" w:fill="auto"/>
          <w:lang w:val="en-US"/>
        </w:rPr>
        <w:t>31</w:t>
      </w:r>
      <w:r>
        <w:rPr>
          <w:rFonts w:hint="eastAsia" w:ascii="仿宋" w:hAnsi="仿宋" w:eastAsia="仿宋" w:cs="仿宋"/>
          <w:color w:val="auto"/>
          <w:sz w:val="32"/>
          <w:szCs w:val="32"/>
          <w:highlight w:val="none"/>
          <w:shd w:val="clear" w:color="auto" w:fill="auto"/>
        </w:rPr>
        <w:t>日前完成，并于</w:t>
      </w:r>
      <w:r>
        <w:rPr>
          <w:rFonts w:hint="eastAsia" w:ascii="仿宋" w:hAnsi="仿宋" w:eastAsia="仿宋" w:cs="仿宋"/>
          <w:color w:val="auto"/>
          <w:sz w:val="32"/>
          <w:szCs w:val="32"/>
          <w:highlight w:val="none"/>
          <w:shd w:val="clear" w:color="auto" w:fill="auto"/>
          <w:lang w:val="en-US"/>
        </w:rPr>
        <w:t>4</w:t>
      </w:r>
      <w:r>
        <w:rPr>
          <w:rFonts w:hint="eastAsia" w:ascii="仿宋" w:hAnsi="仿宋" w:eastAsia="仿宋" w:cs="仿宋"/>
          <w:color w:val="auto"/>
          <w:sz w:val="32"/>
          <w:szCs w:val="32"/>
          <w:highlight w:val="none"/>
          <w:shd w:val="clear" w:color="auto" w:fill="auto"/>
        </w:rPr>
        <w:t>月</w:t>
      </w:r>
      <w:r>
        <w:rPr>
          <w:rFonts w:hint="eastAsia" w:ascii="仿宋" w:hAnsi="仿宋" w:eastAsia="仿宋" w:cs="仿宋"/>
          <w:color w:val="auto"/>
          <w:sz w:val="32"/>
          <w:szCs w:val="32"/>
          <w:highlight w:val="none"/>
          <w:shd w:val="clear" w:color="auto" w:fill="auto"/>
          <w:lang w:val="en-US"/>
        </w:rPr>
        <w:t>15</w:t>
      </w:r>
      <w:r>
        <w:rPr>
          <w:rFonts w:hint="eastAsia" w:ascii="仿宋" w:hAnsi="仿宋" w:eastAsia="仿宋" w:cs="仿宋"/>
          <w:color w:val="auto"/>
          <w:sz w:val="32"/>
          <w:szCs w:val="32"/>
          <w:highlight w:val="none"/>
          <w:shd w:val="clear" w:color="auto" w:fill="auto"/>
        </w:rPr>
        <w:t>日前将国务院有关部门许可资质的水运工程设计和施工企业的评价结果报交通运输部。</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第二十条 各评价单位应加强信用评价台账管理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各信用评价单位应设置专人负责信用评价工作，及时收集检查、通报等相关文件，按信用评价细则的规定，制作相关企业的不良信用记录，形成信用评价书面台账和电子台账。</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项目法人（建设单位）于每季度最后一个月</w:t>
      </w:r>
      <w:r>
        <w:rPr>
          <w:rFonts w:hint="eastAsia" w:ascii="仿宋" w:hAnsi="仿宋" w:eastAsia="仿宋" w:cs="仿宋"/>
          <w:color w:val="auto"/>
          <w:sz w:val="32"/>
          <w:szCs w:val="32"/>
          <w:highlight w:val="none"/>
          <w:shd w:val="clear" w:color="auto" w:fill="auto"/>
          <w:lang w:val="en-US"/>
        </w:rPr>
        <w:t>25</w:t>
      </w:r>
      <w:r>
        <w:rPr>
          <w:rFonts w:hint="eastAsia" w:ascii="仿宋" w:hAnsi="仿宋" w:eastAsia="仿宋" w:cs="仿宋"/>
          <w:color w:val="auto"/>
          <w:sz w:val="32"/>
          <w:szCs w:val="32"/>
          <w:highlight w:val="none"/>
          <w:shd w:val="clear" w:color="auto" w:fill="auto"/>
        </w:rPr>
        <w:t>日前将已确认的不良行为形成《水运工程设计和施工企业信用评价不良行为台账》（见附件</w:t>
      </w:r>
      <w:r>
        <w:rPr>
          <w:rFonts w:hint="eastAsia" w:ascii="仿宋" w:hAnsi="仿宋" w:eastAsia="仿宋" w:cs="仿宋"/>
          <w:color w:val="auto"/>
          <w:sz w:val="32"/>
          <w:szCs w:val="32"/>
          <w:highlight w:val="none"/>
          <w:shd w:val="clear" w:color="auto" w:fill="auto"/>
          <w:lang w:val="en-US"/>
        </w:rPr>
        <w:t>5</w:t>
      </w:r>
      <w:r>
        <w:rPr>
          <w:rFonts w:hint="eastAsia" w:ascii="仿宋" w:hAnsi="仿宋" w:eastAsia="仿宋" w:cs="仿宋"/>
          <w:color w:val="auto"/>
          <w:sz w:val="32"/>
          <w:szCs w:val="32"/>
          <w:highlight w:val="none"/>
          <w:shd w:val="clear" w:color="auto" w:fill="auto"/>
        </w:rPr>
        <w:t>），按项目管理权限以书面形式报负责项目监管的交通运输</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港口）行政主管部门或</w:t>
      </w:r>
      <w:r>
        <w:rPr>
          <w:rFonts w:hint="eastAsia" w:ascii="仿宋" w:hAnsi="仿宋" w:eastAsia="仿宋" w:cs="仿宋"/>
          <w:b/>
          <w:bCs/>
          <w:color w:val="auto"/>
          <w:sz w:val="32"/>
          <w:szCs w:val="32"/>
          <w:highlight w:val="none"/>
          <w:shd w:val="clear" w:color="auto" w:fill="auto"/>
        </w:rPr>
        <w:t>自治区</w:t>
      </w:r>
      <w:r>
        <w:rPr>
          <w:rFonts w:hint="eastAsia" w:ascii="仿宋" w:hAnsi="仿宋" w:eastAsia="仿宋" w:cs="仿宋"/>
          <w:b/>
          <w:bCs/>
          <w:color w:val="auto"/>
          <w:sz w:val="32"/>
          <w:szCs w:val="32"/>
          <w:highlight w:val="none"/>
          <w:shd w:val="clear" w:color="auto" w:fill="auto"/>
          <w:lang w:eastAsia="zh-CN"/>
        </w:rPr>
        <w:t>港航发展中心</w:t>
      </w:r>
      <w:r>
        <w:rPr>
          <w:rFonts w:hint="eastAsia" w:ascii="仿宋" w:hAnsi="仿宋" w:eastAsia="仿宋" w:cs="仿宋"/>
          <w:color w:val="auto"/>
          <w:sz w:val="32"/>
          <w:szCs w:val="32"/>
          <w:highlight w:val="none"/>
          <w:shd w:val="clear" w:color="auto" w:fill="auto"/>
        </w:rPr>
        <w:t>，交通运输</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港口）行政主管部门、</w:t>
      </w:r>
      <w:r>
        <w:rPr>
          <w:rFonts w:hint="eastAsia" w:ascii="仿宋" w:hAnsi="仿宋" w:eastAsia="仿宋" w:cs="仿宋"/>
          <w:b/>
          <w:bCs/>
          <w:color w:val="auto"/>
          <w:sz w:val="32"/>
          <w:szCs w:val="32"/>
          <w:highlight w:val="none"/>
          <w:shd w:val="clear" w:color="auto" w:fill="auto"/>
        </w:rPr>
        <w:t>自治区</w:t>
      </w:r>
      <w:r>
        <w:rPr>
          <w:rFonts w:hint="eastAsia" w:ascii="仿宋" w:hAnsi="仿宋" w:eastAsia="仿宋" w:cs="仿宋"/>
          <w:b/>
          <w:bCs/>
          <w:color w:val="auto"/>
          <w:sz w:val="32"/>
          <w:szCs w:val="32"/>
          <w:highlight w:val="none"/>
          <w:shd w:val="clear" w:color="auto" w:fill="auto"/>
          <w:lang w:eastAsia="zh-CN"/>
        </w:rPr>
        <w:t>港航发展中心</w:t>
      </w:r>
      <w:r>
        <w:rPr>
          <w:rFonts w:hint="eastAsia" w:ascii="仿宋" w:hAnsi="仿宋" w:eastAsia="仿宋" w:cs="仿宋"/>
          <w:color w:val="auto"/>
          <w:sz w:val="32"/>
          <w:szCs w:val="32"/>
          <w:highlight w:val="none"/>
          <w:shd w:val="clear" w:color="auto" w:fill="auto"/>
        </w:rPr>
        <w:t>审核后于每季末最后一个月底前将汇总表（见附件</w:t>
      </w:r>
      <w:r>
        <w:rPr>
          <w:rFonts w:hint="eastAsia" w:ascii="仿宋" w:hAnsi="仿宋" w:eastAsia="仿宋" w:cs="仿宋"/>
          <w:color w:val="auto"/>
          <w:sz w:val="32"/>
          <w:szCs w:val="32"/>
          <w:highlight w:val="none"/>
          <w:shd w:val="clear" w:color="auto" w:fill="auto"/>
          <w:lang w:val="en-US"/>
        </w:rPr>
        <w:t>6</w:t>
      </w:r>
      <w:r>
        <w:rPr>
          <w:rFonts w:hint="eastAsia" w:ascii="仿宋" w:hAnsi="仿宋" w:eastAsia="仿宋" w:cs="仿宋"/>
          <w:color w:val="auto"/>
          <w:sz w:val="32"/>
          <w:szCs w:val="32"/>
          <w:highlight w:val="none"/>
          <w:shd w:val="clear" w:color="auto" w:fill="auto"/>
        </w:rPr>
        <w:t>）报信用评价领导小组办公室，信用评价领导小组办公室于每季度第一个月</w:t>
      </w:r>
      <w:r>
        <w:rPr>
          <w:rFonts w:hint="eastAsia" w:ascii="仿宋" w:hAnsi="仿宋" w:eastAsia="仿宋" w:cs="仿宋"/>
          <w:color w:val="auto"/>
          <w:sz w:val="32"/>
          <w:szCs w:val="32"/>
          <w:highlight w:val="none"/>
          <w:shd w:val="clear" w:color="auto" w:fill="auto"/>
          <w:lang w:val="en-US"/>
        </w:rPr>
        <w:t>5</w:t>
      </w:r>
      <w:r>
        <w:rPr>
          <w:rFonts w:hint="eastAsia" w:ascii="仿宋" w:hAnsi="仿宋" w:eastAsia="仿宋" w:cs="仿宋"/>
          <w:color w:val="auto"/>
          <w:sz w:val="32"/>
          <w:szCs w:val="32"/>
          <w:highlight w:val="none"/>
          <w:shd w:val="clear" w:color="auto" w:fill="auto"/>
        </w:rPr>
        <w:t>日前报厅水运管理处，报送的书面台账需有经办人员、单位分管领导签字。</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项目法人（建设单位）将设计、施工企业的不良行为记入书面台账时，应同时将其不良行为录入广西壮族自治区水运工程建设市场信用信息管理系统作为电子台账。</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第二十一条 自治区交通运输厅按照《评定标准》，及时将发生严重失信行为的水运工程设计和施工企业直接定为</w:t>
      </w:r>
      <w:r>
        <w:rPr>
          <w:rFonts w:hint="eastAsia" w:ascii="仿宋" w:hAnsi="仿宋" w:eastAsia="仿宋" w:cs="仿宋"/>
          <w:color w:val="auto"/>
          <w:sz w:val="32"/>
          <w:szCs w:val="32"/>
          <w:highlight w:val="none"/>
          <w:shd w:val="clear" w:color="auto" w:fill="auto"/>
          <w:lang w:val="en-US"/>
        </w:rPr>
        <w:t>D</w:t>
      </w:r>
      <w:r>
        <w:rPr>
          <w:rFonts w:hint="eastAsia" w:ascii="仿宋" w:hAnsi="仿宋" w:eastAsia="仿宋" w:cs="仿宋"/>
          <w:color w:val="auto"/>
          <w:sz w:val="32"/>
          <w:szCs w:val="32"/>
          <w:highlight w:val="none"/>
          <w:shd w:val="clear" w:color="auto" w:fill="auto"/>
        </w:rPr>
        <w:t>级，并自确定信用等级之日起</w:t>
      </w:r>
      <w:r>
        <w:rPr>
          <w:rFonts w:hint="eastAsia" w:ascii="仿宋" w:hAnsi="仿宋" w:eastAsia="仿宋" w:cs="仿宋"/>
          <w:color w:val="auto"/>
          <w:sz w:val="32"/>
          <w:szCs w:val="32"/>
          <w:highlight w:val="none"/>
          <w:shd w:val="clear" w:color="auto" w:fill="auto"/>
          <w:lang w:val="en-US"/>
        </w:rPr>
        <w:t>15</w:t>
      </w:r>
      <w:r>
        <w:rPr>
          <w:rFonts w:hint="eastAsia" w:ascii="仿宋" w:hAnsi="仿宋" w:eastAsia="仿宋" w:cs="仿宋"/>
          <w:color w:val="auto"/>
          <w:sz w:val="32"/>
          <w:szCs w:val="32"/>
          <w:highlight w:val="none"/>
          <w:shd w:val="clear" w:color="auto" w:fill="auto"/>
        </w:rPr>
        <w:t>日内将评价结果报交通运输部。</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对信用评价等级直接定为</w:t>
      </w:r>
      <w:r>
        <w:rPr>
          <w:rFonts w:hint="eastAsia" w:ascii="仿宋" w:hAnsi="仿宋" w:eastAsia="仿宋" w:cs="仿宋"/>
          <w:color w:val="auto"/>
          <w:sz w:val="32"/>
          <w:szCs w:val="32"/>
          <w:highlight w:val="none"/>
          <w:shd w:val="clear" w:color="auto" w:fill="auto"/>
          <w:lang w:val="en-US"/>
        </w:rPr>
        <w:t>D</w:t>
      </w:r>
      <w:r>
        <w:rPr>
          <w:rFonts w:hint="eastAsia" w:ascii="仿宋" w:hAnsi="仿宋" w:eastAsia="仿宋" w:cs="仿宋"/>
          <w:color w:val="auto"/>
          <w:sz w:val="32"/>
          <w:szCs w:val="32"/>
          <w:highlight w:val="none"/>
          <w:shd w:val="clear" w:color="auto" w:fill="auto"/>
        </w:rPr>
        <w:t>级的水运工程设计和施工企业实行动态评价。招标人、项目法人（建设单位）及行业管理机构发现水运工程设计和施工企业存在直接定为</w:t>
      </w:r>
      <w:r>
        <w:rPr>
          <w:rFonts w:hint="eastAsia" w:ascii="仿宋" w:hAnsi="仿宋" w:eastAsia="仿宋" w:cs="仿宋"/>
          <w:color w:val="auto"/>
          <w:sz w:val="32"/>
          <w:szCs w:val="32"/>
          <w:highlight w:val="none"/>
          <w:shd w:val="clear" w:color="auto" w:fill="auto"/>
          <w:lang w:val="en-US"/>
        </w:rPr>
        <w:t>D</w:t>
      </w:r>
      <w:r>
        <w:rPr>
          <w:rFonts w:hint="eastAsia" w:ascii="仿宋" w:hAnsi="仿宋" w:eastAsia="仿宋" w:cs="仿宋"/>
          <w:color w:val="auto"/>
          <w:sz w:val="32"/>
          <w:szCs w:val="32"/>
          <w:highlight w:val="none"/>
          <w:shd w:val="clear" w:color="auto" w:fill="auto"/>
        </w:rPr>
        <w:t>级行为的，应及时报自治区交通运输厅。自治区交通运输厅认定之日起一年内，该水运工程设计和施工企业在广西信用评价等级都为</w:t>
      </w:r>
      <w:r>
        <w:rPr>
          <w:rFonts w:hint="eastAsia" w:ascii="仿宋" w:hAnsi="仿宋" w:eastAsia="仿宋" w:cs="仿宋"/>
          <w:color w:val="auto"/>
          <w:sz w:val="32"/>
          <w:szCs w:val="32"/>
          <w:highlight w:val="none"/>
          <w:shd w:val="clear" w:color="auto" w:fill="auto"/>
          <w:lang w:val="en-US"/>
        </w:rPr>
        <w:t>D</w:t>
      </w:r>
      <w:r>
        <w:rPr>
          <w:rFonts w:hint="eastAsia" w:ascii="仿宋" w:hAnsi="仿宋" w:eastAsia="仿宋" w:cs="仿宋"/>
          <w:color w:val="auto"/>
          <w:sz w:val="32"/>
          <w:szCs w:val="32"/>
          <w:highlight w:val="none"/>
          <w:shd w:val="clear" w:color="auto" w:fill="auto"/>
        </w:rPr>
        <w:t>级。</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对受到行政处罚的企业，其定为</w:t>
      </w:r>
      <w:r>
        <w:rPr>
          <w:rFonts w:hint="eastAsia" w:ascii="仿宋" w:hAnsi="仿宋" w:eastAsia="仿宋" w:cs="仿宋"/>
          <w:color w:val="auto"/>
          <w:sz w:val="32"/>
          <w:szCs w:val="32"/>
          <w:highlight w:val="none"/>
          <w:shd w:val="clear" w:color="auto" w:fill="auto"/>
          <w:lang w:val="en-US"/>
        </w:rPr>
        <w:t>D</w:t>
      </w:r>
      <w:r>
        <w:rPr>
          <w:rFonts w:hint="eastAsia" w:ascii="仿宋" w:hAnsi="仿宋" w:eastAsia="仿宋" w:cs="仿宋"/>
          <w:color w:val="auto"/>
          <w:sz w:val="32"/>
          <w:szCs w:val="32"/>
          <w:highlight w:val="none"/>
          <w:shd w:val="clear" w:color="auto" w:fill="auto"/>
        </w:rPr>
        <w:t>级的时限不得低于行政处罚期限。</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信用评价等级为</w:t>
      </w:r>
      <w:r>
        <w:rPr>
          <w:rFonts w:hint="eastAsia" w:ascii="仿宋" w:hAnsi="仿宋" w:eastAsia="仿宋" w:cs="仿宋"/>
          <w:color w:val="auto"/>
          <w:sz w:val="32"/>
          <w:szCs w:val="32"/>
          <w:highlight w:val="none"/>
          <w:shd w:val="clear" w:color="auto" w:fill="auto"/>
          <w:lang w:val="en-US"/>
        </w:rPr>
        <w:t>D</w:t>
      </w:r>
      <w:r>
        <w:rPr>
          <w:rFonts w:hint="eastAsia" w:ascii="仿宋" w:hAnsi="仿宋" w:eastAsia="仿宋" w:cs="仿宋"/>
          <w:color w:val="auto"/>
          <w:sz w:val="32"/>
          <w:szCs w:val="32"/>
          <w:highlight w:val="none"/>
          <w:shd w:val="clear" w:color="auto" w:fill="auto"/>
        </w:rPr>
        <w:t>级的水运工程设计和施工企业行政处理期满后，暂按信用评价等级</w:t>
      </w:r>
      <w:r>
        <w:rPr>
          <w:rFonts w:hint="eastAsia" w:ascii="仿宋" w:hAnsi="仿宋" w:eastAsia="仿宋" w:cs="仿宋"/>
          <w:color w:val="auto"/>
          <w:sz w:val="32"/>
          <w:szCs w:val="32"/>
          <w:highlight w:val="none"/>
          <w:shd w:val="clear" w:color="auto" w:fill="auto"/>
          <w:lang w:val="en-US"/>
        </w:rPr>
        <w:t>C</w:t>
      </w:r>
      <w:r>
        <w:rPr>
          <w:rFonts w:hint="eastAsia" w:ascii="仿宋" w:hAnsi="仿宋" w:eastAsia="仿宋" w:cs="仿宋"/>
          <w:color w:val="auto"/>
          <w:sz w:val="32"/>
          <w:szCs w:val="32"/>
          <w:highlight w:val="none"/>
          <w:shd w:val="clear" w:color="auto" w:fill="auto"/>
        </w:rPr>
        <w:t>级确定，待年度信用评价时按规定对其进行信用评价，重新确定信用等级，但不高于信用评价等级</w:t>
      </w:r>
      <w:r>
        <w:rPr>
          <w:rFonts w:hint="eastAsia" w:ascii="仿宋" w:hAnsi="仿宋" w:eastAsia="仿宋" w:cs="仿宋"/>
          <w:color w:val="auto"/>
          <w:sz w:val="32"/>
          <w:szCs w:val="32"/>
          <w:highlight w:val="none"/>
          <w:shd w:val="clear" w:color="auto" w:fill="auto"/>
          <w:lang w:val="en-US"/>
        </w:rPr>
        <w:t>A</w:t>
      </w:r>
      <w:r>
        <w:rPr>
          <w:rFonts w:hint="eastAsia" w:ascii="仿宋" w:hAnsi="仿宋" w:eastAsia="仿宋" w:cs="仿宋"/>
          <w:color w:val="auto"/>
          <w:sz w:val="32"/>
          <w:szCs w:val="32"/>
          <w:highlight w:val="none"/>
          <w:shd w:val="clear" w:color="auto" w:fill="auto"/>
        </w:rPr>
        <w:t>级。</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第二十二条 水运工程设计和施工企业对综合评价结果有异议的，可在公示期限内向公示部门提出申诉或举报，并提交申诉或举报书面相关证明材料。公示部门收到申诉或举报材料后，应及时组织核查，并在</w:t>
      </w:r>
      <w:r>
        <w:rPr>
          <w:rFonts w:hint="eastAsia" w:ascii="仿宋" w:hAnsi="仿宋" w:eastAsia="仿宋" w:cs="仿宋"/>
          <w:color w:val="auto"/>
          <w:sz w:val="32"/>
          <w:szCs w:val="32"/>
          <w:highlight w:val="none"/>
          <w:shd w:val="clear" w:color="auto" w:fill="auto"/>
          <w:lang w:val="en-US"/>
        </w:rPr>
        <w:t>30</w:t>
      </w:r>
      <w:r>
        <w:rPr>
          <w:rFonts w:hint="eastAsia" w:ascii="仿宋" w:hAnsi="仿宋" w:eastAsia="仿宋" w:cs="仿宋"/>
          <w:color w:val="auto"/>
          <w:sz w:val="32"/>
          <w:szCs w:val="32"/>
          <w:highlight w:val="none"/>
          <w:shd w:val="clear" w:color="auto" w:fill="auto"/>
        </w:rPr>
        <w:t>个工作日内将处理结果书面答复申诉人或举报人。公示结束后，不再受理申诉或举报。</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第二十三条 水运工程设计和施工企业信用评价结果有效期</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年。下一年度水运工程设计和施工企业在广西无信用评价结果的，其在广西的信用评价等级可延续</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年。延续</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年后仍无信用评价结果的，按照初次进入广西确定，但不高于其在广西原评价等级的上一等级。</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信用评价等级为</w:t>
      </w:r>
      <w:r>
        <w:rPr>
          <w:rFonts w:hint="eastAsia" w:ascii="仿宋" w:hAnsi="仿宋" w:eastAsia="仿宋" w:cs="仿宋"/>
          <w:color w:val="auto"/>
          <w:sz w:val="32"/>
          <w:szCs w:val="32"/>
          <w:highlight w:val="none"/>
          <w:shd w:val="clear" w:color="auto" w:fill="auto"/>
          <w:lang w:val="en-US"/>
        </w:rPr>
        <w:t>C</w:t>
      </w:r>
      <w:r>
        <w:rPr>
          <w:rFonts w:hint="eastAsia" w:ascii="仿宋" w:hAnsi="仿宋" w:eastAsia="仿宋" w:cs="仿宋"/>
          <w:color w:val="auto"/>
          <w:sz w:val="32"/>
          <w:szCs w:val="32"/>
          <w:highlight w:val="none"/>
          <w:shd w:val="clear" w:color="auto" w:fill="auto"/>
        </w:rPr>
        <w:t>级的水运工程设计和施工企业，下一年度信用评价时，其信用评价等级不高于</w:t>
      </w:r>
      <w:r>
        <w:rPr>
          <w:rFonts w:hint="eastAsia" w:ascii="仿宋" w:hAnsi="仿宋" w:eastAsia="仿宋" w:cs="仿宋"/>
          <w:color w:val="auto"/>
          <w:sz w:val="32"/>
          <w:szCs w:val="32"/>
          <w:highlight w:val="none"/>
          <w:shd w:val="clear" w:color="auto" w:fill="auto"/>
          <w:lang w:val="en-US"/>
        </w:rPr>
        <w:t>A</w:t>
      </w:r>
      <w:r>
        <w:rPr>
          <w:rFonts w:hint="eastAsia" w:ascii="仿宋" w:hAnsi="仿宋" w:eastAsia="仿宋" w:cs="仿宋"/>
          <w:color w:val="auto"/>
          <w:sz w:val="32"/>
          <w:szCs w:val="32"/>
          <w:highlight w:val="none"/>
          <w:shd w:val="clear" w:color="auto" w:fill="auto"/>
        </w:rPr>
        <w:t>级。下一年度在广西无信用评价结果的，信用评价等级可确定为</w:t>
      </w:r>
      <w:r>
        <w:rPr>
          <w:rFonts w:hint="eastAsia" w:ascii="仿宋" w:hAnsi="仿宋" w:eastAsia="仿宋" w:cs="仿宋"/>
          <w:color w:val="auto"/>
          <w:sz w:val="32"/>
          <w:szCs w:val="32"/>
          <w:highlight w:val="none"/>
          <w:shd w:val="clear" w:color="auto" w:fill="auto"/>
          <w:lang w:val="en-US"/>
        </w:rPr>
        <w:t>B</w:t>
      </w:r>
      <w:r>
        <w:rPr>
          <w:rFonts w:hint="eastAsia" w:ascii="仿宋" w:hAnsi="仿宋" w:eastAsia="仿宋" w:cs="仿宋"/>
          <w:color w:val="auto"/>
          <w:sz w:val="32"/>
          <w:szCs w:val="32"/>
          <w:highlight w:val="none"/>
          <w:shd w:val="clear" w:color="auto" w:fill="auto"/>
        </w:rPr>
        <w:t>级，再下一年度仍无信用评价结果的，按照初次进入广西确定。</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信用评价等级为</w:t>
      </w:r>
      <w:r>
        <w:rPr>
          <w:rFonts w:hint="eastAsia" w:ascii="仿宋" w:hAnsi="仿宋" w:eastAsia="仿宋" w:cs="仿宋"/>
          <w:color w:val="auto"/>
          <w:sz w:val="32"/>
          <w:szCs w:val="32"/>
          <w:highlight w:val="none"/>
          <w:shd w:val="clear" w:color="auto" w:fill="auto"/>
          <w:lang w:val="en-US"/>
        </w:rPr>
        <w:t>D</w:t>
      </w:r>
      <w:r>
        <w:rPr>
          <w:rFonts w:hint="eastAsia" w:ascii="仿宋" w:hAnsi="仿宋" w:eastAsia="仿宋" w:cs="仿宋"/>
          <w:color w:val="auto"/>
          <w:sz w:val="32"/>
          <w:szCs w:val="32"/>
          <w:highlight w:val="none"/>
          <w:shd w:val="clear" w:color="auto" w:fill="auto"/>
        </w:rPr>
        <w:t>级的水运工程设计和施工企业，下一年度信用评价时，其信用评价等级不高于</w:t>
      </w:r>
      <w:r>
        <w:rPr>
          <w:rFonts w:hint="eastAsia" w:ascii="仿宋" w:hAnsi="仿宋" w:eastAsia="仿宋" w:cs="仿宋"/>
          <w:color w:val="auto"/>
          <w:sz w:val="32"/>
          <w:szCs w:val="32"/>
          <w:highlight w:val="none"/>
          <w:shd w:val="clear" w:color="auto" w:fill="auto"/>
          <w:lang w:val="en-US"/>
        </w:rPr>
        <w:t>A</w:t>
      </w:r>
      <w:r>
        <w:rPr>
          <w:rFonts w:hint="eastAsia" w:ascii="仿宋" w:hAnsi="仿宋" w:eastAsia="仿宋" w:cs="仿宋"/>
          <w:color w:val="auto"/>
          <w:sz w:val="32"/>
          <w:szCs w:val="32"/>
          <w:highlight w:val="none"/>
          <w:shd w:val="clear" w:color="auto" w:fill="auto"/>
        </w:rPr>
        <w:t>级。下一年度其在广西无信用评价结果的，信用评价等级可确定为</w:t>
      </w:r>
      <w:r>
        <w:rPr>
          <w:rFonts w:hint="eastAsia" w:ascii="仿宋" w:hAnsi="仿宋" w:eastAsia="仿宋" w:cs="仿宋"/>
          <w:color w:val="auto"/>
          <w:sz w:val="32"/>
          <w:szCs w:val="32"/>
          <w:highlight w:val="none"/>
          <w:shd w:val="clear" w:color="auto" w:fill="auto"/>
          <w:lang w:val="en-US"/>
        </w:rPr>
        <w:t>C</w:t>
      </w:r>
      <w:r>
        <w:rPr>
          <w:rFonts w:hint="eastAsia" w:ascii="仿宋" w:hAnsi="仿宋" w:eastAsia="仿宋" w:cs="仿宋"/>
          <w:color w:val="auto"/>
          <w:sz w:val="32"/>
          <w:szCs w:val="32"/>
          <w:highlight w:val="none"/>
          <w:shd w:val="clear" w:color="auto" w:fill="auto"/>
        </w:rPr>
        <w:t>级，再下一年度仍无信用评价结果的，按照初次进入广西确定，但不高于信用评价等级</w:t>
      </w:r>
      <w:r>
        <w:rPr>
          <w:rFonts w:hint="eastAsia" w:ascii="仿宋" w:hAnsi="仿宋" w:eastAsia="仿宋" w:cs="仿宋"/>
          <w:color w:val="auto"/>
          <w:sz w:val="32"/>
          <w:szCs w:val="32"/>
          <w:highlight w:val="none"/>
          <w:shd w:val="clear" w:color="auto" w:fill="auto"/>
          <w:lang w:val="en-US"/>
        </w:rPr>
        <w:t>B</w:t>
      </w:r>
      <w:r>
        <w:rPr>
          <w:rFonts w:hint="eastAsia" w:ascii="仿宋" w:hAnsi="仿宋" w:eastAsia="仿宋" w:cs="仿宋"/>
          <w:color w:val="auto"/>
          <w:sz w:val="32"/>
          <w:szCs w:val="32"/>
          <w:highlight w:val="none"/>
          <w:shd w:val="clear" w:color="auto" w:fill="auto"/>
        </w:rPr>
        <w:t>级。</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第二十四条 水运工程设计和施工企业在广西的信用评价结果应用于广西的水运工程建设市场。</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设计和施工企业初次进入广西水运工程建设市场时，其信用等级按照全国汇总评价结果确定。无全国汇总评价结果，且在其他省份或部属单位无严重失信行为的企业，信用等级可按A级对待；若有严重失信行为的，可参照相关省份或部属单位信用评价结果确定其信用等级。</w:t>
      </w:r>
    </w:p>
    <w:p>
      <w:pPr>
        <w:pStyle w:val="5"/>
        <w:widowControl/>
        <w:spacing w:before="16" w:beforeAutospacing="0" w:after="16" w:afterAutospacing="0" w:line="560" w:lineRule="exact"/>
        <w:ind w:firstLine="642" w:firstLineChars="200"/>
        <w:rPr>
          <w:rFonts w:ascii="仿宋" w:hAnsi="仿宋" w:eastAsia="仿宋" w:cs="仿宋"/>
          <w:color w:val="auto"/>
          <w:sz w:val="32"/>
          <w:szCs w:val="32"/>
          <w:highlight w:val="none"/>
          <w:shd w:val="clear" w:color="auto" w:fill="auto"/>
        </w:rPr>
      </w:pPr>
      <w:r>
        <w:rPr>
          <w:rFonts w:hint="eastAsia" w:ascii="仿宋" w:hAnsi="仿宋" w:eastAsia="仿宋" w:cs="仿宋"/>
          <w:b/>
          <w:bCs/>
          <w:color w:val="auto"/>
          <w:sz w:val="32"/>
          <w:szCs w:val="32"/>
          <w:highlight w:val="none"/>
          <w:shd w:val="clear" w:color="auto" w:fill="auto"/>
        </w:rPr>
        <w:t>水运工程设计和施工企业</w:t>
      </w:r>
      <w:r>
        <w:rPr>
          <w:rFonts w:hint="eastAsia" w:ascii="仿宋" w:hAnsi="仿宋" w:eastAsia="仿宋" w:cs="仿宋"/>
          <w:b/>
          <w:bCs/>
          <w:color w:val="auto"/>
          <w:sz w:val="32"/>
          <w:szCs w:val="32"/>
          <w:highlight w:val="none"/>
          <w:shd w:val="clear" w:color="auto" w:fill="auto"/>
          <w:lang w:eastAsia="zh-CN"/>
        </w:rPr>
        <w:t>初</w:t>
      </w:r>
      <w:r>
        <w:rPr>
          <w:rFonts w:hint="eastAsia" w:ascii="仿宋" w:hAnsi="仿宋" w:eastAsia="仿宋" w:cs="仿宋"/>
          <w:b/>
          <w:bCs/>
          <w:color w:val="auto"/>
          <w:sz w:val="32"/>
          <w:szCs w:val="32"/>
          <w:highlight w:val="none"/>
          <w:shd w:val="clear" w:color="auto" w:fill="auto"/>
        </w:rPr>
        <w:t>次进入广西水运工程建设市场参加信用评价时，其</w:t>
      </w:r>
      <w:r>
        <w:rPr>
          <w:rFonts w:hint="eastAsia" w:ascii="仿宋_GB2312" w:eastAsia="仿宋_GB2312"/>
          <w:b/>
          <w:bCs/>
          <w:color w:val="auto"/>
          <w:sz w:val="32"/>
          <w:szCs w:val="32"/>
          <w:highlight w:val="none"/>
          <w:shd w:val="clear" w:color="auto" w:fill="auto"/>
        </w:rPr>
        <w:t>信用评价等级最高为A级</w:t>
      </w:r>
      <w:r>
        <w:rPr>
          <w:rFonts w:hint="eastAsia" w:ascii="仿宋" w:hAnsi="仿宋" w:eastAsia="仿宋" w:cs="仿宋"/>
          <w:b/>
          <w:bCs/>
          <w:color w:val="auto"/>
          <w:sz w:val="32"/>
          <w:szCs w:val="32"/>
          <w:highlight w:val="none"/>
          <w:shd w:val="clear" w:color="auto" w:fill="auto"/>
        </w:rPr>
        <w:t>。</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水运工程设计和施工企业在广西的信用评价结果将应用于招标中。采用综合评估法和经评审的最低评标价法时，投标人信用评价评分（信誉、荣誉方面得分）应采用以下评审标准：</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水运工程设计企业信用评价等级为AA级的，其信用评价可得4分；信用评价等级为A级的，其信用评价可得2分；信用评价等级为B级及以下的，其信用评价不得分。</w:t>
      </w:r>
    </w:p>
    <w:p>
      <w:pPr>
        <w:pStyle w:val="5"/>
        <w:widowControl/>
        <w:spacing w:before="16" w:beforeAutospacing="0" w:after="16" w:afterAutospacing="0"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水运工程施工企业信用评价等级为AA级的，其信用评价可得3分；信用评价等级为A级的，其信用评价可得1.5分；信用评价等级为B级及以下的，其信用评价不得分。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联合体参与投标时，其信用评价等级按照联合体中信用等级最低一方确定。</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第二十五条 初次进入广西水运工程建设市场的设计和施工企业，应向自治区交通运输厅报送《水运工程设计和施工企业基本情况表》（见附件</w:t>
      </w:r>
      <w:r>
        <w:rPr>
          <w:rFonts w:hint="eastAsia" w:ascii="仿宋" w:hAnsi="仿宋" w:eastAsia="仿宋" w:cs="仿宋"/>
          <w:color w:val="auto"/>
          <w:sz w:val="32"/>
          <w:szCs w:val="32"/>
          <w:highlight w:val="none"/>
          <w:shd w:val="clear" w:color="auto" w:fill="auto"/>
          <w:lang w:val="en-US"/>
        </w:rPr>
        <w:t>7</w:t>
      </w:r>
      <w:r>
        <w:rPr>
          <w:rFonts w:hint="eastAsia" w:ascii="仿宋" w:hAnsi="仿宋" w:eastAsia="仿宋" w:cs="仿宋"/>
          <w:color w:val="auto"/>
          <w:sz w:val="32"/>
          <w:szCs w:val="32"/>
          <w:highlight w:val="none"/>
          <w:shd w:val="clear" w:color="auto" w:fill="auto"/>
        </w:rPr>
        <w:t>）。初次进入广西水运工程建设市场的企业信用等级实行不定期公布。</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第二十六条 自治区交通运输厅对广西水运工程建设市场进行动态管理。招标人、项目法人（建设单位）在水运工程招标投标时应将信用等级列入准入条件之一。对长期评定为</w:t>
      </w:r>
      <w:r>
        <w:rPr>
          <w:rFonts w:hint="eastAsia" w:ascii="仿宋" w:hAnsi="仿宋" w:eastAsia="仿宋" w:cs="仿宋"/>
          <w:color w:val="auto"/>
          <w:sz w:val="32"/>
          <w:szCs w:val="32"/>
          <w:highlight w:val="none"/>
          <w:shd w:val="clear" w:color="auto" w:fill="auto"/>
          <w:lang w:val="en-US"/>
        </w:rPr>
        <w:t>AA</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rPr>
        <w:t>A</w:t>
      </w:r>
      <w:r>
        <w:rPr>
          <w:rFonts w:hint="eastAsia" w:ascii="仿宋" w:hAnsi="仿宋" w:eastAsia="仿宋" w:cs="仿宋"/>
          <w:color w:val="auto"/>
          <w:sz w:val="32"/>
          <w:szCs w:val="32"/>
          <w:highlight w:val="none"/>
          <w:shd w:val="clear" w:color="auto" w:fill="auto"/>
        </w:rPr>
        <w:t>级的守法诚信单位给予宣传和表彰，对存在违法、违规、违约等行为的设计、施工企业，将依法查处、重点监管。</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（一）年度信用等级评定为</w:t>
      </w:r>
      <w:r>
        <w:rPr>
          <w:rFonts w:hint="eastAsia" w:ascii="仿宋" w:hAnsi="仿宋" w:eastAsia="仿宋" w:cs="仿宋"/>
          <w:color w:val="auto"/>
          <w:sz w:val="32"/>
          <w:szCs w:val="32"/>
          <w:highlight w:val="none"/>
          <w:shd w:val="clear" w:color="auto" w:fill="auto"/>
          <w:lang w:val="en-US"/>
        </w:rPr>
        <w:t>AA</w:t>
      </w:r>
      <w:r>
        <w:rPr>
          <w:rFonts w:hint="eastAsia" w:ascii="仿宋" w:hAnsi="仿宋" w:eastAsia="仿宋" w:cs="仿宋"/>
          <w:color w:val="auto"/>
          <w:sz w:val="32"/>
          <w:szCs w:val="32"/>
          <w:highlight w:val="none"/>
          <w:shd w:val="clear" w:color="auto" w:fill="auto"/>
        </w:rPr>
        <w:t>级或和连续两年评为</w:t>
      </w:r>
      <w:r>
        <w:rPr>
          <w:rFonts w:hint="eastAsia" w:ascii="仿宋" w:hAnsi="仿宋" w:eastAsia="仿宋" w:cs="仿宋"/>
          <w:color w:val="auto"/>
          <w:sz w:val="32"/>
          <w:szCs w:val="32"/>
          <w:highlight w:val="none"/>
          <w:shd w:val="clear" w:color="auto" w:fill="auto"/>
          <w:lang w:val="en-US"/>
        </w:rPr>
        <w:t>A</w:t>
      </w:r>
      <w:r>
        <w:rPr>
          <w:rFonts w:hint="eastAsia" w:ascii="仿宋" w:hAnsi="仿宋" w:eastAsia="仿宋" w:cs="仿宋"/>
          <w:color w:val="auto"/>
          <w:sz w:val="32"/>
          <w:szCs w:val="32"/>
          <w:highlight w:val="none"/>
          <w:shd w:val="clear" w:color="auto" w:fill="auto"/>
        </w:rPr>
        <w:t>级的水运工程设计、施工企业，在本年度同一项目投标时，招标人可允许其适当增加投标个数及中标个数；中标后招标人可适当减少其履约担保的额度；交工验收时发包人可适当提前向其退还一定合同价格的质量保证金。以上均应在招标文件中予以明确。</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（二）年度信用等级评定为</w:t>
      </w:r>
      <w:r>
        <w:rPr>
          <w:rFonts w:hint="eastAsia" w:ascii="仿宋" w:hAnsi="仿宋" w:eastAsia="仿宋" w:cs="仿宋"/>
          <w:color w:val="auto"/>
          <w:sz w:val="32"/>
          <w:szCs w:val="32"/>
          <w:highlight w:val="none"/>
          <w:shd w:val="clear" w:color="auto" w:fill="auto"/>
          <w:lang w:val="en-US"/>
        </w:rPr>
        <w:t>C</w:t>
      </w:r>
      <w:r>
        <w:rPr>
          <w:rFonts w:hint="eastAsia" w:ascii="仿宋" w:hAnsi="仿宋" w:eastAsia="仿宋" w:cs="仿宋"/>
          <w:color w:val="auto"/>
          <w:sz w:val="32"/>
          <w:szCs w:val="32"/>
          <w:highlight w:val="none"/>
          <w:shd w:val="clear" w:color="auto" w:fill="auto"/>
        </w:rPr>
        <w:t>级的水运工程设计、施工企业，在本年度参加同一项目投标时，招标人只能接受其</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个标段的投标。</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（三）年度信用等级评定为</w:t>
      </w:r>
      <w:r>
        <w:rPr>
          <w:rFonts w:hint="eastAsia" w:ascii="仿宋" w:hAnsi="仿宋" w:eastAsia="仿宋" w:cs="仿宋"/>
          <w:color w:val="auto"/>
          <w:sz w:val="32"/>
          <w:szCs w:val="32"/>
          <w:highlight w:val="none"/>
          <w:shd w:val="clear" w:color="auto" w:fill="auto"/>
          <w:lang w:val="en-US"/>
        </w:rPr>
        <w:t>D</w:t>
      </w:r>
      <w:r>
        <w:rPr>
          <w:rFonts w:hint="eastAsia" w:ascii="仿宋" w:hAnsi="仿宋" w:eastAsia="仿宋" w:cs="仿宋"/>
          <w:color w:val="auto"/>
          <w:sz w:val="32"/>
          <w:szCs w:val="32"/>
          <w:highlight w:val="none"/>
          <w:shd w:val="clear" w:color="auto" w:fill="auto"/>
        </w:rPr>
        <w:t>级的水运工程设计、施工企业，自信用等级评级公布之日起</w:t>
      </w:r>
      <w:r>
        <w:rPr>
          <w:rFonts w:hint="eastAsia" w:ascii="仿宋" w:hAnsi="仿宋" w:eastAsia="仿宋" w:cs="仿宋"/>
          <w:color w:val="auto"/>
          <w:sz w:val="32"/>
          <w:szCs w:val="32"/>
          <w:highlight w:val="none"/>
          <w:shd w:val="clear" w:color="auto" w:fill="auto"/>
          <w:lang w:val="en-US"/>
        </w:rPr>
        <w:t>1</w:t>
      </w:r>
      <w:r>
        <w:rPr>
          <w:rFonts w:hint="eastAsia" w:ascii="仿宋" w:hAnsi="仿宋" w:eastAsia="仿宋" w:cs="仿宋"/>
          <w:color w:val="auto"/>
          <w:sz w:val="32"/>
          <w:szCs w:val="32"/>
          <w:highlight w:val="none"/>
          <w:shd w:val="clear" w:color="auto" w:fill="auto"/>
        </w:rPr>
        <w:t>年内不得在广西承接水运工程设计、施工任务。</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第二十七条 水运工程设计和施工企业应按规定及时在水运工程建设市场信用信息系统录入和更新企业基本信息，对于未按规定填报、变更信用信息，或填报、变更信用信息存在造假行为的企业，将按照《评定标准》进行扣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第二十八条 招标人、项目法人（建设单位）应当建立信用信息管理台帐，按时对水运工程设计和施工企业进行信用评价。信用评价工作中不得弄虚作假或以信用评价要挟企业、谋取私利。存在违规行为的，将依法依规进行处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第二十九条 各级交通运输（港口）行政主管部门应加强对信用评价工作的管理和监督工作，建立信用信息档案，加强对信用评价工作的监督检查，结合日常建设管理工作不定期对广西水运工程设计和施工企业的从业行为进行抽查。对发现的违规行为，应当责令相关当事人限期改正；当企业实际行为与信用评价等级不符的，应责令招标人或项目法人重新评价或直接调整，确保评价工作的公平公正。</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各级交通运输主管部门及有关管理机构工作人员在信用评价工作中不得徇私舞弊、以权谋私或弄虚作假。存在故意遗漏或凭空增加企业不良行为、擅自修改评分等违规行为的，将依法依规进行处理。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任何人不得就评价对象的评价、评分提出倾向性意见，任何人不得人为干扰信用评价工作，不得透露评价过程信息，评价结果公布前不得透露评价结果。</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任何单位和个人都有权对水运工程设计和施工企业的不良行为以及水运工程设计和施工企业信用评价工作中的违纪、违规行为进行投诉和举报。</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第三十条 本实施细则由自治区交通运输厅负责解释。《广西壮族自治区水运工程设计和施工企业信用评价实施细则</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试行</w:t>
      </w:r>
      <w:r>
        <w:rPr>
          <w:rFonts w:hint="eastAsia" w:ascii="仿宋" w:hAnsi="仿宋" w:eastAsia="仿宋" w:cs="仿宋"/>
          <w:color w:val="auto"/>
          <w:sz w:val="32"/>
          <w:szCs w:val="32"/>
          <w:highlight w:val="none"/>
          <w:shd w:val="clear" w:color="auto" w:fill="auto"/>
          <w:lang w:val="en-US"/>
        </w:rPr>
        <w:t>)</w:t>
      </w:r>
      <w:r>
        <w:rPr>
          <w:rFonts w:hint="eastAsia" w:ascii="仿宋" w:hAnsi="仿宋" w:eastAsia="仿宋" w:cs="仿宋"/>
          <w:color w:val="auto"/>
          <w:sz w:val="32"/>
          <w:szCs w:val="32"/>
          <w:highlight w:val="none"/>
          <w:shd w:val="clear" w:color="auto" w:fill="auto"/>
        </w:rPr>
        <w:t>》（桂交水运发〔</w:t>
      </w:r>
      <w:r>
        <w:rPr>
          <w:rFonts w:hint="eastAsia" w:ascii="仿宋" w:hAnsi="仿宋" w:eastAsia="仿宋" w:cs="仿宋"/>
          <w:color w:val="auto"/>
          <w:sz w:val="32"/>
          <w:szCs w:val="32"/>
          <w:highlight w:val="none"/>
          <w:shd w:val="clear" w:color="auto" w:fill="auto"/>
          <w:lang w:val="en-US"/>
        </w:rPr>
        <w:t>2014</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rPr>
        <w:t>120</w:t>
      </w:r>
      <w:r>
        <w:rPr>
          <w:rFonts w:hint="eastAsia" w:ascii="仿宋" w:hAnsi="仿宋" w:eastAsia="仿宋" w:cs="仿宋"/>
          <w:color w:val="auto"/>
          <w:sz w:val="32"/>
          <w:szCs w:val="32"/>
          <w:highlight w:val="none"/>
          <w:shd w:val="clear" w:color="auto" w:fill="auto"/>
        </w:rPr>
        <w:t>号）与本细则不一致的，以本细则为准。</w:t>
      </w: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32"/>
          <w:szCs w:val="32"/>
          <w:highlight w:val="none"/>
          <w:shd w:val="clear" w:color="auto" w:fill="auto"/>
        </w:rPr>
        <w:t>第三十一条 本实施细则自印发之日起施行。</w:t>
      </w:r>
    </w:p>
    <w:p>
      <w:pPr>
        <w:widowControl/>
        <w:snapToGrid w:val="0"/>
        <w:spacing w:line="360" w:lineRule="auto"/>
        <w:ind w:firstLine="188" w:firstLineChars="59"/>
        <w:rPr>
          <w:rFonts w:ascii="黑体" w:hAnsi="黑体" w:eastAsia="黑体"/>
          <w:kern w:val="0"/>
          <w:sz w:val="32"/>
          <w:szCs w:val="32"/>
        </w:rPr>
      </w:pPr>
      <w:bookmarkStart w:id="0" w:name="Content"/>
      <w:r>
        <w:rPr>
          <w:rFonts w:hint="eastAsia" w:ascii="黑体" w:hAnsi="黑体" w:eastAsia="黑体"/>
          <w:kern w:val="0"/>
          <w:sz w:val="32"/>
          <w:szCs w:val="32"/>
        </w:rPr>
        <w:t>附件1</w:t>
      </w:r>
    </w:p>
    <w:p>
      <w:pPr>
        <w:widowControl/>
        <w:snapToGrid w:val="0"/>
        <w:ind w:firstLine="567"/>
        <w:jc w:val="center"/>
        <w:rPr>
          <w:rFonts w:hint="eastAsia" w:ascii="创艺简标宋" w:eastAsia="创艺简标宋"/>
          <w:kern w:val="0"/>
          <w:sz w:val="44"/>
          <w:szCs w:val="44"/>
        </w:rPr>
      </w:pPr>
      <w:r>
        <w:rPr>
          <w:rFonts w:hint="eastAsia" w:ascii="方正小标宋简体" w:hAnsi="方正小标宋简体" w:eastAsia="方正小标宋简体" w:cs="方正小标宋简体"/>
          <w:kern w:val="0"/>
          <w:sz w:val="44"/>
          <w:szCs w:val="44"/>
        </w:rPr>
        <w:t>水运工程设计企业信用行为评定标准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696"/>
        <w:gridCol w:w="1836"/>
        <w:gridCol w:w="6463"/>
        <w:gridCol w:w="2758"/>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47" w:type="dxa"/>
            <w:vAlign w:val="center"/>
          </w:tcPr>
          <w:p>
            <w:pPr>
              <w:widowControl/>
              <w:snapToGrid w:val="0"/>
              <w:spacing w:line="0" w:lineRule="atLeast"/>
              <w:jc w:val="center"/>
              <w:rPr>
                <w:rFonts w:ascii="黑体" w:hAnsi="黑体" w:eastAsia="黑体"/>
                <w:kern w:val="0"/>
                <w:sz w:val="24"/>
                <w:szCs w:val="24"/>
              </w:rPr>
            </w:pPr>
            <w:r>
              <w:rPr>
                <w:rFonts w:hint="eastAsia" w:ascii="黑体" w:hAnsi="黑体" w:eastAsia="黑体"/>
                <w:kern w:val="0"/>
                <w:sz w:val="24"/>
                <w:szCs w:val="24"/>
              </w:rPr>
              <w:t>评定内容</w:t>
            </w:r>
          </w:p>
        </w:tc>
        <w:tc>
          <w:tcPr>
            <w:tcW w:w="3532" w:type="dxa"/>
            <w:gridSpan w:val="2"/>
            <w:vAlign w:val="center"/>
          </w:tcPr>
          <w:p>
            <w:pPr>
              <w:widowControl/>
              <w:snapToGrid w:val="0"/>
              <w:spacing w:line="0" w:lineRule="atLeast"/>
              <w:jc w:val="center"/>
              <w:rPr>
                <w:rFonts w:ascii="黑体" w:hAnsi="黑体" w:eastAsia="黑体"/>
                <w:kern w:val="0"/>
                <w:sz w:val="24"/>
                <w:szCs w:val="24"/>
              </w:rPr>
            </w:pPr>
            <w:r>
              <w:rPr>
                <w:rFonts w:hint="eastAsia" w:ascii="黑体" w:hAnsi="黑体" w:eastAsia="黑体"/>
                <w:kern w:val="0"/>
                <w:sz w:val="24"/>
                <w:szCs w:val="24"/>
              </w:rPr>
              <w:t>行为代码</w:t>
            </w:r>
          </w:p>
        </w:tc>
        <w:tc>
          <w:tcPr>
            <w:tcW w:w="6463" w:type="dxa"/>
            <w:vAlign w:val="center"/>
          </w:tcPr>
          <w:p>
            <w:pPr>
              <w:widowControl/>
              <w:snapToGrid w:val="0"/>
              <w:spacing w:line="0" w:lineRule="atLeast"/>
              <w:jc w:val="center"/>
              <w:rPr>
                <w:rFonts w:ascii="黑体" w:hAnsi="黑体" w:eastAsia="黑体"/>
                <w:kern w:val="0"/>
                <w:sz w:val="24"/>
                <w:szCs w:val="24"/>
              </w:rPr>
            </w:pPr>
            <w:r>
              <w:rPr>
                <w:rFonts w:hint="eastAsia" w:ascii="黑体" w:hAnsi="黑体" w:eastAsia="黑体"/>
                <w:kern w:val="0"/>
                <w:sz w:val="24"/>
                <w:szCs w:val="24"/>
              </w:rPr>
              <w:t>失信行为</w:t>
            </w:r>
          </w:p>
        </w:tc>
        <w:tc>
          <w:tcPr>
            <w:tcW w:w="2773" w:type="dxa"/>
            <w:gridSpan w:val="2"/>
            <w:vAlign w:val="center"/>
          </w:tcPr>
          <w:p>
            <w:pPr>
              <w:widowControl/>
              <w:snapToGrid w:val="0"/>
              <w:spacing w:line="0" w:lineRule="atLeast"/>
              <w:jc w:val="center"/>
              <w:rPr>
                <w:rFonts w:ascii="黑体" w:hAnsi="黑体" w:eastAsia="黑体"/>
                <w:kern w:val="0"/>
                <w:sz w:val="24"/>
                <w:szCs w:val="24"/>
              </w:rPr>
            </w:pPr>
            <w:r>
              <w:rPr>
                <w:rFonts w:hint="eastAsia" w:ascii="黑体" w:hAnsi="黑体" w:eastAsia="黑体"/>
                <w:kern w:val="0"/>
                <w:sz w:val="24"/>
                <w:szCs w:val="24"/>
              </w:rPr>
              <w:t>行为等级和扣分标准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投标行为</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（满分15分，</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扣完为止）</w:t>
            </w:r>
          </w:p>
        </w:tc>
        <w:tc>
          <w:tcPr>
            <w:tcW w:w="1696"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严重失信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SYSJ1-1-1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涂改、伪造、出借、转让资质证书</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SYSJ1-1-2</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以他人名义投标或者以其他方式弄虚作假，骗取中标</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SYSJ1-1-3</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超越本单位资质等级承揽工程</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SYSJ1-1-4</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投标人之间相互串通投标，包括但不限于：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——投标人之间协商投标报价等投标文件的实质性内容；</w:t>
            </w:r>
          </w:p>
          <w:p>
            <w:pPr>
              <w:widowControl/>
              <w:snapToGrid w:val="0"/>
              <w:spacing w:line="0" w:lineRule="atLeast"/>
              <w:rPr>
                <w:rFonts w:ascii="仿宋" w:eastAsia="仿宋"/>
                <w:kern w:val="0"/>
                <w:sz w:val="24"/>
                <w:szCs w:val="24"/>
              </w:rPr>
            </w:pPr>
            <w:r>
              <w:rPr>
                <w:rFonts w:hint="eastAsia" w:ascii="仿宋" w:eastAsia="仿宋"/>
                <w:kern w:val="0"/>
                <w:sz w:val="24"/>
                <w:szCs w:val="24"/>
              </w:rPr>
              <w:t>——投标人之间约定中标人；</w:t>
            </w:r>
          </w:p>
          <w:p>
            <w:pPr>
              <w:widowControl/>
              <w:snapToGrid w:val="0"/>
              <w:spacing w:line="0" w:lineRule="atLeast"/>
              <w:rPr>
                <w:rFonts w:ascii="仿宋" w:eastAsia="仿宋"/>
                <w:kern w:val="0"/>
                <w:sz w:val="24"/>
                <w:szCs w:val="24"/>
              </w:rPr>
            </w:pPr>
            <w:r>
              <w:rPr>
                <w:rFonts w:hint="eastAsia" w:ascii="仿宋" w:eastAsia="仿宋"/>
                <w:kern w:val="0"/>
                <w:sz w:val="24"/>
                <w:szCs w:val="24"/>
              </w:rPr>
              <w:t>——投标人之间约定部分投标人放弃投标或者中标；</w:t>
            </w:r>
          </w:p>
          <w:p>
            <w:pPr>
              <w:widowControl/>
              <w:snapToGrid w:val="0"/>
              <w:spacing w:line="0" w:lineRule="atLeast"/>
              <w:rPr>
                <w:rFonts w:ascii="仿宋" w:eastAsia="仿宋"/>
                <w:kern w:val="0"/>
                <w:sz w:val="24"/>
                <w:szCs w:val="24"/>
              </w:rPr>
            </w:pPr>
            <w:r>
              <w:rPr>
                <w:rFonts w:hint="eastAsia" w:ascii="仿宋" w:eastAsia="仿宋"/>
                <w:kern w:val="0"/>
                <w:sz w:val="24"/>
                <w:szCs w:val="24"/>
              </w:rPr>
              <w:t>——属于同一集团、协会、商会等组织成员的投标人按照该组织要求协同投标；</w:t>
            </w:r>
          </w:p>
          <w:p>
            <w:pPr>
              <w:widowControl/>
              <w:snapToGrid w:val="0"/>
              <w:spacing w:line="0" w:lineRule="atLeast"/>
              <w:rPr>
                <w:rFonts w:ascii="仿宋" w:eastAsia="仿宋"/>
                <w:kern w:val="0"/>
                <w:sz w:val="24"/>
                <w:szCs w:val="24"/>
              </w:rPr>
            </w:pPr>
            <w:r>
              <w:rPr>
                <w:rFonts w:hint="eastAsia" w:ascii="仿宋" w:eastAsia="仿宋"/>
                <w:kern w:val="0"/>
                <w:sz w:val="24"/>
                <w:szCs w:val="24"/>
              </w:rPr>
              <w:t>——投标人之间为谋取中标或者排斥特定投标人而采取的其他联合行动。</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——不同投标人的投标文件由同一单位或者个人编制；</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——不同投标人委托同一单位或者个人办理投标事宜；</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——不同投标人的投标文件载明的项目管理成员为同一人；</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——不同投标人的投标文件异常一致或者投标报价呈规律性差异；</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——不同投标人的投标文件相互混装；</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——不同投标人的投标保证金从同一单位或者个人的账户转出。</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SYSJ1-1-5</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向招标人或者评标委员会成员行贿谋取中标</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一般失信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SYSJ1-2-1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资格预审申请文件或投标文件存在严重造假行为，事实认定清楚</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SYSJ1-2-2</w:t>
            </w:r>
          </w:p>
        </w:tc>
        <w:tc>
          <w:tcPr>
            <w:tcW w:w="6463" w:type="dxa"/>
            <w:vAlign w:val="center"/>
          </w:tcPr>
          <w:p>
            <w:pPr>
              <w:widowControl/>
              <w:snapToGrid w:val="0"/>
              <w:spacing w:line="0" w:lineRule="atLeast"/>
              <w:rPr>
                <w:rFonts w:ascii="仿宋" w:eastAsia="仿宋"/>
                <w:kern w:val="0"/>
                <w:sz w:val="24"/>
                <w:szCs w:val="24"/>
                <w:u w:val="single"/>
              </w:rPr>
            </w:pPr>
            <w:r>
              <w:rPr>
                <w:rFonts w:hint="eastAsia" w:ascii="仿宋" w:eastAsia="仿宋"/>
                <w:kern w:val="0"/>
                <w:sz w:val="24"/>
                <w:szCs w:val="24"/>
              </w:rPr>
              <w:t>中标后无正当理由放弃中标</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SYSJ1-2-3</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捏造事实、伪造材料或者以非法手段取得证明材料，进行虚假、恶意投诉</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SYSJ1-2-4</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未按时确认补遗书等招标人发出的通知</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SYSJ1-2-5</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不及时反馈评标澄清</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SYSJ1-2-6</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无正当理由拖延合同签订时间</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SYSJ1-2-7</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其他被认定的失信行为</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restart"/>
            <w:vAlign w:val="center"/>
          </w:tcPr>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履约行为</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（满分70分，</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扣完为止）</w:t>
            </w:r>
          </w:p>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p>
        </w:tc>
        <w:tc>
          <w:tcPr>
            <w:tcW w:w="1696"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严重失信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SYSJ2-1-1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向他人转让中标项目，或将中标项目肢解后分别向他人转让项目，包括但不限于：</w:t>
            </w:r>
          </w:p>
          <w:p>
            <w:pPr>
              <w:widowControl/>
              <w:jc w:val="left"/>
              <w:textAlignment w:val="center"/>
              <w:rPr>
                <w:rFonts w:ascii="仿宋" w:eastAsia="仿宋"/>
                <w:kern w:val="0"/>
                <w:sz w:val="24"/>
                <w:szCs w:val="24"/>
              </w:rPr>
            </w:pPr>
            <w:r>
              <w:rPr>
                <w:rFonts w:hint="eastAsia" w:ascii="仿宋" w:eastAsia="仿宋"/>
                <w:kern w:val="0"/>
                <w:sz w:val="24"/>
                <w:szCs w:val="24"/>
              </w:rPr>
              <w:t xml:space="preserve">——承包人将其承包的全部工程转给其他单位或个人施工的； </w:t>
            </w:r>
          </w:p>
          <w:p>
            <w:pPr>
              <w:widowControl/>
              <w:jc w:val="left"/>
              <w:textAlignment w:val="center"/>
              <w:rPr>
                <w:rFonts w:ascii="仿宋" w:eastAsia="仿宋"/>
                <w:kern w:val="0"/>
                <w:sz w:val="24"/>
                <w:szCs w:val="24"/>
              </w:rPr>
            </w:pPr>
            <w:r>
              <w:rPr>
                <w:rFonts w:hint="eastAsia" w:ascii="仿宋" w:eastAsia="仿宋"/>
                <w:kern w:val="0"/>
                <w:sz w:val="24"/>
                <w:szCs w:val="24"/>
              </w:rPr>
              <w:t xml:space="preserve">——承包人将其承包的全部工程肢解以后，以分包的名义分别转给其他单位或个人施工的； </w:t>
            </w:r>
          </w:p>
          <w:p>
            <w:pPr>
              <w:widowControl/>
              <w:jc w:val="left"/>
              <w:textAlignment w:val="center"/>
              <w:rPr>
                <w:rFonts w:ascii="仿宋" w:eastAsia="仿宋"/>
                <w:kern w:val="0"/>
                <w:sz w:val="24"/>
                <w:szCs w:val="24"/>
              </w:rPr>
            </w:pPr>
            <w:r>
              <w:rPr>
                <w:rFonts w:hint="eastAsia" w:ascii="仿宋" w:eastAsia="仿宋"/>
                <w:kern w:val="0"/>
                <w:sz w:val="24"/>
                <w:szCs w:val="24"/>
              </w:rPr>
              <w:t xml:space="preserve">——承包人未在施工现场设立项目管理机构或末派驻项目负责人、技术负责人、质量管理负责人、安全管理负责人等主要管理人员，不履行管理义务，未对该工程的施工活动进行组织管理的； </w:t>
            </w:r>
          </w:p>
          <w:p>
            <w:pPr>
              <w:widowControl/>
              <w:jc w:val="left"/>
              <w:textAlignment w:val="center"/>
              <w:rPr>
                <w:rFonts w:ascii="仿宋" w:eastAsia="仿宋"/>
                <w:kern w:val="0"/>
                <w:sz w:val="24"/>
                <w:szCs w:val="24"/>
              </w:rPr>
            </w:pPr>
            <w:r>
              <w:rPr>
                <w:rFonts w:hint="eastAsia" w:ascii="仿宋" w:eastAsia="仿宋"/>
                <w:kern w:val="0"/>
                <w:sz w:val="24"/>
                <w:szCs w:val="24"/>
              </w:rPr>
              <w:t xml:space="preserve">——承包人不履行管理义务，只向实际施工单位收取费用，主要建筑材料、构配件及工程设备的采购由其他单位或个人实施的； </w:t>
            </w:r>
          </w:p>
          <w:p>
            <w:pPr>
              <w:widowControl/>
              <w:jc w:val="left"/>
              <w:textAlignment w:val="center"/>
              <w:rPr>
                <w:rFonts w:ascii="仿宋" w:eastAsia="仿宋"/>
                <w:kern w:val="0"/>
                <w:sz w:val="24"/>
                <w:szCs w:val="24"/>
              </w:rPr>
            </w:pPr>
            <w:r>
              <w:rPr>
                <w:rFonts w:hint="eastAsia" w:ascii="仿宋" w:eastAsia="仿宋"/>
                <w:kern w:val="0"/>
                <w:sz w:val="24"/>
                <w:szCs w:val="24"/>
              </w:rPr>
              <w:t xml:space="preserve">——劳务合作单位承包的范围是合同工程的全部，劳务合作单位计取的是除上缴给承包人“管理费”之外的全部工程价款的； </w:t>
            </w:r>
          </w:p>
          <w:p>
            <w:pPr>
              <w:widowControl/>
              <w:snapToGrid w:val="0"/>
              <w:spacing w:line="0" w:lineRule="atLeast"/>
              <w:rPr>
                <w:rFonts w:ascii="仿宋" w:eastAsia="仿宋"/>
                <w:kern w:val="0"/>
                <w:sz w:val="24"/>
                <w:szCs w:val="24"/>
              </w:rPr>
            </w:pPr>
            <w:r>
              <w:rPr>
                <w:rFonts w:hint="eastAsia" w:ascii="仿宋" w:eastAsia="仿宋"/>
                <w:kern w:val="0"/>
                <w:sz w:val="24"/>
                <w:szCs w:val="24"/>
              </w:rPr>
              <w:t>——承包人通过采取合作、联营、个人承包等形式或名义，直接或变相地将其承包的全部工程转给其他单位或个人施工的。</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SYSJ2-1-2</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因设计原因引起重大质量事故（二级以上）或重大以上等级安全责任事故</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restart"/>
            <w:vAlign w:val="center"/>
          </w:tcPr>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设计服务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（满分30分，扣完为止）</w:t>
            </w:r>
          </w:p>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未按投标承诺的条件配备项目负责人或未经项目法人同意更换</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SYSJ2-2-2</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在设计变更中与他人串通谋取非法利益</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SYSJ2-2-3</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未按投标承诺的条件配备专业负责人或未经项目法人同意更换</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SYSJ2-2-4</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指定建筑材料、建筑构配件、设备等生产厂、供应商</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SYSJ2-2-5</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未按合同承诺提供设计服务引起工期延误</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SYSJ2-2-6</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未按投标承诺的条件配备设计代表或未经项目法人同意更换</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2分/人次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SYSJ2-2-7</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未按合同承诺提交设计文件</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SYSJ2-2-8</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设计文件签署不全</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SYSJ2-2-9</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不配合建设单位处理设计变更，或设计变更处理不及时，或设计变更方案不合理，或设计变更管理不符合规定、程序不规范</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SYSJ2-2-10</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未建立设计变更管理台账</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质量安全</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（满分35分，扣完为止）</w:t>
            </w: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SYSJ2-3-1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因设计原因引起较大安全责任事故</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SYSJ2-3-2</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因设计原因引起一般安全责任事故</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SYSJ2-3-3</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因设计原因引起重大（二级以下）、一般以上质量事故</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SYSJ2-3-4</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未按照工程建设强制性标准进行设计，或擅自降低设计标准，或未按要求开展设计风险评估，对安全生产管理无指导作用</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SYSJ2-3-5</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因设计原因导致补充勘察或发生重大设计变更（变更费用300万元以上），包括但不限于：</w:t>
            </w:r>
          </w:p>
          <w:p>
            <w:pPr>
              <w:rPr>
                <w:rFonts w:ascii="仿宋" w:eastAsia="仿宋"/>
                <w:kern w:val="0"/>
                <w:sz w:val="24"/>
                <w:szCs w:val="24"/>
              </w:rPr>
            </w:pPr>
            <w:r>
              <w:rPr>
                <w:rFonts w:hint="eastAsia" w:ascii="仿宋" w:eastAsia="仿宋"/>
                <w:kern w:val="0"/>
                <w:sz w:val="24"/>
                <w:szCs w:val="24"/>
              </w:rPr>
              <w:t xml:space="preserve">——对工程总平面布置进行重大调整，主要包括水域设计水深、码头或者防波堤顶高程、陆域生产区主要布置形式、防波堤轴向或者口门尺度等； </w:t>
            </w:r>
          </w:p>
          <w:p>
            <w:pPr>
              <w:rPr>
                <w:rFonts w:ascii="仿宋" w:eastAsia="仿宋"/>
                <w:kern w:val="0"/>
                <w:sz w:val="24"/>
                <w:szCs w:val="24"/>
              </w:rPr>
            </w:pPr>
            <w:r>
              <w:rPr>
                <w:rFonts w:hint="eastAsia" w:ascii="仿宋" w:eastAsia="仿宋"/>
                <w:kern w:val="0"/>
                <w:sz w:val="24"/>
                <w:szCs w:val="24"/>
              </w:rPr>
              <w:t xml:space="preserve">——改变主要水工建筑物结构型式； </w:t>
            </w:r>
          </w:p>
          <w:p>
            <w:pPr>
              <w:rPr>
                <w:rFonts w:ascii="仿宋" w:eastAsia="仿宋"/>
                <w:kern w:val="0"/>
                <w:sz w:val="24"/>
                <w:szCs w:val="24"/>
              </w:rPr>
            </w:pPr>
            <w:r>
              <w:rPr>
                <w:rFonts w:hint="eastAsia" w:ascii="仿宋" w:eastAsia="仿宋"/>
                <w:kern w:val="0"/>
                <w:sz w:val="24"/>
                <w:szCs w:val="24"/>
              </w:rPr>
              <w:t xml:space="preserve">——改变主要装卸工艺方案； </w:t>
            </w:r>
          </w:p>
          <w:p>
            <w:pPr>
              <w:rPr>
                <w:rFonts w:ascii="仿宋" w:eastAsia="仿宋"/>
                <w:kern w:val="0"/>
                <w:sz w:val="24"/>
                <w:szCs w:val="24"/>
              </w:rPr>
            </w:pPr>
            <w:r>
              <w:rPr>
                <w:rFonts w:hint="eastAsia" w:ascii="仿宋" w:eastAsia="仿宋"/>
                <w:kern w:val="0"/>
                <w:sz w:val="24"/>
                <w:szCs w:val="24"/>
              </w:rPr>
              <w:t xml:space="preserve">——调整主要生产建筑物结构型式； </w:t>
            </w:r>
          </w:p>
          <w:p>
            <w:pPr>
              <w:widowControl/>
              <w:snapToGrid w:val="0"/>
              <w:spacing w:line="0" w:lineRule="atLeast"/>
              <w:rPr>
                <w:rFonts w:ascii="仿宋" w:eastAsia="仿宋"/>
                <w:kern w:val="0"/>
                <w:sz w:val="24"/>
                <w:szCs w:val="24"/>
              </w:rPr>
            </w:pPr>
            <w:r>
              <w:rPr>
                <w:rFonts w:hint="eastAsia" w:ascii="仿宋" w:eastAsia="仿宋"/>
                <w:kern w:val="0"/>
                <w:sz w:val="24"/>
                <w:szCs w:val="24"/>
              </w:rPr>
              <w:t>——调整主要装卸工艺设备配置规模。</w:t>
            </w:r>
          </w:p>
          <w:p>
            <w:pPr>
              <w:widowControl/>
              <w:snapToGrid w:val="0"/>
              <w:spacing w:line="0" w:lineRule="atLeast"/>
              <w:rPr>
                <w:rFonts w:ascii="仿宋" w:eastAsia="仿宋"/>
                <w:kern w:val="0"/>
                <w:sz w:val="24"/>
                <w:szCs w:val="24"/>
              </w:rPr>
            </w:pPr>
            <w:r>
              <w:rPr>
                <w:rFonts w:hint="eastAsia" w:ascii="仿宋" w:eastAsia="仿宋"/>
                <w:kern w:val="0"/>
                <w:sz w:val="24"/>
                <w:szCs w:val="24"/>
              </w:rPr>
              <w:t>或导致工程建设费用增加或工期延误较多</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SYSJ2-3-6</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因设计原因发生质量问题或严重质量缺陷</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2-3分/次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社会责任</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（满分5分，扣完为止）</w:t>
            </w: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SYSJ2-4-1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未经专利权人许可实施其专利的，或假冒他人专利</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highlight w:val="yellow"/>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SYSJ2-4-2</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因设计原因造成环境污染</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其他</w:t>
            </w: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SYSJ2-5-1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其他被认定的失信行为</w:t>
            </w:r>
          </w:p>
        </w:tc>
        <w:tc>
          <w:tcPr>
            <w:tcW w:w="2773" w:type="dxa"/>
            <w:gridSpan w:val="2"/>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其它信用行为</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（满分15分，在总分中扣除，扣完为止）</w:t>
            </w:r>
          </w:p>
          <w:p>
            <w:pPr>
              <w:widowControl/>
              <w:snapToGrid w:val="0"/>
              <w:spacing w:line="0" w:lineRule="atLeast"/>
              <w:jc w:val="center"/>
              <w:rPr>
                <w:rFonts w:ascii="仿宋" w:eastAsia="仿宋"/>
                <w:kern w:val="0"/>
                <w:sz w:val="24"/>
                <w:szCs w:val="24"/>
              </w:rPr>
            </w:pPr>
          </w:p>
        </w:tc>
        <w:tc>
          <w:tcPr>
            <w:tcW w:w="1696"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严重失信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SYSJ3-1-1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被司法机关认定有行贿、受贿行为，并构成犯罪</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SYSJ3-1-2</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企业在资质申请、延续、变更中存在造假行为</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45"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SYSJ3-1-3</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与招标人串通投标的，包括但不限于：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——招标人在开标前开启投标文件并将有关信息泄露给其他投标人；</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——招标人直接或者间接向投标人泄露标底、评标委员会成员等信息；</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——招标人明示或者暗示投标人压低或者抬高投标报价；</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——招标人授意投标人撤换、修改投标文件；</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——招标人明示或者暗示投标人为特定投标人中标提供方便；</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——招标人与投标人为谋求特定投标人中标而采取的其他串通行为。</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SYSJ3-1-4</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与招标人订立背离合同实质性内容的其他协议</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SYSJ3-1-5</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企业拒绝参加评价的</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一般失信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SYSJ3-2-1</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未按规定填报或变更信用信息</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SYSJ3-2-2</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填报或变更信用信息存在造假行为</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SYSJ3-2-3</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弄虚作假或以不正当手段骗取较高信用等级</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SYSJ3-2-4</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被自治区级以上交通运输主管部门或部属单位通报批评</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SYSJ3-2-5</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被市级交通运输主管部门通报批评</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1947" w:type="dxa"/>
            <w:vMerge w:val="continue"/>
            <w:vAlign w:val="center"/>
          </w:tcPr>
          <w:p>
            <w:pPr>
              <w:widowControl/>
              <w:snapToGrid w:val="0"/>
              <w:spacing w:line="0" w:lineRule="atLeast"/>
              <w:jc w:val="left"/>
              <w:rPr>
                <w:rFonts w:ascii="仿宋" w:eastAsia="仿宋"/>
                <w:kern w:val="0"/>
                <w:sz w:val="24"/>
                <w:szCs w:val="24"/>
                <w:highlight w:val="yellow"/>
              </w:rPr>
            </w:pPr>
          </w:p>
        </w:tc>
        <w:tc>
          <w:tcPr>
            <w:tcW w:w="1696" w:type="dxa"/>
            <w:vMerge w:val="continue"/>
            <w:vAlign w:val="center"/>
          </w:tcPr>
          <w:p>
            <w:pPr>
              <w:widowControl/>
              <w:snapToGrid w:val="0"/>
              <w:spacing w:line="0" w:lineRule="atLeast"/>
              <w:jc w:val="left"/>
              <w:rPr>
                <w:rFonts w:ascii="仿宋" w:eastAsia="仿宋"/>
                <w:kern w:val="0"/>
                <w:sz w:val="24"/>
                <w:szCs w:val="24"/>
              </w:rPr>
            </w:pPr>
          </w:p>
        </w:tc>
        <w:tc>
          <w:tcPr>
            <w:tcW w:w="1836"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SYSJ3-2-6</w:t>
            </w:r>
          </w:p>
        </w:tc>
        <w:tc>
          <w:tcPr>
            <w:tcW w:w="6463"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其他被认定的失信行为</w:t>
            </w:r>
          </w:p>
        </w:tc>
        <w:tc>
          <w:tcPr>
            <w:tcW w:w="275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1-4分</w:t>
            </w:r>
          </w:p>
        </w:tc>
      </w:tr>
    </w:tbl>
    <w:p>
      <w:pPr>
        <w:widowControl/>
        <w:snapToGrid w:val="0"/>
        <w:ind w:firstLine="1377" w:firstLineChars="459"/>
        <w:rPr>
          <w:rFonts w:hint="eastAsia"/>
          <w:kern w:val="0"/>
          <w:sz w:val="30"/>
          <w:szCs w:val="30"/>
        </w:rPr>
      </w:pPr>
      <w:r>
        <w:rPr>
          <w:rFonts w:hint="eastAsia"/>
          <w:kern w:val="0"/>
          <w:sz w:val="30"/>
          <w:szCs w:val="30"/>
        </w:rPr>
        <w:t>注：1.“其他被认定的失信行为”是指由自治区交通运输厅依据法律法规认定的企业其他失信行为。</w:t>
      </w:r>
    </w:p>
    <w:p>
      <w:pPr>
        <w:widowControl/>
        <w:snapToGrid w:val="0"/>
        <w:ind w:left="965" w:firstLine="597" w:firstLineChars="199"/>
        <w:rPr>
          <w:rFonts w:hint="eastAsia"/>
          <w:kern w:val="0"/>
          <w:sz w:val="30"/>
          <w:szCs w:val="30"/>
        </w:rPr>
      </w:pPr>
      <w:r>
        <w:rPr>
          <w:rFonts w:hint="eastAsia"/>
          <w:kern w:val="0"/>
          <w:sz w:val="30"/>
          <w:szCs w:val="30"/>
        </w:rPr>
        <w:t xml:space="preserve">   2.SYSJ2-1-2 、SYSJ2-3-1、SYSJ2-3-2、SYSJ2-3-3、SYSJ2-3-6应依据有关部门的事故调查处理结果认定。质量事故、安全事故的等级划分标准执行《生产安全事故报告和调查处理条例》（国务院第493号令）、《水运工程质量事故等级划分及事故报告》（水运质监字〔1999〕404号）等。</w:t>
      </w:r>
    </w:p>
    <w:p>
      <w:pPr>
        <w:widowControl/>
        <w:tabs>
          <w:tab w:val="left" w:pos="1985"/>
        </w:tabs>
        <w:snapToGrid w:val="0"/>
        <w:ind w:left="965" w:firstLine="597" w:firstLineChars="199"/>
        <w:rPr>
          <w:rFonts w:hint="eastAsia"/>
          <w:kern w:val="0"/>
          <w:sz w:val="30"/>
          <w:szCs w:val="30"/>
        </w:rPr>
      </w:pPr>
      <w:r>
        <w:rPr>
          <w:rFonts w:hint="eastAsia"/>
          <w:kern w:val="0"/>
          <w:sz w:val="30"/>
          <w:szCs w:val="30"/>
        </w:rPr>
        <w:t xml:space="preserve">   3.SYSJ2-2-1、SYSJ2-2-3主要包括以下情形：</w:t>
      </w:r>
    </w:p>
    <w:p>
      <w:pPr>
        <w:widowControl/>
        <w:snapToGrid w:val="0"/>
        <w:ind w:left="965" w:firstLine="597" w:firstLineChars="199"/>
        <w:rPr>
          <w:rFonts w:hint="eastAsia"/>
          <w:kern w:val="0"/>
          <w:sz w:val="30"/>
          <w:szCs w:val="30"/>
        </w:rPr>
      </w:pPr>
      <w:r>
        <w:rPr>
          <w:rFonts w:hint="eastAsia"/>
          <w:kern w:val="0"/>
          <w:sz w:val="30"/>
          <w:szCs w:val="30"/>
        </w:rPr>
        <w:t xml:space="preserve">   （1）配备的项目负责人或专业负责人低于投标承诺的条件（包括职称、业绩、资历等）；</w:t>
      </w:r>
    </w:p>
    <w:p>
      <w:pPr>
        <w:widowControl/>
        <w:snapToGrid w:val="0"/>
        <w:ind w:left="965" w:firstLine="597" w:firstLineChars="199"/>
        <w:rPr>
          <w:rFonts w:hint="eastAsia"/>
          <w:kern w:val="0"/>
          <w:sz w:val="30"/>
          <w:szCs w:val="30"/>
        </w:rPr>
      </w:pPr>
      <w:r>
        <w:rPr>
          <w:rFonts w:hint="eastAsia"/>
          <w:kern w:val="0"/>
          <w:sz w:val="30"/>
          <w:szCs w:val="30"/>
        </w:rPr>
        <w:t xml:space="preserve">   （2）配备的项目负责人或专业负责人不低于投标承诺的条件，但未经项目法人同意进行更换；</w:t>
      </w:r>
    </w:p>
    <w:p>
      <w:pPr>
        <w:widowControl/>
        <w:snapToGrid w:val="0"/>
        <w:ind w:left="965" w:firstLine="597" w:firstLineChars="199"/>
        <w:rPr>
          <w:rFonts w:hint="eastAsia"/>
          <w:kern w:val="0"/>
          <w:sz w:val="30"/>
          <w:szCs w:val="30"/>
        </w:rPr>
      </w:pPr>
      <w:r>
        <w:rPr>
          <w:rFonts w:hint="eastAsia"/>
          <w:kern w:val="0"/>
          <w:sz w:val="30"/>
          <w:szCs w:val="30"/>
        </w:rPr>
        <w:t xml:space="preserve">   （3）配备的项目负责人或专业负责人不低于投标承诺的条件，虽经过项目法人同意进行更换，但同一岗位更换人次数达到两次以上，从第二次变更开始扣分。</w:t>
      </w:r>
    </w:p>
    <w:p>
      <w:pPr>
        <w:widowControl/>
        <w:snapToGrid w:val="0"/>
        <w:ind w:left="965" w:firstLine="597" w:firstLineChars="199"/>
        <w:rPr>
          <w:rFonts w:hint="eastAsia"/>
          <w:kern w:val="0"/>
          <w:sz w:val="30"/>
          <w:szCs w:val="30"/>
        </w:rPr>
      </w:pPr>
      <w:r>
        <w:rPr>
          <w:rFonts w:hint="eastAsia"/>
          <w:kern w:val="0"/>
          <w:sz w:val="30"/>
          <w:szCs w:val="30"/>
        </w:rPr>
        <w:t xml:space="preserve">   4.SYSJ2-2-5当投标书未指定设计代表时，设计代表的任职条件应与项目负责人（或专业负责人）一致。</w:t>
      </w:r>
    </w:p>
    <w:p>
      <w:pPr>
        <w:widowControl/>
        <w:snapToGrid w:val="0"/>
        <w:ind w:left="965" w:firstLine="597" w:firstLineChars="199"/>
        <w:rPr>
          <w:rFonts w:hint="eastAsia"/>
          <w:kern w:val="0"/>
          <w:sz w:val="30"/>
          <w:szCs w:val="30"/>
        </w:rPr>
      </w:pPr>
      <w:r>
        <w:rPr>
          <w:rFonts w:hint="eastAsia"/>
          <w:kern w:val="0"/>
          <w:sz w:val="30"/>
          <w:szCs w:val="30"/>
        </w:rPr>
        <w:t xml:space="preserve">   5.SYSJ2-3-5中“工期延误较多”以30历天为评判标准，不足30历天不扣分。</w:t>
      </w:r>
    </w:p>
    <w:p>
      <w:pPr>
        <w:widowControl/>
        <w:snapToGrid w:val="0"/>
        <w:ind w:left="965" w:firstLine="597" w:firstLineChars="199"/>
        <w:rPr>
          <w:rFonts w:hint="eastAsia"/>
          <w:kern w:val="0"/>
          <w:sz w:val="30"/>
          <w:szCs w:val="30"/>
        </w:rPr>
      </w:pPr>
      <w:r>
        <w:rPr>
          <w:rFonts w:hint="eastAsia"/>
          <w:kern w:val="0"/>
          <w:sz w:val="30"/>
          <w:szCs w:val="30"/>
        </w:rPr>
        <w:t xml:space="preserve">   6.SYSJ2-4-2应依据有关部门的事故调查处理结果认定。环境污染事故的等级划分标准执行《突发环境事件信息报告办法》（环境保护部2011年第17号令）。</w:t>
      </w:r>
    </w:p>
    <w:p>
      <w:pPr>
        <w:widowControl/>
        <w:snapToGrid w:val="0"/>
        <w:ind w:left="965" w:firstLine="597" w:firstLineChars="199"/>
        <w:rPr>
          <w:rFonts w:hint="eastAsia"/>
          <w:kern w:val="0"/>
          <w:sz w:val="30"/>
          <w:szCs w:val="30"/>
        </w:rPr>
      </w:pPr>
      <w:r>
        <w:rPr>
          <w:rFonts w:hint="eastAsia"/>
          <w:kern w:val="0"/>
          <w:sz w:val="30"/>
          <w:szCs w:val="30"/>
        </w:rPr>
        <w:t xml:space="preserve">   7.SYSJ3-1-1是指在项目在广西从事水运工程设计活动中发生的单位行贿、受贿行为。</w:t>
      </w:r>
    </w:p>
    <w:p>
      <w:pPr>
        <w:widowControl/>
        <w:snapToGrid w:val="0"/>
        <w:ind w:left="965" w:firstLine="597" w:firstLineChars="199"/>
        <w:rPr>
          <w:rFonts w:hint="eastAsia"/>
          <w:kern w:val="0"/>
          <w:sz w:val="30"/>
          <w:szCs w:val="30"/>
        </w:rPr>
      </w:pPr>
      <w:r>
        <w:rPr>
          <w:rFonts w:hint="eastAsia"/>
          <w:kern w:val="0"/>
          <w:sz w:val="30"/>
          <w:szCs w:val="30"/>
        </w:rPr>
        <w:t xml:space="preserve">   8.SYSJ3-1-15企业应在项目接到监督通知书或信用评价通知书后，一个月内将有关信息</w:t>
      </w:r>
      <w:r>
        <w:rPr>
          <w:rFonts w:hint="eastAsia"/>
          <w:sz w:val="30"/>
          <w:szCs w:val="30"/>
        </w:rPr>
        <w:t>录入广西壮族自治区水运工程建设市场信用信息管理系统，逾期不录入和更新企业信息视为拒绝参加评价。</w:t>
      </w:r>
    </w:p>
    <w:p>
      <w:pPr>
        <w:widowControl/>
        <w:snapToGrid w:val="0"/>
        <w:ind w:left="965" w:firstLine="597" w:firstLineChars="199"/>
        <w:rPr>
          <w:rFonts w:hint="eastAsia"/>
          <w:kern w:val="0"/>
          <w:sz w:val="30"/>
          <w:szCs w:val="30"/>
        </w:rPr>
      </w:pPr>
      <w:r>
        <w:rPr>
          <w:rFonts w:hint="eastAsia"/>
          <w:kern w:val="0"/>
          <w:sz w:val="30"/>
          <w:szCs w:val="30"/>
        </w:rPr>
        <w:t xml:space="preserve">   9.SYSJ3-2-4、SYSJ3-2-5当被自治区级（市级）以上交通运输主管部门或港航管理部门通报批评，涉及到标准中的具体失信行为时，不重复扣分，按“就高不就低”原则执行。</w:t>
      </w:r>
    </w:p>
    <w:p>
      <w:pPr>
        <w:widowControl/>
        <w:snapToGrid w:val="0"/>
        <w:ind w:left="965" w:firstLine="597" w:firstLineChars="199"/>
        <w:rPr>
          <w:rFonts w:ascii="仿宋" w:eastAsia="仿宋"/>
          <w:kern w:val="0"/>
          <w:szCs w:val="21"/>
        </w:rPr>
      </w:pPr>
      <w:r>
        <w:rPr>
          <w:rFonts w:hint="eastAsia"/>
          <w:kern w:val="0"/>
          <w:sz w:val="30"/>
          <w:szCs w:val="30"/>
        </w:rPr>
        <w:t xml:space="preserve">   10.扣分 “次”是指在评价期内发现的企业失信行为次数。企业失信行为能够整改的，整改期内不重复扣分，整改期满后，未整改或再次发生同一失信行为，可再次扣分；无法整改的，同一事件不重复扣分。</w:t>
      </w:r>
    </w:p>
    <w:p>
      <w:pPr>
        <w:widowControl/>
        <w:snapToGrid w:val="0"/>
        <w:ind w:left="965" w:firstLine="417" w:firstLineChars="199"/>
        <w:rPr>
          <w:rFonts w:ascii="仿宋" w:eastAsia="仿宋"/>
          <w:kern w:val="0"/>
          <w:szCs w:val="21"/>
        </w:rPr>
      </w:pPr>
    </w:p>
    <w:p>
      <w:pPr>
        <w:widowControl/>
        <w:snapToGrid w:val="0"/>
        <w:spacing w:line="360" w:lineRule="auto"/>
        <w:rPr>
          <w:rFonts w:ascii="黑体" w:hAnsi="黑体" w:eastAsia="黑体"/>
          <w:kern w:val="0"/>
          <w:sz w:val="32"/>
          <w:szCs w:val="32"/>
        </w:rPr>
      </w:pPr>
      <w:r>
        <w:rPr>
          <w:rFonts w:ascii="仿宋" w:eastAsia="仿宋"/>
          <w:kern w:val="0"/>
          <w:szCs w:val="32"/>
        </w:rPr>
        <w:br w:type="page"/>
      </w:r>
      <w:r>
        <w:rPr>
          <w:rFonts w:hint="eastAsia" w:ascii="黑体" w:hAnsi="黑体" w:eastAsia="黑体"/>
          <w:kern w:val="0"/>
          <w:sz w:val="32"/>
          <w:szCs w:val="32"/>
        </w:rPr>
        <w:t>附件2</w:t>
      </w:r>
    </w:p>
    <w:p>
      <w:pPr>
        <w:widowControl/>
        <w:snapToGrid w:val="0"/>
        <w:ind w:firstLine="567"/>
        <w:jc w:val="center"/>
        <w:rPr>
          <w:rFonts w:hint="eastAsia" w:ascii="创艺简标宋" w:eastAsia="创艺简标宋"/>
          <w:kern w:val="0"/>
          <w:sz w:val="44"/>
          <w:szCs w:val="44"/>
        </w:rPr>
      </w:pPr>
      <w:r>
        <w:rPr>
          <w:rFonts w:hint="eastAsia" w:ascii="方正小标宋简体" w:hAnsi="方正小标宋简体" w:eastAsia="方正小标宋简体" w:cs="方正小标宋简体"/>
          <w:kern w:val="0"/>
          <w:sz w:val="44"/>
          <w:szCs w:val="44"/>
        </w:rPr>
        <w:t>水运工程施工企业信用行为评定标准</w:t>
      </w:r>
    </w:p>
    <w:tbl>
      <w:tblPr>
        <w:tblStyle w:val="6"/>
        <w:tblW w:w="15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823"/>
        <w:gridCol w:w="1708"/>
        <w:gridCol w:w="758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1649" w:type="dxa"/>
            <w:vAlign w:val="center"/>
          </w:tcPr>
          <w:p>
            <w:pPr>
              <w:widowControl/>
              <w:snapToGrid w:val="0"/>
              <w:spacing w:line="0" w:lineRule="atLeast"/>
              <w:jc w:val="center"/>
              <w:rPr>
                <w:rFonts w:ascii="黑体" w:hAnsi="黑体" w:eastAsia="黑体"/>
                <w:kern w:val="0"/>
                <w:sz w:val="24"/>
                <w:szCs w:val="24"/>
              </w:rPr>
            </w:pPr>
            <w:r>
              <w:rPr>
                <w:rFonts w:hint="eastAsia" w:ascii="黑体" w:hAnsi="黑体" w:eastAsia="黑体"/>
                <w:kern w:val="0"/>
                <w:sz w:val="24"/>
                <w:szCs w:val="24"/>
              </w:rPr>
              <w:t>评定内容</w:t>
            </w:r>
          </w:p>
        </w:tc>
        <w:tc>
          <w:tcPr>
            <w:tcW w:w="3531" w:type="dxa"/>
            <w:gridSpan w:val="2"/>
            <w:vAlign w:val="center"/>
          </w:tcPr>
          <w:p>
            <w:pPr>
              <w:widowControl/>
              <w:snapToGrid w:val="0"/>
              <w:spacing w:line="0" w:lineRule="atLeast"/>
              <w:jc w:val="center"/>
              <w:rPr>
                <w:rFonts w:ascii="黑体" w:hAnsi="黑体" w:eastAsia="黑体"/>
                <w:kern w:val="0"/>
                <w:sz w:val="24"/>
                <w:szCs w:val="24"/>
              </w:rPr>
            </w:pPr>
            <w:r>
              <w:rPr>
                <w:rFonts w:hint="eastAsia" w:ascii="黑体" w:hAnsi="黑体" w:eastAsia="黑体"/>
                <w:kern w:val="0"/>
                <w:sz w:val="24"/>
                <w:szCs w:val="24"/>
              </w:rPr>
              <w:t>行为代码</w:t>
            </w:r>
          </w:p>
        </w:tc>
        <w:tc>
          <w:tcPr>
            <w:tcW w:w="7586" w:type="dxa"/>
            <w:vAlign w:val="center"/>
          </w:tcPr>
          <w:p>
            <w:pPr>
              <w:widowControl/>
              <w:snapToGrid w:val="0"/>
              <w:spacing w:line="0" w:lineRule="atLeast"/>
              <w:jc w:val="center"/>
              <w:rPr>
                <w:rFonts w:ascii="黑体" w:hAnsi="黑体" w:eastAsia="黑体"/>
                <w:kern w:val="0"/>
                <w:sz w:val="24"/>
                <w:szCs w:val="24"/>
              </w:rPr>
            </w:pPr>
            <w:r>
              <w:rPr>
                <w:rFonts w:hint="eastAsia" w:ascii="黑体" w:hAnsi="黑体" w:eastAsia="黑体"/>
                <w:kern w:val="0"/>
                <w:sz w:val="24"/>
                <w:szCs w:val="24"/>
              </w:rPr>
              <w:t>失信行为</w:t>
            </w:r>
          </w:p>
        </w:tc>
        <w:tc>
          <w:tcPr>
            <w:tcW w:w="2551" w:type="dxa"/>
            <w:vAlign w:val="center"/>
          </w:tcPr>
          <w:p>
            <w:pPr>
              <w:widowControl/>
              <w:snapToGrid w:val="0"/>
              <w:spacing w:line="0" w:lineRule="atLeast"/>
              <w:ind w:left="1" w:right="-124" w:hanging="1"/>
              <w:jc w:val="center"/>
              <w:rPr>
                <w:rFonts w:ascii="黑体" w:hAnsi="黑体" w:eastAsia="黑体"/>
                <w:spacing w:val="-4"/>
                <w:kern w:val="0"/>
                <w:sz w:val="24"/>
                <w:szCs w:val="24"/>
              </w:rPr>
            </w:pPr>
            <w:r>
              <w:rPr>
                <w:rFonts w:hint="eastAsia" w:ascii="黑体" w:hAnsi="黑体" w:eastAsia="黑体"/>
                <w:spacing w:val="-4"/>
                <w:kern w:val="0"/>
                <w:sz w:val="24"/>
                <w:szCs w:val="24"/>
              </w:rPr>
              <w:t>行为等级和扣分标准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投标行为</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（满分15分，扣完为止）</w:t>
            </w:r>
          </w:p>
        </w:tc>
        <w:tc>
          <w:tcPr>
            <w:tcW w:w="1823"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严重失信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SYSG1-1-1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涂改、伪造、出借、转让资质证书</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SYSG1-1-2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以他人名义投标或者以其他方式弄虚作假，骗取中标</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SYSG1-1-3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超越本单位资质等级承揽工程</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SYSG1-1-4</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投标人之间相互串通投标</w:t>
            </w:r>
          </w:p>
          <w:p>
            <w:pPr>
              <w:widowControl/>
              <w:snapToGrid w:val="0"/>
              <w:spacing w:line="0" w:lineRule="atLeast"/>
              <w:rPr>
                <w:rFonts w:ascii="仿宋" w:eastAsia="仿宋"/>
                <w:kern w:val="0"/>
                <w:sz w:val="24"/>
                <w:szCs w:val="24"/>
              </w:rPr>
            </w:pPr>
            <w:r>
              <w:rPr>
                <w:rFonts w:hint="eastAsia" w:ascii="仿宋" w:eastAsia="仿宋"/>
                <w:kern w:val="0"/>
                <w:sz w:val="24"/>
                <w:szCs w:val="24"/>
              </w:rPr>
              <w:t>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——投标人之间协商投标报价等投标文件的实质性内容；</w:t>
            </w:r>
          </w:p>
          <w:p>
            <w:pPr>
              <w:widowControl/>
              <w:snapToGrid w:val="0"/>
              <w:spacing w:line="0" w:lineRule="atLeast"/>
              <w:rPr>
                <w:rFonts w:ascii="仿宋" w:eastAsia="仿宋"/>
                <w:kern w:val="0"/>
                <w:sz w:val="24"/>
                <w:szCs w:val="24"/>
              </w:rPr>
            </w:pPr>
            <w:r>
              <w:rPr>
                <w:rFonts w:hint="eastAsia" w:ascii="仿宋" w:eastAsia="仿宋"/>
                <w:kern w:val="0"/>
                <w:sz w:val="24"/>
                <w:szCs w:val="24"/>
              </w:rPr>
              <w:t>——投标人之间约定中标人；</w:t>
            </w:r>
          </w:p>
          <w:p>
            <w:pPr>
              <w:widowControl/>
              <w:snapToGrid w:val="0"/>
              <w:spacing w:line="0" w:lineRule="atLeast"/>
              <w:rPr>
                <w:rFonts w:ascii="仿宋" w:eastAsia="仿宋"/>
                <w:kern w:val="0"/>
                <w:sz w:val="24"/>
                <w:szCs w:val="24"/>
              </w:rPr>
            </w:pPr>
            <w:r>
              <w:rPr>
                <w:rFonts w:hint="eastAsia" w:ascii="仿宋" w:eastAsia="仿宋"/>
                <w:kern w:val="0"/>
                <w:sz w:val="24"/>
                <w:szCs w:val="24"/>
              </w:rPr>
              <w:t>——投标人之间约定部分投标人放弃投标或者中标；</w:t>
            </w:r>
          </w:p>
          <w:p>
            <w:pPr>
              <w:widowControl/>
              <w:snapToGrid w:val="0"/>
              <w:spacing w:line="0" w:lineRule="atLeast"/>
              <w:rPr>
                <w:rFonts w:ascii="仿宋" w:eastAsia="仿宋"/>
                <w:kern w:val="0"/>
                <w:sz w:val="24"/>
                <w:szCs w:val="24"/>
              </w:rPr>
            </w:pPr>
            <w:r>
              <w:rPr>
                <w:rFonts w:hint="eastAsia" w:ascii="仿宋" w:eastAsia="仿宋"/>
                <w:kern w:val="0"/>
                <w:sz w:val="24"/>
                <w:szCs w:val="24"/>
              </w:rPr>
              <w:t>——属于同一集团、协会、商会等组织成员的投标人按照该组织要求协同投标；</w:t>
            </w:r>
          </w:p>
          <w:p>
            <w:pPr>
              <w:widowControl/>
              <w:snapToGrid w:val="0"/>
              <w:spacing w:line="0" w:lineRule="atLeast"/>
              <w:rPr>
                <w:rFonts w:ascii="仿宋" w:eastAsia="仿宋"/>
                <w:kern w:val="0"/>
                <w:sz w:val="24"/>
                <w:szCs w:val="24"/>
              </w:rPr>
            </w:pPr>
            <w:r>
              <w:rPr>
                <w:rFonts w:hint="eastAsia" w:ascii="仿宋" w:eastAsia="仿宋"/>
                <w:kern w:val="0"/>
                <w:sz w:val="24"/>
                <w:szCs w:val="24"/>
              </w:rPr>
              <w:t>——投标人之间为谋取中标或者排斥特定投标人而采取的其他联合行动。</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——不同投标人的投标文件由同一单位或者个人编制；</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——不同投标人委托同一单位或者个人办理投标事宜；</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——不同投标人的投标文件载明的项目管理成员为同一人；</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——不同投标人的投标文件异常一致或者投标报价呈规律性差异；</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——不同投标人的投标文件相互混装；</w:t>
            </w:r>
          </w:p>
          <w:p>
            <w:pPr>
              <w:widowControl/>
              <w:snapToGrid w:val="0"/>
              <w:spacing w:line="0" w:lineRule="atLeast"/>
              <w:rPr>
                <w:rFonts w:ascii="仿宋" w:eastAsia="仿宋"/>
                <w:kern w:val="0"/>
                <w:sz w:val="24"/>
                <w:szCs w:val="24"/>
              </w:rPr>
            </w:pPr>
            <w:r>
              <w:rPr>
                <w:rFonts w:hint="eastAsia" w:ascii="仿宋" w:eastAsia="仿宋"/>
                <w:kern w:val="0"/>
                <w:sz w:val="24"/>
                <w:szCs w:val="24"/>
              </w:rPr>
              <w:t>——不同投标人的投标保证金从同一单位或者个人的账户转出。</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SYSG1-1-5</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向招标人或者评标委员会成员行贿谋取中标</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一般失信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SYSG1-2-1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资格预审申请文件或投标文件存在严重造假行为，事实认定清楚</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SYSG1-2-2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中标后无正当理由放弃中标</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SYSG1-2-3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捏造事实、伪造材料或者以非法手段取得证明材料，进行虚假、恶意投诉</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SYSG1-2-4</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未按时确认补遗书等招标人发出的通知</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SYSG1-2-5</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不及时反馈评标澄清</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SYSG1-2-6</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无正当理由拖延合同签订时间</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SYSG1-2-7</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其他被认定的失信行为</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49" w:type="dxa"/>
            <w:vMerge w:val="restart"/>
            <w:vAlign w:val="center"/>
          </w:tcPr>
          <w:p>
            <w:pPr>
              <w:widowControl/>
              <w:snapToGrid w:val="0"/>
              <w:spacing w:line="0" w:lineRule="atLeast"/>
              <w:ind w:left="2" w:hanging="2"/>
              <w:jc w:val="center"/>
              <w:rPr>
                <w:rFonts w:ascii="仿宋" w:eastAsia="仿宋"/>
                <w:kern w:val="0"/>
                <w:sz w:val="24"/>
                <w:szCs w:val="24"/>
              </w:rPr>
            </w:pPr>
            <w:r>
              <w:rPr>
                <w:rFonts w:hint="eastAsia" w:ascii="仿宋" w:eastAsia="仿宋"/>
                <w:kern w:val="0"/>
                <w:sz w:val="24"/>
                <w:szCs w:val="24"/>
              </w:rPr>
              <w:t>履约行为</w:t>
            </w:r>
          </w:p>
          <w:p>
            <w:pPr>
              <w:widowControl/>
              <w:snapToGrid w:val="0"/>
              <w:spacing w:line="0" w:lineRule="atLeast"/>
              <w:ind w:left="145" w:right="-107" w:hanging="145"/>
              <w:jc w:val="center"/>
              <w:rPr>
                <w:rFonts w:ascii="仿宋" w:eastAsia="仿宋"/>
                <w:kern w:val="0"/>
                <w:sz w:val="24"/>
                <w:szCs w:val="24"/>
              </w:rPr>
            </w:pPr>
            <w:r>
              <w:rPr>
                <w:rFonts w:hint="eastAsia" w:ascii="仿宋" w:eastAsia="仿宋"/>
                <w:kern w:val="0"/>
                <w:sz w:val="24"/>
                <w:szCs w:val="24"/>
              </w:rPr>
              <w:t>（满分70分，扣完为止）</w:t>
            </w:r>
          </w:p>
        </w:tc>
        <w:tc>
          <w:tcPr>
            <w:tcW w:w="1823"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严重失信</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SYSG2-1-1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向他人转让中标项目，或将中标项目肢解后分别向他人转让项目，包括但不限于：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——承包人将其承包的全部工程转给其他单位或个人施工的；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——承包人将其承包的全部工程肢解以后，以分包的名义分别转给其他单位或个人施工的；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——承包人未在施工现场设立项目管理机构或末派驻项目负责人、技术负责人、质量管理负责人、安全管理负责人等主要管理人员，不履行管理义务，未对该工程的施工活动进行组织管理的；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——承包人不履行管理义务，只向实际施工单位收取费用，主要建筑材料、构配件及工程设备的采购由其他单位或个人实施的；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——劳务合作单位承包的范围是合同工程的全部，劳务合作单位计取的是除上缴给承包人“管理费”之外的全部工程价款的； </w:t>
            </w:r>
          </w:p>
          <w:p>
            <w:pPr>
              <w:widowControl/>
              <w:snapToGrid w:val="0"/>
              <w:spacing w:line="0" w:lineRule="atLeast"/>
              <w:rPr>
                <w:rFonts w:ascii="仿宋" w:eastAsia="仿宋"/>
                <w:kern w:val="0"/>
                <w:sz w:val="24"/>
                <w:szCs w:val="24"/>
              </w:rPr>
            </w:pPr>
            <w:r>
              <w:rPr>
                <w:rFonts w:hint="eastAsia" w:ascii="仿宋" w:eastAsia="仿宋"/>
                <w:kern w:val="0"/>
                <w:sz w:val="24"/>
                <w:szCs w:val="24"/>
              </w:rPr>
              <w:t>——承包人通过采取合作、联营、个人承包等形式或名义，直接或变相地将其承包的全部工程转给其他单位或个人施工的。</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SYSG2-1-2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发生重大质量事故（二级以上）或重大以上等级安全生产责任事故</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SYSG2-1-3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发生重大质量事故或较大以上等级安全生产责任事故隐瞒不报、谎报或拖延报告期限</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restart"/>
            <w:vAlign w:val="center"/>
          </w:tcPr>
          <w:p>
            <w:pPr>
              <w:widowControl/>
              <w:snapToGrid w:val="0"/>
              <w:spacing w:line="0" w:lineRule="atLeast"/>
              <w:ind w:left="102" w:right="-108" w:hanging="102"/>
              <w:jc w:val="center"/>
              <w:rPr>
                <w:rFonts w:ascii="仿宋" w:eastAsia="仿宋"/>
                <w:kern w:val="0"/>
                <w:sz w:val="24"/>
                <w:szCs w:val="24"/>
              </w:rPr>
            </w:pPr>
            <w:r>
              <w:rPr>
                <w:rFonts w:hint="eastAsia" w:ascii="仿宋" w:eastAsia="仿宋"/>
                <w:kern w:val="0"/>
                <w:sz w:val="24"/>
                <w:szCs w:val="24"/>
              </w:rPr>
              <w:t>人员设备到位情况（满分5分，扣完为止）</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SYSG2-2-1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项目经理、技术负责人、试验室授权负责人未按投标承诺的条件配备或未经项目法人批准擅自更换</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2分/人次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SYSG2-2-2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关键施工机械、设备未按投标承诺或工程需要到位，影响工程施工</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1分/台（艘）次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SYSG2-2-3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项目经理、技术负责人、试验室授权负责人未经业主批准擅自离岗</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SYSG2-2-4</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主要履约人员未按投标承诺到位，人员更换超过40%</w:t>
            </w:r>
          </w:p>
        </w:tc>
        <w:tc>
          <w:tcPr>
            <w:tcW w:w="2551" w:type="dxa"/>
            <w:vAlign w:val="center"/>
          </w:tcPr>
          <w:p>
            <w:pPr>
              <w:widowControl/>
              <w:overflowPunct w:val="0"/>
              <w:jc w:val="center"/>
              <w:rPr>
                <w:rFonts w:ascii="仿宋" w:eastAsia="仿宋"/>
                <w:kern w:val="0"/>
                <w:sz w:val="24"/>
                <w:szCs w:val="24"/>
              </w:rPr>
            </w:pPr>
            <w:r>
              <w:rPr>
                <w:rFonts w:hint="eastAsia" w:ascii="仿宋" w:eastAsia="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SYSG2-2-5</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有关人员未按要求持证上岗</w:t>
            </w:r>
          </w:p>
        </w:tc>
        <w:tc>
          <w:tcPr>
            <w:tcW w:w="2551" w:type="dxa"/>
            <w:vAlign w:val="center"/>
          </w:tcPr>
          <w:p>
            <w:pPr>
              <w:widowControl/>
              <w:overflowPunct w:val="0"/>
              <w:jc w:val="center"/>
              <w:rPr>
                <w:rFonts w:ascii="仿宋" w:eastAsia="仿宋"/>
                <w:kern w:val="0"/>
                <w:sz w:val="24"/>
                <w:szCs w:val="24"/>
              </w:rPr>
            </w:pPr>
            <w:r>
              <w:rPr>
                <w:rFonts w:hint="eastAsia" w:ascii="仿宋" w:eastAsia="仿宋"/>
                <w:kern w:val="0"/>
                <w:sz w:val="24"/>
                <w:szCs w:val="24"/>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SYSG2-2-6</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未按规定签订劳务用工合同</w:t>
            </w:r>
          </w:p>
        </w:tc>
        <w:tc>
          <w:tcPr>
            <w:tcW w:w="2551" w:type="dxa"/>
            <w:vAlign w:val="center"/>
          </w:tcPr>
          <w:p>
            <w:pPr>
              <w:widowControl/>
              <w:overflowPunct w:val="0"/>
              <w:jc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restart"/>
            <w:vAlign w:val="center"/>
          </w:tcPr>
          <w:p>
            <w:pPr>
              <w:widowControl/>
              <w:snapToGrid w:val="0"/>
              <w:spacing w:line="0" w:lineRule="atLeast"/>
              <w:jc w:val="center"/>
              <w:rPr>
                <w:rFonts w:ascii="仿宋" w:eastAsia="仿宋"/>
                <w:spacing w:val="-20"/>
                <w:kern w:val="0"/>
                <w:sz w:val="24"/>
                <w:szCs w:val="24"/>
              </w:rPr>
            </w:pPr>
            <w:r>
              <w:rPr>
                <w:rFonts w:hint="eastAsia" w:ascii="仿宋" w:eastAsia="仿宋"/>
                <w:kern w:val="0"/>
                <w:sz w:val="24"/>
                <w:szCs w:val="24"/>
              </w:rPr>
              <w:t>质量进度与费用管理(满分40分，扣完为止）</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将承包工程违法分包或转包，包括但不限于：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——承包人未在施工现场设立项目管理机构和派驻相应人员对分包工程的施工活动实施有效管理的；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——承包人将工程分包给不具备相应资格的企业或者个人的；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——分包人以他人名义承揽分包工程的；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——承包人将合同文件中明确不得分包的专项工程进行分包的；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——承包人未与分包人依法签订分包合同或者分包合同未遵循承包合同的各项原则，不满足承包合同中相应要求的； </w:t>
            </w:r>
          </w:p>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——分包合同未报发包人备案的； </w:t>
            </w:r>
          </w:p>
          <w:p>
            <w:pPr>
              <w:widowControl/>
              <w:snapToGrid w:val="0"/>
              <w:spacing w:line="0" w:lineRule="atLeast"/>
              <w:rPr>
                <w:rFonts w:ascii="仿宋" w:eastAsia="仿宋"/>
                <w:kern w:val="0"/>
                <w:sz w:val="24"/>
                <w:szCs w:val="24"/>
              </w:rPr>
            </w:pPr>
            <w:r>
              <w:rPr>
                <w:rFonts w:hint="eastAsia" w:ascii="仿宋" w:eastAsia="仿宋"/>
                <w:kern w:val="0"/>
                <w:sz w:val="24"/>
                <w:szCs w:val="24"/>
              </w:rPr>
              <w:t>——分包人将分包工程再进行分包的。</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由于施工企业原因导致合同终止</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未按照强制性标准进行施工</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SYSG2-3-4</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因施工原因发生重大设计变更导致工程建设费用增加或工期延误较多</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SYSG2-3-5</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拒绝或阻碍依法进行水运建设监督检查工作</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SYSG2-3-6</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未对职工进行专项教育和培训</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0.5分/人次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SYSG2-3-7</w:t>
            </w:r>
          </w:p>
        </w:tc>
        <w:tc>
          <w:tcPr>
            <w:tcW w:w="7586" w:type="dxa"/>
            <w:vAlign w:val="center"/>
          </w:tcPr>
          <w:p>
            <w:pPr>
              <w:widowControl/>
              <w:overflowPunct w:val="0"/>
              <w:rPr>
                <w:rFonts w:ascii="仿宋" w:eastAsia="仿宋"/>
                <w:kern w:val="0"/>
                <w:sz w:val="24"/>
                <w:szCs w:val="24"/>
              </w:rPr>
            </w:pPr>
            <w:r>
              <w:rPr>
                <w:rFonts w:hint="eastAsia" w:ascii="仿宋" w:eastAsia="仿宋"/>
                <w:kern w:val="0"/>
                <w:sz w:val="24"/>
                <w:szCs w:val="24"/>
              </w:rPr>
              <w:t>质量保证体系或质量保证措施不健全，包括但不限于：</w:t>
            </w:r>
          </w:p>
          <w:p>
            <w:pPr>
              <w:widowControl/>
              <w:overflowPunct w:val="0"/>
              <w:rPr>
                <w:rFonts w:ascii="仿宋" w:eastAsia="仿宋"/>
                <w:kern w:val="0"/>
                <w:sz w:val="24"/>
                <w:szCs w:val="24"/>
              </w:rPr>
            </w:pPr>
            <w:r>
              <w:rPr>
                <w:rFonts w:hint="eastAsia" w:ascii="仿宋" w:eastAsia="仿宋"/>
                <w:kern w:val="0"/>
                <w:sz w:val="24"/>
                <w:szCs w:val="24"/>
              </w:rPr>
              <w:t>——未建立工地试验室即实质性开工；</w:t>
            </w:r>
          </w:p>
          <w:p>
            <w:pPr>
              <w:widowControl/>
              <w:snapToGrid w:val="0"/>
              <w:spacing w:line="0" w:lineRule="atLeast"/>
              <w:rPr>
                <w:rFonts w:ascii="仿宋" w:eastAsia="仿宋"/>
                <w:kern w:val="0"/>
                <w:sz w:val="24"/>
                <w:szCs w:val="24"/>
              </w:rPr>
            </w:pPr>
            <w:r>
              <w:rPr>
                <w:rFonts w:hint="eastAsia" w:ascii="仿宋" w:eastAsia="仿宋"/>
                <w:kern w:val="0"/>
                <w:sz w:val="24"/>
                <w:szCs w:val="24"/>
              </w:rPr>
              <w:t>——未建立相应的质量管理制度。</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SYSG2-3-8</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特殊季节施工预防措施不健全</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SYSG2-3-9</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未建立工程质量责任登记制度</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SYSG2-3-10</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使用未经检验或检验不合格的建筑材料、建筑构配件和设备，包括但不限于：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——水泥安定性不合格并已使用的；</w:t>
            </w:r>
          </w:p>
          <w:p>
            <w:pPr>
              <w:widowControl/>
              <w:snapToGrid w:val="0"/>
              <w:spacing w:line="0" w:lineRule="atLeast"/>
              <w:rPr>
                <w:rFonts w:ascii="仿宋" w:eastAsia="仿宋"/>
                <w:kern w:val="0"/>
                <w:sz w:val="24"/>
                <w:szCs w:val="24"/>
              </w:rPr>
            </w:pPr>
            <w:r>
              <w:rPr>
                <w:rFonts w:hint="eastAsia" w:ascii="仿宋" w:eastAsia="仿宋"/>
                <w:kern w:val="0"/>
                <w:sz w:val="24"/>
                <w:szCs w:val="24"/>
              </w:rPr>
              <w:t>——钢筋力学性能达不到标准要求并已使用的；</w:t>
            </w:r>
          </w:p>
          <w:p>
            <w:pPr>
              <w:widowControl/>
              <w:snapToGrid w:val="0"/>
              <w:spacing w:line="0" w:lineRule="atLeast"/>
              <w:rPr>
                <w:rFonts w:ascii="仿宋" w:eastAsia="仿宋"/>
                <w:kern w:val="0"/>
                <w:sz w:val="24"/>
                <w:szCs w:val="24"/>
              </w:rPr>
            </w:pPr>
            <w:r>
              <w:rPr>
                <w:rFonts w:hint="eastAsia" w:ascii="仿宋" w:eastAsia="仿宋"/>
                <w:kern w:val="0"/>
                <w:sz w:val="24"/>
                <w:szCs w:val="24"/>
              </w:rPr>
              <w:t>——各类交通产品达不到产品质量标准并已使用的。</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SYSG2-3-11</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未经监理签认进入下道工序或分项工程</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SYSG2-3-12</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未经监理签认将建筑材料、建筑构配件和设备在工程上使用或安装</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SYSG2-3-13</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监理下达停工指令拒不执行</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SYSG2-3-14</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未对建筑材料、建筑构配件、设备和商品混凝土进行检验，或者未对涉及结构安全的试块、试件以及有关材料取样检测直接使用</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SYSG2-3-15</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施工过程中偷工减料</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SYSG2-3-16</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发生重大（二级）以下、一般以上质量事故</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SYSG2-3-17</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不按照审批的施工图纸施工或施工方案未经审查批准擅自开工的，或未按审批施工方案进行施工的</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SYSG2-3-18</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发生质量问题或严重质量缺陷，包括但不限于：</w:t>
            </w:r>
          </w:p>
          <w:p>
            <w:pPr>
              <w:widowControl/>
              <w:snapToGrid w:val="0"/>
              <w:spacing w:line="0" w:lineRule="atLeast"/>
              <w:rPr>
                <w:rFonts w:ascii="仿宋" w:eastAsia="仿宋"/>
                <w:kern w:val="0"/>
                <w:sz w:val="24"/>
                <w:szCs w:val="24"/>
              </w:rPr>
            </w:pPr>
            <w:r>
              <w:rPr>
                <w:rFonts w:hint="eastAsia" w:ascii="仿宋" w:eastAsia="仿宋" w:cs="宋体"/>
                <w:kern w:val="0"/>
                <w:sz w:val="24"/>
                <w:szCs w:val="24"/>
              </w:rPr>
              <w:t>——</w:t>
            </w:r>
            <w:r>
              <w:rPr>
                <w:rFonts w:hint="eastAsia" w:ascii="仿宋" w:eastAsia="仿宋"/>
                <w:kern w:val="0"/>
                <w:sz w:val="24"/>
                <w:szCs w:val="24"/>
              </w:rPr>
              <w:t>构件混凝土抗压强度、抗渗等级等不符合设计和规范要求；</w:t>
            </w:r>
          </w:p>
          <w:p>
            <w:pPr>
              <w:widowControl/>
              <w:snapToGrid w:val="0"/>
              <w:spacing w:line="0" w:lineRule="atLeast"/>
              <w:rPr>
                <w:rFonts w:ascii="仿宋" w:eastAsia="仿宋"/>
                <w:kern w:val="0"/>
                <w:sz w:val="24"/>
                <w:szCs w:val="24"/>
              </w:rPr>
            </w:pPr>
            <w:r>
              <w:rPr>
                <w:rFonts w:hint="eastAsia" w:ascii="仿宋" w:eastAsia="仿宋" w:cs="宋体"/>
                <w:kern w:val="0"/>
                <w:sz w:val="24"/>
                <w:szCs w:val="24"/>
              </w:rPr>
              <w:t>——</w:t>
            </w:r>
            <w:r>
              <w:rPr>
                <w:rFonts w:hint="eastAsia" w:ascii="仿宋" w:eastAsia="仿宋"/>
                <w:kern w:val="0"/>
                <w:sz w:val="24"/>
                <w:szCs w:val="24"/>
              </w:rPr>
              <w:t>对建筑材料、构配件和设备等检验的数量、频率、取样方法不符合标准规定；</w:t>
            </w:r>
          </w:p>
          <w:p>
            <w:pPr>
              <w:widowControl/>
              <w:snapToGrid w:val="0"/>
              <w:spacing w:line="0" w:lineRule="atLeast"/>
              <w:rPr>
                <w:rFonts w:ascii="仿宋" w:eastAsia="仿宋"/>
                <w:kern w:val="0"/>
                <w:sz w:val="24"/>
                <w:szCs w:val="24"/>
              </w:rPr>
            </w:pPr>
            <w:r>
              <w:rPr>
                <w:rFonts w:hint="eastAsia" w:ascii="仿宋" w:eastAsia="仿宋" w:cs="宋体"/>
                <w:kern w:val="0"/>
                <w:sz w:val="24"/>
                <w:szCs w:val="24"/>
              </w:rPr>
              <w:t>——</w:t>
            </w:r>
            <w:r>
              <w:rPr>
                <w:rFonts w:hint="eastAsia" w:ascii="仿宋" w:eastAsia="仿宋"/>
                <w:kern w:val="0"/>
                <w:sz w:val="24"/>
                <w:szCs w:val="24"/>
              </w:rPr>
              <w:t>钢筋焊接搭接长度不足、不同轴、焊缝宽度不足；</w:t>
            </w:r>
          </w:p>
          <w:p>
            <w:pPr>
              <w:widowControl/>
              <w:snapToGrid w:val="0"/>
              <w:spacing w:line="0" w:lineRule="atLeast"/>
              <w:rPr>
                <w:rFonts w:ascii="仿宋" w:eastAsia="仿宋"/>
                <w:kern w:val="0"/>
                <w:sz w:val="24"/>
                <w:szCs w:val="24"/>
              </w:rPr>
            </w:pPr>
            <w:r>
              <w:rPr>
                <w:rFonts w:hint="eastAsia" w:ascii="仿宋" w:eastAsia="仿宋" w:cs="宋体"/>
                <w:kern w:val="0"/>
                <w:sz w:val="24"/>
                <w:szCs w:val="24"/>
              </w:rPr>
              <w:t>——</w:t>
            </w:r>
            <w:r>
              <w:rPr>
                <w:rFonts w:hint="eastAsia" w:ascii="仿宋" w:eastAsia="仿宋"/>
                <w:kern w:val="0"/>
                <w:sz w:val="24"/>
                <w:szCs w:val="24"/>
              </w:rPr>
              <w:t>结构钢筋保护层合格率不足80%；</w:t>
            </w:r>
          </w:p>
          <w:p>
            <w:pPr>
              <w:widowControl/>
              <w:snapToGrid w:val="0"/>
              <w:spacing w:line="0" w:lineRule="atLeast"/>
              <w:rPr>
                <w:rFonts w:ascii="仿宋" w:eastAsia="仿宋"/>
                <w:kern w:val="0"/>
                <w:sz w:val="24"/>
                <w:szCs w:val="24"/>
              </w:rPr>
            </w:pPr>
            <w:r>
              <w:rPr>
                <w:rFonts w:hint="eastAsia" w:ascii="仿宋" w:eastAsia="仿宋" w:cs="宋体"/>
                <w:kern w:val="0"/>
                <w:sz w:val="24"/>
                <w:szCs w:val="24"/>
              </w:rPr>
              <w:t>——</w:t>
            </w:r>
            <w:r>
              <w:rPr>
                <w:rFonts w:hint="eastAsia" w:ascii="仿宋" w:eastAsia="仿宋"/>
                <w:kern w:val="0"/>
                <w:sz w:val="24"/>
                <w:szCs w:val="24"/>
              </w:rPr>
              <w:t>钢筋保护层垫块不合格；</w:t>
            </w:r>
          </w:p>
          <w:p>
            <w:pPr>
              <w:widowControl/>
              <w:snapToGrid w:val="0"/>
              <w:spacing w:line="0" w:lineRule="atLeast"/>
              <w:rPr>
                <w:rFonts w:ascii="仿宋" w:eastAsia="仿宋"/>
                <w:kern w:val="0"/>
                <w:sz w:val="24"/>
                <w:szCs w:val="24"/>
              </w:rPr>
            </w:pPr>
            <w:r>
              <w:rPr>
                <w:rFonts w:hint="eastAsia" w:ascii="仿宋" w:eastAsia="仿宋" w:cs="宋体"/>
                <w:kern w:val="0"/>
                <w:sz w:val="24"/>
                <w:szCs w:val="24"/>
              </w:rPr>
              <w:t>——</w:t>
            </w:r>
            <w:r>
              <w:rPr>
                <w:rFonts w:hint="eastAsia" w:ascii="仿宋" w:eastAsia="仿宋"/>
                <w:kern w:val="0"/>
                <w:sz w:val="24"/>
                <w:szCs w:val="24"/>
              </w:rPr>
              <w:t>混凝土施工缝未处理或存在明显缺陷；</w:t>
            </w:r>
          </w:p>
          <w:p>
            <w:pPr>
              <w:widowControl/>
              <w:snapToGrid w:val="0"/>
              <w:spacing w:line="0" w:lineRule="atLeast"/>
              <w:rPr>
                <w:rFonts w:ascii="仿宋" w:eastAsia="仿宋"/>
                <w:kern w:val="0"/>
                <w:sz w:val="24"/>
                <w:szCs w:val="24"/>
              </w:rPr>
            </w:pPr>
            <w:r>
              <w:rPr>
                <w:rFonts w:hint="eastAsia" w:ascii="仿宋" w:eastAsia="仿宋" w:cs="宋体"/>
                <w:kern w:val="0"/>
                <w:sz w:val="24"/>
                <w:szCs w:val="24"/>
              </w:rPr>
              <w:t>——</w:t>
            </w:r>
            <w:r>
              <w:rPr>
                <w:rFonts w:hint="eastAsia" w:ascii="仿宋" w:eastAsia="仿宋"/>
                <w:kern w:val="0"/>
                <w:sz w:val="24"/>
                <w:szCs w:val="24"/>
              </w:rPr>
              <w:t>混凝土养护不符合规范要求的，如养护不及时、养护时间不足、使用海水养护等。</w:t>
            </w:r>
          </w:p>
          <w:p>
            <w:pPr>
              <w:widowControl/>
              <w:snapToGrid w:val="0"/>
              <w:spacing w:line="0" w:lineRule="atLeast"/>
              <w:rPr>
                <w:rFonts w:ascii="仿宋" w:eastAsia="仿宋"/>
                <w:kern w:val="0"/>
                <w:sz w:val="24"/>
                <w:szCs w:val="24"/>
              </w:rPr>
            </w:pPr>
            <w:r>
              <w:rPr>
                <w:rFonts w:hint="eastAsia" w:ascii="仿宋" w:eastAsia="仿宋"/>
                <w:kern w:val="0"/>
                <w:sz w:val="24"/>
                <w:szCs w:val="24"/>
              </w:rPr>
              <w:t>或者发生质量问题不整改的，或出现质量问题经整改仍达不到要求的</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SYSG2-3-19</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施工现场管理混乱</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SYSG2-3-20</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未按规定配备质量管理人员或质量管理人员履职不力</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挪用工程款，造成管理混乱、进度滞后等不良影响</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工程变更中存在弄虚作假</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内业资料造假</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SYSG2-3-24</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或内业资料收集不及时，不完整，不闭合，或签名不全，或代签名</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SYSG2-3-25</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工地试验室不符合要求</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SYSG2-3-26</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试验检测数据或内业资料虚假</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SYSG2-3-27</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因施工原因造成工程进度滞后于合同工期</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2分/30历天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SYSG2-3-28</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未达到合同约定的质量标准</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SYSG2-3-29</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不配合业主进行交工验收</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SYSG2-3-30</w:t>
            </w:r>
          </w:p>
        </w:tc>
        <w:tc>
          <w:tcPr>
            <w:tcW w:w="7586" w:type="dxa"/>
            <w:vAlign w:val="center"/>
          </w:tcPr>
          <w:p>
            <w:pPr>
              <w:widowControl/>
              <w:snapToGrid w:val="0"/>
              <w:spacing w:line="0" w:lineRule="atLeast"/>
              <w:rPr>
                <w:rFonts w:ascii="仿宋" w:eastAsia="仿宋"/>
                <w:strike/>
                <w:kern w:val="0"/>
                <w:sz w:val="24"/>
                <w:szCs w:val="24"/>
              </w:rPr>
            </w:pPr>
            <w:r>
              <w:rPr>
                <w:rFonts w:hint="eastAsia" w:ascii="仿宋" w:eastAsia="仿宋"/>
                <w:kern w:val="0"/>
                <w:sz w:val="24"/>
                <w:szCs w:val="24"/>
              </w:rPr>
              <w:t>不履行保修义务或者拖延履行保修义务</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restart"/>
            <w:vAlign w:val="center"/>
          </w:tcPr>
          <w:p>
            <w:pPr>
              <w:widowControl/>
              <w:snapToGrid w:val="0"/>
              <w:spacing w:line="0" w:lineRule="atLeast"/>
              <w:jc w:val="center"/>
              <w:rPr>
                <w:rFonts w:ascii="仿宋" w:eastAsia="仿宋"/>
                <w:spacing w:val="-20"/>
                <w:kern w:val="0"/>
                <w:sz w:val="24"/>
                <w:szCs w:val="24"/>
              </w:rPr>
            </w:pPr>
            <w:r>
              <w:rPr>
                <w:rFonts w:hint="eastAsia" w:ascii="仿宋" w:eastAsia="仿宋"/>
                <w:kern w:val="0"/>
                <w:sz w:val="24"/>
                <w:szCs w:val="24"/>
              </w:rPr>
              <w:t>安全生产(满分20分，扣完为止)</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 xml:space="preserve">发生较大安全生产责任事故  </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发生一般安全生产责任事故</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主要负责人在施工期间发生工程安全事件时，拒绝或消极抢险或者在事故调查处理期间擅离职守或者逃匿</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SYSG2-4-4</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未签订安全生产合同</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SYSG2-4-5</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未建立健全安全生产规章制度、操作规程或安全生产保证体系</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SYSG2-4-6</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未按规定配备安全生产管理人员或安全生产管理人员履职不力</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SYSG2-4-7</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项目负责人、专职安全生产管理人员、作业人员或者特种作业人员，未经安全教育培训或考核不合格即从事相关工作</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SYSG2-4-8</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未对职工进行安全生产教育和培训，或者未如实告知有关安全生产事项</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SYSG2-4-9</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未在施工现场的危险部位设置明显的安全警示标志和安全防护，或者未按照国家有关规定在施工现场设置消防通道、消防水源、配备消防设施和灭火器材</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SYSG2-4-10</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未向作业人员提供安全防护用具和安全防护服装</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SYSG2-4-11</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特种设备未经具有专业资质的机构检测、检验合格，取得安全使用证或者安全标志，投入使用。或使用未经验收或者验收不合格的施工起重机械和整体提升脚手架、模板等自升式架设设施</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SYSG2-4-12</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使用国家明令淘汰、禁止使用的危及生产安全的工艺、设备</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6分/次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SYSG2-4-13</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储存、使用危险物品，未建立专门安全管理制度、未采取可靠的安全措施或者不接受有关主管部门依法实施的监督管理</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4分/次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SYSG2-4-14</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对重大危险源未登记建档，或者未进行评估、监控，或者未制定应急预案</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4分/次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SYSG2-4-15</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进行爆破、吊装等危险作业，未安排专门管理人员进行现场安全管理</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SYSG2-4-16</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两个以上单位在同一作业区域内进行可能危及对方安全生产的生产经营活动，因自身原因未签订安全生产管理协议或者未指定专职安全生产管理人员进行安全检查与协调。</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SYSG2-4-17</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SYSG2-4-18</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从业人员不服从管理，违反安全生产规章制度或者操作规程，包括但不限于：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——作业人员个人安全防护不到位；</w:t>
            </w:r>
          </w:p>
          <w:p>
            <w:pPr>
              <w:widowControl/>
              <w:snapToGrid w:val="0"/>
              <w:spacing w:line="0" w:lineRule="atLeast"/>
              <w:rPr>
                <w:rFonts w:ascii="仿宋" w:eastAsia="仿宋"/>
                <w:kern w:val="0"/>
                <w:sz w:val="24"/>
                <w:szCs w:val="24"/>
              </w:rPr>
            </w:pPr>
            <w:r>
              <w:rPr>
                <w:rFonts w:hint="eastAsia" w:ascii="仿宋" w:eastAsia="仿宋"/>
                <w:kern w:val="0"/>
                <w:sz w:val="24"/>
                <w:szCs w:val="24"/>
              </w:rPr>
              <w:t>——违规使用吊机运载人员。</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SYSG2-4-19</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未及时、如实报告生产安全事故，存在迟报、漏报、谎报、瞒报行为</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SYSG2-4-20</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挪用列入建设工程概算的安全生产作业环境及安全施工措施所需费用或</w:t>
            </w:r>
            <w:r>
              <w:rPr>
                <w:rFonts w:ascii="仿宋" w:eastAsia="仿宋"/>
                <w:kern w:val="0"/>
                <w:sz w:val="24"/>
                <w:szCs w:val="24"/>
              </w:rPr>
              <w:t>施工总承包单位未向分包单位支付必要的安全费用以及承包单位挪用安全费用的</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SYSG2-4-21</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每项工程实施前，未进行安全生产技术交底</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未根据不同施工阶段和周围环境及季节、气候的变化，在施工现场采取相应的安全施工措施，包括但不限于：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——深基坑开挖安全措施不到位。</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施工现场临时搭建的建筑物不符合安全使用要求，包括但不限于：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——生产、生活区未分别设置和未封闭管理；</w:t>
            </w:r>
          </w:p>
          <w:p>
            <w:pPr>
              <w:widowControl/>
              <w:snapToGrid w:val="0"/>
              <w:spacing w:line="0" w:lineRule="atLeast"/>
              <w:rPr>
                <w:rFonts w:ascii="仿宋" w:eastAsia="仿宋"/>
                <w:kern w:val="0"/>
                <w:sz w:val="24"/>
                <w:szCs w:val="24"/>
              </w:rPr>
            </w:pPr>
            <w:r>
              <w:rPr>
                <w:rFonts w:hint="eastAsia" w:ascii="仿宋" w:eastAsia="仿宋"/>
                <w:kern w:val="0"/>
                <w:sz w:val="24"/>
                <w:szCs w:val="24"/>
              </w:rPr>
              <w:t>——临时住房不符合安全要求。</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SYSG2-4-24</w:t>
            </w:r>
          </w:p>
        </w:tc>
        <w:tc>
          <w:tcPr>
            <w:tcW w:w="7586" w:type="dxa"/>
            <w:vAlign w:val="center"/>
          </w:tcPr>
          <w:p>
            <w:pPr>
              <w:widowControl/>
              <w:overflowPunct w:val="0"/>
              <w:spacing w:line="0" w:lineRule="atLeast"/>
              <w:rPr>
                <w:rFonts w:ascii="仿宋" w:eastAsia="仿宋"/>
                <w:kern w:val="0"/>
                <w:sz w:val="24"/>
                <w:szCs w:val="24"/>
              </w:rPr>
            </w:pPr>
            <w:r>
              <w:rPr>
                <w:rFonts w:hint="eastAsia" w:ascii="仿宋" w:eastAsia="仿宋"/>
                <w:kern w:val="0"/>
                <w:sz w:val="24"/>
                <w:szCs w:val="24"/>
              </w:rPr>
              <w:t>对危险性较大的工程未编制专项施工方案并附安全验算结果或未经审批即行施工的</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SYSG2-4-25</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未对因建设工程施工可能造成损害的毗邻建筑物、构筑物和地下管线等采取专项防护措施</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SYSG2-4-26</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安全防护用具、机械设备、施工机具及配件在进入施工现场前未经查验或者查验不合格即投入使用</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SYSG2-4-27</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委托不具有相应资质的单位承担施工现场安装、拆卸施工起重机械和整体提升脚手架、模板等自升式架设设施</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SYSG2-4-28</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未取得安全生产许可证擅自进行生产，安全生产许可证有效期满未办理延期手续，继续进行生产；逾期仍不办理延期手续，继续进行生产</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SYSG2-4-29</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使用伪造的安全生产许可证</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SYSG2-4-30</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存在《广西水运工程重大事故隐患清单》所列重大安全事故隐患</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SYSG2-4-31</w:t>
            </w:r>
          </w:p>
        </w:tc>
        <w:tc>
          <w:tcPr>
            <w:tcW w:w="7586" w:type="dxa"/>
            <w:vAlign w:val="center"/>
          </w:tcPr>
          <w:p>
            <w:pPr>
              <w:widowControl/>
              <w:spacing w:line="0" w:lineRule="atLeast"/>
              <w:jc w:val="left"/>
              <w:textAlignment w:val="center"/>
              <w:rPr>
                <w:rFonts w:ascii="仿宋" w:eastAsia="仿宋"/>
                <w:kern w:val="0"/>
                <w:sz w:val="24"/>
                <w:szCs w:val="24"/>
              </w:rPr>
            </w:pPr>
            <w:r>
              <w:rPr>
                <w:rFonts w:hint="eastAsia" w:ascii="仿宋" w:eastAsia="仿宋"/>
                <w:kern w:val="0"/>
                <w:sz w:val="24"/>
                <w:szCs w:val="24"/>
              </w:rPr>
              <w:t>现场管理混乱，存在重大安全隐患，或者存在安全隐患不整改的或者整改效果不明显的</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SYSG2-4-32</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适航证书与施工作业区域不符或未取得水上水下施工许可</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1分/艘次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施工船舶存在超载或严重偏载，或违章作业等现象</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4分/次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SYSG2-4-34</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多次整改仍然存在安全问题</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SYSG2-4-35</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施工现场防护不到位，存在安全隐患，包括但不限于：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——施工便道危险地段未安装警示安全护栏或防护墩；</w:t>
            </w:r>
          </w:p>
          <w:p>
            <w:pPr>
              <w:widowControl/>
              <w:snapToGrid w:val="0"/>
              <w:spacing w:line="0" w:lineRule="atLeast"/>
              <w:rPr>
                <w:rFonts w:ascii="仿宋" w:eastAsia="仿宋"/>
                <w:kern w:val="0"/>
                <w:sz w:val="24"/>
                <w:szCs w:val="24"/>
              </w:rPr>
            </w:pPr>
            <w:r>
              <w:rPr>
                <w:rFonts w:hint="eastAsia" w:ascii="仿宋" w:eastAsia="仿宋"/>
                <w:kern w:val="0"/>
                <w:sz w:val="24"/>
                <w:szCs w:val="24"/>
              </w:rPr>
              <w:t>——临时用电不符合“三级配电、两级保护”要求，配电箱开关箱违反“一机、一闸、一漏、一箱”；</w:t>
            </w:r>
          </w:p>
          <w:p>
            <w:pPr>
              <w:widowControl/>
              <w:snapToGrid w:val="0"/>
              <w:spacing w:line="0" w:lineRule="atLeast"/>
              <w:rPr>
                <w:rFonts w:ascii="仿宋" w:eastAsia="仿宋"/>
                <w:kern w:val="0"/>
                <w:sz w:val="24"/>
                <w:szCs w:val="24"/>
              </w:rPr>
            </w:pPr>
            <w:r>
              <w:rPr>
                <w:rFonts w:hint="eastAsia" w:ascii="仿宋" w:eastAsia="仿宋"/>
                <w:kern w:val="0"/>
                <w:sz w:val="24"/>
                <w:szCs w:val="24"/>
              </w:rPr>
              <w:t>——高桩码头施工中，爬梯、步梯安全不符合安全要求，墩柱施工超过规定高度未及时安装施工电梯；</w:t>
            </w:r>
          </w:p>
          <w:p>
            <w:pPr>
              <w:widowControl/>
              <w:snapToGrid w:val="0"/>
              <w:spacing w:line="0" w:lineRule="atLeast"/>
              <w:rPr>
                <w:rFonts w:ascii="仿宋" w:eastAsia="仿宋"/>
                <w:kern w:val="0"/>
                <w:sz w:val="24"/>
                <w:szCs w:val="24"/>
              </w:rPr>
            </w:pPr>
            <w:r>
              <w:rPr>
                <w:rFonts w:hint="eastAsia" w:ascii="仿宋" w:eastAsia="仿宋"/>
                <w:kern w:val="0"/>
                <w:sz w:val="24"/>
                <w:szCs w:val="24"/>
              </w:rPr>
              <w:t>——高桩码头施工中承重支架、人行脚手架、混凝土输送泵管、通道安全防护、栈道等支架安全性不足；</w:t>
            </w:r>
          </w:p>
          <w:p>
            <w:pPr>
              <w:widowControl/>
              <w:snapToGrid w:val="0"/>
              <w:spacing w:line="0" w:lineRule="atLeast"/>
              <w:rPr>
                <w:rFonts w:ascii="仿宋" w:eastAsia="仿宋"/>
                <w:kern w:val="0"/>
                <w:sz w:val="24"/>
                <w:szCs w:val="24"/>
              </w:rPr>
            </w:pPr>
            <w:r>
              <w:rPr>
                <w:rFonts w:hint="eastAsia" w:ascii="仿宋" w:eastAsia="仿宋"/>
                <w:kern w:val="0"/>
                <w:sz w:val="24"/>
                <w:szCs w:val="24"/>
              </w:rPr>
              <w:t>——深基坑开挖与支护不符合安全要求。</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SYSG2-4-36</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未编制安全生产应急预案并落实人员、器材，组织演练</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SYSG2-4-37</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未依法参加工伤保险并为从业人员缴纳保险费</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SYSG2-4-38</w:t>
            </w:r>
          </w:p>
        </w:tc>
        <w:tc>
          <w:tcPr>
            <w:tcW w:w="7586" w:type="dxa"/>
            <w:vAlign w:val="center"/>
          </w:tcPr>
          <w:p>
            <w:pPr>
              <w:widowControl/>
              <w:jc w:val="left"/>
              <w:textAlignment w:val="center"/>
              <w:rPr>
                <w:rFonts w:ascii="仿宋" w:eastAsia="仿宋"/>
                <w:kern w:val="0"/>
                <w:sz w:val="24"/>
                <w:szCs w:val="24"/>
              </w:rPr>
            </w:pPr>
            <w:r>
              <w:rPr>
                <w:rFonts w:hint="eastAsia" w:ascii="仿宋" w:eastAsia="仿宋"/>
                <w:kern w:val="0"/>
                <w:sz w:val="24"/>
                <w:szCs w:val="24"/>
              </w:rPr>
              <w:t>平安工地考核不达标</w:t>
            </w:r>
          </w:p>
        </w:tc>
        <w:tc>
          <w:tcPr>
            <w:tcW w:w="2551" w:type="dxa"/>
            <w:vAlign w:val="center"/>
          </w:tcPr>
          <w:p>
            <w:pPr>
              <w:widowControl/>
              <w:jc w:val="center"/>
              <w:textAlignment w:val="center"/>
              <w:rPr>
                <w:rFonts w:ascii="仿宋" w:eastAsia="仿宋"/>
                <w:kern w:val="0"/>
                <w:sz w:val="24"/>
                <w:szCs w:val="24"/>
              </w:rPr>
            </w:pPr>
            <w:r>
              <w:rPr>
                <w:rFonts w:hint="eastAsia" w:ascii="仿宋" w:eastAsia="仿宋"/>
                <w:kern w:val="0"/>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SYSG2-4-39</w:t>
            </w:r>
          </w:p>
        </w:tc>
        <w:tc>
          <w:tcPr>
            <w:tcW w:w="7586" w:type="dxa"/>
            <w:vAlign w:val="center"/>
          </w:tcPr>
          <w:p>
            <w:pPr>
              <w:widowControl/>
              <w:overflowPunct w:val="0"/>
              <w:rPr>
                <w:rFonts w:ascii="仿宋" w:eastAsia="仿宋"/>
                <w:kern w:val="0"/>
                <w:sz w:val="24"/>
                <w:szCs w:val="24"/>
              </w:rPr>
            </w:pPr>
            <w:r>
              <w:rPr>
                <w:rFonts w:hint="eastAsia" w:ascii="仿宋" w:eastAsia="仿宋"/>
                <w:kern w:val="0"/>
                <w:sz w:val="24"/>
                <w:szCs w:val="24"/>
              </w:rPr>
              <w:t>未按规定进行围堰及基坑施工、起重吊装施工和爆破施工安全风险评估</w:t>
            </w:r>
          </w:p>
        </w:tc>
        <w:tc>
          <w:tcPr>
            <w:tcW w:w="2551" w:type="dxa"/>
            <w:vAlign w:val="center"/>
          </w:tcPr>
          <w:p>
            <w:pPr>
              <w:widowControl/>
              <w:overflowPunct w:val="0"/>
              <w:jc w:val="center"/>
              <w:rPr>
                <w:rFonts w:ascii="仿宋" w:eastAsia="仿宋"/>
                <w:kern w:val="0"/>
                <w:sz w:val="24"/>
                <w:szCs w:val="24"/>
              </w:rPr>
            </w:pPr>
            <w:r>
              <w:rPr>
                <w:rFonts w:hint="eastAsia" w:ascii="仿宋" w:eastAsia="仿宋"/>
                <w:kern w:val="0"/>
                <w:sz w:val="24"/>
                <w:szCs w:val="24"/>
              </w:rPr>
              <w:t>2分/项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SYSG2-4-40</w:t>
            </w:r>
          </w:p>
        </w:tc>
        <w:tc>
          <w:tcPr>
            <w:tcW w:w="7586" w:type="dxa"/>
            <w:vAlign w:val="center"/>
          </w:tcPr>
          <w:p>
            <w:pPr>
              <w:widowControl/>
              <w:overflowPunct w:val="0"/>
              <w:rPr>
                <w:rFonts w:ascii="仿宋" w:eastAsia="仿宋"/>
                <w:kern w:val="0"/>
                <w:sz w:val="24"/>
                <w:szCs w:val="24"/>
              </w:rPr>
            </w:pPr>
            <w:r>
              <w:rPr>
                <w:rFonts w:hint="eastAsia" w:ascii="仿宋" w:eastAsia="仿宋"/>
                <w:kern w:val="0"/>
                <w:sz w:val="24"/>
                <w:szCs w:val="24"/>
              </w:rPr>
              <w:t>被安全生产挂牌督办</w:t>
            </w:r>
          </w:p>
        </w:tc>
        <w:tc>
          <w:tcPr>
            <w:tcW w:w="2551" w:type="dxa"/>
            <w:vAlign w:val="center"/>
          </w:tcPr>
          <w:p>
            <w:pPr>
              <w:widowControl/>
              <w:overflowPunct w:val="0"/>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SYSG2-4-41</w:t>
            </w:r>
          </w:p>
        </w:tc>
        <w:tc>
          <w:tcPr>
            <w:tcW w:w="7586" w:type="dxa"/>
            <w:vAlign w:val="center"/>
          </w:tcPr>
          <w:p>
            <w:pPr>
              <w:widowControl/>
              <w:overflowPunct w:val="0"/>
              <w:rPr>
                <w:rFonts w:ascii="仿宋" w:eastAsia="仿宋"/>
                <w:kern w:val="0"/>
                <w:sz w:val="24"/>
                <w:szCs w:val="24"/>
              </w:rPr>
            </w:pPr>
            <w:r>
              <w:rPr>
                <w:rFonts w:hint="eastAsia" w:ascii="仿宋" w:eastAsia="仿宋"/>
                <w:kern w:val="0"/>
                <w:sz w:val="24"/>
                <w:szCs w:val="24"/>
              </w:rPr>
              <w:t>未按规定报送安全生产相关信息数据及材料</w:t>
            </w:r>
          </w:p>
        </w:tc>
        <w:tc>
          <w:tcPr>
            <w:tcW w:w="2551" w:type="dxa"/>
            <w:vAlign w:val="center"/>
          </w:tcPr>
          <w:p>
            <w:pPr>
              <w:widowControl/>
              <w:overflowPunct w:val="0"/>
              <w:jc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社会责任</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(满分5分,扣完为止)</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SYSG2-5-1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恶意拖欠工程款、农民工工资、材料款，造成不良影响</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spacing w:val="-20"/>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SYSG2-5-2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施工产生的废渣随意丢弃，废水随意排放，造成环境污染事故</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shd w:val="clear" w:color="auto" w:fill="FFFFFF"/>
              </w:rPr>
              <w:t>1-3</w:t>
            </w:r>
            <w:r>
              <w:rPr>
                <w:rFonts w:hint="eastAsia" w:ascii="仿宋" w:eastAsia="仿宋"/>
                <w:kern w:val="0"/>
                <w:sz w:val="24"/>
                <w:szCs w:val="24"/>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Align w:val="center"/>
          </w:tcPr>
          <w:p>
            <w:pPr>
              <w:widowControl/>
              <w:snapToGrid w:val="0"/>
              <w:spacing w:line="0" w:lineRule="atLeast"/>
              <w:jc w:val="center"/>
              <w:rPr>
                <w:rFonts w:ascii="仿宋" w:eastAsia="仿宋"/>
                <w:spacing w:val="-20"/>
                <w:kern w:val="0"/>
                <w:sz w:val="24"/>
                <w:szCs w:val="24"/>
              </w:rPr>
            </w:pPr>
            <w:r>
              <w:rPr>
                <w:rFonts w:hint="eastAsia" w:ascii="仿宋" w:eastAsia="仿宋"/>
                <w:spacing w:val="-20"/>
                <w:kern w:val="0"/>
                <w:sz w:val="24"/>
                <w:szCs w:val="24"/>
              </w:rPr>
              <w:t>其他</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SYSG2-6</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其他被认定的失信行为</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restart"/>
            <w:vAlign w:val="center"/>
          </w:tcPr>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其它信用</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行为</w:t>
            </w:r>
          </w:p>
          <w:p>
            <w:pPr>
              <w:widowControl/>
              <w:snapToGrid w:val="0"/>
              <w:spacing w:line="0" w:lineRule="atLeast"/>
              <w:ind w:left="145" w:right="-107" w:hanging="145"/>
              <w:jc w:val="center"/>
              <w:rPr>
                <w:rFonts w:ascii="仿宋" w:eastAsia="仿宋"/>
                <w:kern w:val="0"/>
                <w:sz w:val="24"/>
                <w:szCs w:val="24"/>
              </w:rPr>
            </w:pPr>
            <w:r>
              <w:rPr>
                <w:rFonts w:hint="eastAsia" w:ascii="仿宋" w:eastAsia="仿宋"/>
                <w:kern w:val="0"/>
                <w:sz w:val="24"/>
                <w:szCs w:val="24"/>
              </w:rPr>
              <w:t>（满分15分，在总分中扣除，扣完为止）</w:t>
            </w:r>
          </w:p>
        </w:tc>
        <w:tc>
          <w:tcPr>
            <w:tcW w:w="1823"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严重失信行为</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SYSG3-1-1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被司法机关认定有行贿、受贿行为，并构成犯罪</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SYSG3-1-2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企业在资质申请、延续、变更中存在造假行为</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SYSG3-1-3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与招标人串通投标的，包括但不限于：</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——招标人在开标前开启投标文件并将有关信息泄露给其他投标人；</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——招标人直接或者间接向投标人泄露标底、评标委员会成员等信息；</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——招标人明示或者暗示投标人压低或者抬高投标报价；</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——招标人授意投标人撤换、修改投标文件；</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——招标人明示或者暗示投标人为特定投标人中标提供方便；</w:t>
            </w:r>
          </w:p>
          <w:p>
            <w:pPr>
              <w:widowControl/>
              <w:snapToGrid w:val="0"/>
              <w:spacing w:line="0" w:lineRule="atLeast"/>
              <w:rPr>
                <w:rFonts w:ascii="仿宋" w:eastAsia="仿宋"/>
                <w:kern w:val="0"/>
                <w:sz w:val="24"/>
                <w:szCs w:val="24"/>
              </w:rPr>
            </w:pPr>
            <w:r>
              <w:rPr>
                <w:rFonts w:hint="eastAsia" w:ascii="仿宋" w:eastAsia="仿宋"/>
                <w:kern w:val="0"/>
                <w:sz w:val="24"/>
                <w:szCs w:val="24"/>
              </w:rPr>
              <w:t>——招标人与投标人为谋求特定投标人中标而采取的其他串通行为。</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SYSG3-1-4</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与招标人订立背离合同实质性内容的其他协议</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SYSG3-1-5</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企业拒绝参加评价的</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restart"/>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一般失信行为</w:t>
            </w: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SYSG3-2-1</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未按规定填报或变更信用信息</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SYSG3-2-2</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填报或变更信用信息存在造假行为</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SYSG3-2-3</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弄虚作假或以不正当手段骗取较高信用等级</w:t>
            </w:r>
          </w:p>
        </w:tc>
        <w:tc>
          <w:tcPr>
            <w:tcW w:w="2551" w:type="dxa"/>
            <w:vAlign w:val="center"/>
          </w:tcPr>
          <w:p>
            <w:pPr>
              <w:widowControl/>
              <w:snapToGrid w:val="0"/>
              <w:spacing w:line="0" w:lineRule="atLeast"/>
              <w:ind w:right="-84"/>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SYSG3-2-4</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被自治区级以上交通运输主管部门或部属单位通报批评</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SYSG3-2-5</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被市级交通运输主管部门通报批评</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SYSG3-2-6</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拒绝参与政府部门组织的应急抢险任务</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49" w:type="dxa"/>
            <w:vMerge w:val="continue"/>
            <w:vAlign w:val="center"/>
          </w:tcPr>
          <w:p>
            <w:pPr>
              <w:widowControl/>
              <w:snapToGrid w:val="0"/>
              <w:spacing w:line="0" w:lineRule="atLeast"/>
              <w:jc w:val="left"/>
              <w:rPr>
                <w:rFonts w:ascii="仿宋" w:eastAsia="仿宋"/>
                <w:kern w:val="0"/>
                <w:sz w:val="24"/>
                <w:szCs w:val="24"/>
              </w:rPr>
            </w:pPr>
          </w:p>
        </w:tc>
        <w:tc>
          <w:tcPr>
            <w:tcW w:w="1823" w:type="dxa"/>
            <w:vMerge w:val="continue"/>
            <w:vAlign w:val="center"/>
          </w:tcPr>
          <w:p>
            <w:pPr>
              <w:widowControl/>
              <w:snapToGrid w:val="0"/>
              <w:spacing w:line="0" w:lineRule="atLeast"/>
              <w:jc w:val="left"/>
              <w:rPr>
                <w:rFonts w:ascii="仿宋" w:eastAsia="仿宋"/>
                <w:kern w:val="0"/>
                <w:sz w:val="24"/>
                <w:szCs w:val="24"/>
              </w:rPr>
            </w:pPr>
          </w:p>
        </w:tc>
        <w:tc>
          <w:tcPr>
            <w:tcW w:w="1708"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SYSG3-2-7</w:t>
            </w:r>
          </w:p>
        </w:tc>
        <w:tc>
          <w:tcPr>
            <w:tcW w:w="7586" w:type="dxa"/>
            <w:vAlign w:val="center"/>
          </w:tcPr>
          <w:p>
            <w:pPr>
              <w:widowControl/>
              <w:snapToGrid w:val="0"/>
              <w:spacing w:line="0" w:lineRule="atLeast"/>
              <w:rPr>
                <w:rFonts w:ascii="仿宋" w:eastAsia="仿宋"/>
                <w:kern w:val="0"/>
                <w:sz w:val="24"/>
                <w:szCs w:val="24"/>
              </w:rPr>
            </w:pPr>
            <w:r>
              <w:rPr>
                <w:rFonts w:hint="eastAsia" w:ascii="仿宋" w:eastAsia="仿宋"/>
                <w:kern w:val="0"/>
                <w:sz w:val="24"/>
                <w:szCs w:val="24"/>
              </w:rPr>
              <w:t>其他被认定的失信行为</w:t>
            </w:r>
          </w:p>
        </w:tc>
        <w:tc>
          <w:tcPr>
            <w:tcW w:w="2551" w:type="dxa"/>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1-4分</w:t>
            </w:r>
          </w:p>
        </w:tc>
      </w:tr>
    </w:tbl>
    <w:p>
      <w:pPr>
        <w:widowControl/>
        <w:snapToGrid w:val="0"/>
        <w:spacing w:line="380" w:lineRule="exact"/>
        <w:ind w:firstLine="386"/>
        <w:jc w:val="left"/>
        <w:rPr>
          <w:rFonts w:hint="eastAsia"/>
          <w:kern w:val="0"/>
          <w:sz w:val="28"/>
          <w:szCs w:val="28"/>
        </w:rPr>
      </w:pPr>
      <w:r>
        <w:rPr>
          <w:rFonts w:hint="eastAsia"/>
          <w:kern w:val="0"/>
          <w:sz w:val="28"/>
          <w:szCs w:val="28"/>
        </w:rPr>
        <w:t>注：1.“其他被认定的失信行为”是指由自治区级以上交通运输主管部门依据法律法规认定的企业其他失信行为。</w:t>
      </w:r>
    </w:p>
    <w:p>
      <w:pPr>
        <w:widowControl/>
        <w:tabs>
          <w:tab w:val="left" w:pos="1134"/>
        </w:tabs>
        <w:snapToGrid w:val="0"/>
        <w:spacing w:line="380" w:lineRule="exact"/>
        <w:ind w:firstLine="652" w:firstLineChars="233"/>
        <w:jc w:val="left"/>
        <w:rPr>
          <w:rFonts w:hint="eastAsia"/>
          <w:kern w:val="0"/>
          <w:sz w:val="28"/>
          <w:szCs w:val="28"/>
        </w:rPr>
      </w:pPr>
      <w:r>
        <w:rPr>
          <w:rFonts w:hint="eastAsia"/>
          <w:kern w:val="0"/>
          <w:sz w:val="28"/>
          <w:szCs w:val="28"/>
        </w:rPr>
        <w:t xml:space="preserve">   2.SYSG2-1-2 、SYSG2-1-3 、SYSG2-3-7、SYSG2-4-1、SYSG2-4-2应依据有关部门的事故调查处理结果认定。质量事故、安全事故的等级划分标准执行《生产安全事故报告和调查处理条例》（国务院第493号令）、《水运工程质量事故等级划分及事故报告》（水运质监字〔1999〕404号）等。</w:t>
      </w:r>
    </w:p>
    <w:p>
      <w:pPr>
        <w:widowControl/>
        <w:snapToGrid w:val="0"/>
        <w:spacing w:line="380" w:lineRule="exact"/>
        <w:ind w:firstLine="386"/>
        <w:jc w:val="left"/>
        <w:rPr>
          <w:rFonts w:hint="eastAsia"/>
          <w:kern w:val="0"/>
          <w:sz w:val="28"/>
          <w:szCs w:val="28"/>
        </w:rPr>
      </w:pPr>
      <w:r>
        <w:rPr>
          <w:rFonts w:hint="eastAsia"/>
          <w:kern w:val="0"/>
          <w:sz w:val="28"/>
          <w:szCs w:val="28"/>
        </w:rPr>
        <w:t xml:space="preserve">     3.SYSG2-2-1主要包括以下情形：</w:t>
      </w:r>
    </w:p>
    <w:p>
      <w:pPr>
        <w:widowControl/>
        <w:snapToGrid w:val="0"/>
        <w:spacing w:line="380" w:lineRule="exact"/>
        <w:ind w:firstLine="386"/>
        <w:jc w:val="left"/>
        <w:rPr>
          <w:rFonts w:hint="eastAsia"/>
          <w:kern w:val="0"/>
          <w:sz w:val="28"/>
          <w:szCs w:val="28"/>
        </w:rPr>
      </w:pPr>
      <w:r>
        <w:rPr>
          <w:rFonts w:hint="eastAsia"/>
          <w:kern w:val="0"/>
          <w:sz w:val="28"/>
          <w:szCs w:val="28"/>
        </w:rPr>
        <w:t xml:space="preserve">     （1）配备的项目经理、技术负责人、试验室授权负责人低于投标承诺的条件（包括职称、业绩、资历等）；</w:t>
      </w:r>
    </w:p>
    <w:p>
      <w:pPr>
        <w:widowControl/>
        <w:snapToGrid w:val="0"/>
        <w:spacing w:line="380" w:lineRule="exact"/>
        <w:ind w:firstLine="386"/>
        <w:jc w:val="left"/>
        <w:rPr>
          <w:rFonts w:hint="eastAsia"/>
          <w:kern w:val="0"/>
          <w:sz w:val="28"/>
          <w:szCs w:val="28"/>
        </w:rPr>
      </w:pPr>
      <w:r>
        <w:rPr>
          <w:rFonts w:hint="eastAsia"/>
          <w:kern w:val="0"/>
          <w:sz w:val="28"/>
          <w:szCs w:val="28"/>
        </w:rPr>
        <w:t xml:space="preserve">     （2）配备的项目经理、技术负责人、试验室授权负责人不低于投标承诺的条件，但未经项目法人同意进行更换；</w:t>
      </w:r>
    </w:p>
    <w:p>
      <w:pPr>
        <w:widowControl/>
        <w:snapToGrid w:val="0"/>
        <w:spacing w:line="380" w:lineRule="exact"/>
        <w:ind w:firstLine="386"/>
        <w:jc w:val="left"/>
        <w:rPr>
          <w:rFonts w:hint="eastAsia"/>
          <w:kern w:val="0"/>
          <w:sz w:val="28"/>
          <w:szCs w:val="28"/>
        </w:rPr>
      </w:pPr>
      <w:r>
        <w:rPr>
          <w:rFonts w:hint="eastAsia"/>
          <w:kern w:val="0"/>
          <w:sz w:val="28"/>
          <w:szCs w:val="28"/>
        </w:rPr>
        <w:t xml:space="preserve">     （3）配备的项目经理、技术负责人、试验室授权负责人不低于投标承诺的条件，虽经过项目法人同意进行更换，但同一岗位更换人次数达到两次以上，从第二次变更开始扣分。</w:t>
      </w:r>
    </w:p>
    <w:p>
      <w:pPr>
        <w:widowControl/>
        <w:snapToGrid w:val="0"/>
        <w:spacing w:line="380" w:lineRule="exact"/>
        <w:ind w:firstLine="386"/>
        <w:jc w:val="left"/>
        <w:rPr>
          <w:rFonts w:hint="eastAsia"/>
          <w:kern w:val="0"/>
          <w:sz w:val="28"/>
          <w:szCs w:val="28"/>
        </w:rPr>
      </w:pPr>
      <w:r>
        <w:rPr>
          <w:rFonts w:hint="eastAsia"/>
          <w:kern w:val="0"/>
          <w:sz w:val="28"/>
          <w:szCs w:val="28"/>
        </w:rPr>
        <w:t xml:space="preserve">     4.SYSG2-2-2中的工程需要的关键施工机械、设备是指外部条件未发生重大变化，为满足合理施工需要应配备的关键施工机械、设备。</w:t>
      </w:r>
    </w:p>
    <w:p>
      <w:pPr>
        <w:widowControl/>
        <w:snapToGrid w:val="0"/>
        <w:spacing w:line="380" w:lineRule="exact"/>
        <w:ind w:firstLine="386"/>
        <w:jc w:val="left"/>
        <w:rPr>
          <w:rFonts w:hint="eastAsia"/>
          <w:kern w:val="0"/>
          <w:sz w:val="28"/>
          <w:szCs w:val="28"/>
        </w:rPr>
      </w:pPr>
      <w:r>
        <w:rPr>
          <w:rFonts w:hint="eastAsia"/>
          <w:kern w:val="0"/>
          <w:sz w:val="28"/>
          <w:szCs w:val="28"/>
        </w:rPr>
        <w:t xml:space="preserve">     5.SYSG2-3-21中的“工程款”包括“安全生产管理费”等经过审批和认定的各专项费用。</w:t>
      </w:r>
    </w:p>
    <w:p>
      <w:pPr>
        <w:widowControl/>
        <w:snapToGrid w:val="0"/>
        <w:spacing w:line="380" w:lineRule="exact"/>
        <w:ind w:firstLine="386"/>
        <w:jc w:val="left"/>
        <w:rPr>
          <w:rFonts w:hint="eastAsia"/>
          <w:kern w:val="0"/>
          <w:sz w:val="28"/>
          <w:szCs w:val="28"/>
        </w:rPr>
      </w:pPr>
      <w:r>
        <w:rPr>
          <w:rFonts w:hint="eastAsia"/>
          <w:kern w:val="0"/>
          <w:sz w:val="28"/>
          <w:szCs w:val="28"/>
        </w:rPr>
        <w:t xml:space="preserve">     6.SYSG2-3-27中的“2分/30历天”不满30历天按30历天计。</w:t>
      </w:r>
    </w:p>
    <w:p>
      <w:pPr>
        <w:widowControl/>
        <w:snapToGrid w:val="0"/>
        <w:spacing w:line="380" w:lineRule="exact"/>
        <w:ind w:firstLine="386"/>
        <w:jc w:val="left"/>
        <w:rPr>
          <w:rFonts w:hint="eastAsia"/>
          <w:kern w:val="0"/>
          <w:sz w:val="28"/>
          <w:szCs w:val="28"/>
        </w:rPr>
      </w:pPr>
      <w:r>
        <w:rPr>
          <w:rFonts w:hint="eastAsia"/>
          <w:kern w:val="0"/>
          <w:sz w:val="28"/>
          <w:szCs w:val="28"/>
        </w:rPr>
        <w:t xml:space="preserve">     7.SYSG2-5-2应依据有关部门的事故调查处理结果认定。环境污染事故的等级划分标准执行《突发环境事件信息报告办法》（环境保护部2011年第17号令）。</w:t>
      </w:r>
    </w:p>
    <w:p>
      <w:pPr>
        <w:widowControl/>
        <w:snapToGrid w:val="0"/>
        <w:spacing w:line="380" w:lineRule="exact"/>
        <w:ind w:firstLine="386"/>
        <w:jc w:val="left"/>
        <w:rPr>
          <w:rFonts w:hint="eastAsia"/>
          <w:kern w:val="0"/>
          <w:sz w:val="28"/>
          <w:szCs w:val="28"/>
        </w:rPr>
      </w:pPr>
      <w:r>
        <w:rPr>
          <w:rFonts w:hint="eastAsia"/>
          <w:kern w:val="0"/>
          <w:sz w:val="30"/>
          <w:szCs w:val="30"/>
        </w:rPr>
        <w:t xml:space="preserve">    </w:t>
      </w:r>
      <w:r>
        <w:rPr>
          <w:rFonts w:hint="eastAsia"/>
          <w:kern w:val="0"/>
          <w:sz w:val="28"/>
          <w:szCs w:val="28"/>
        </w:rPr>
        <w:t xml:space="preserve"> 8.SYSG3-1-1是指在项目在广西从事水运工程施工活动中发生的单位行贿、受贿行为。</w:t>
      </w:r>
    </w:p>
    <w:p>
      <w:pPr>
        <w:widowControl/>
        <w:snapToGrid w:val="0"/>
        <w:spacing w:line="380" w:lineRule="exact"/>
        <w:ind w:firstLine="386"/>
        <w:jc w:val="left"/>
        <w:rPr>
          <w:rFonts w:hint="eastAsia"/>
          <w:kern w:val="0"/>
          <w:sz w:val="28"/>
          <w:szCs w:val="28"/>
        </w:rPr>
      </w:pPr>
      <w:r>
        <w:rPr>
          <w:rFonts w:hint="eastAsia"/>
          <w:kern w:val="0"/>
          <w:sz w:val="28"/>
          <w:szCs w:val="28"/>
        </w:rPr>
        <w:t xml:space="preserve">     9.SYSG3-1-15企业应在项目接到监督通知书或信用评价通知书后，一个月内将有关信息</w:t>
      </w:r>
      <w:r>
        <w:rPr>
          <w:rFonts w:hint="eastAsia"/>
          <w:sz w:val="28"/>
          <w:szCs w:val="28"/>
        </w:rPr>
        <w:t>录入广西壮族自治区水运工程建设市场信用信息管理系统，逾期不录入和更新企业信息视为拒绝参加评价。</w:t>
      </w:r>
    </w:p>
    <w:p>
      <w:pPr>
        <w:widowControl/>
        <w:snapToGrid w:val="0"/>
        <w:spacing w:line="380" w:lineRule="exact"/>
        <w:ind w:firstLine="386"/>
        <w:jc w:val="left"/>
        <w:rPr>
          <w:rFonts w:hint="eastAsia"/>
          <w:kern w:val="0"/>
          <w:sz w:val="28"/>
          <w:szCs w:val="28"/>
        </w:rPr>
      </w:pPr>
      <w:r>
        <w:rPr>
          <w:rFonts w:hint="eastAsia"/>
          <w:kern w:val="0"/>
          <w:sz w:val="28"/>
          <w:szCs w:val="28"/>
        </w:rPr>
        <w:t>SYSG3-2-4、SYSG3-2-5当被自治区级（市级）以上交通运输主管部门或港航部门通报批评，涉及到标准中的具体失信行为时，不重复扣分，按“就高不就低”原则执行。</w:t>
      </w:r>
    </w:p>
    <w:p>
      <w:pPr>
        <w:widowControl/>
        <w:shd w:val="clear" w:color="auto" w:fill="FFFFFF"/>
        <w:snapToGrid w:val="0"/>
        <w:spacing w:line="380" w:lineRule="exact"/>
        <w:ind w:firstLine="386"/>
        <w:jc w:val="left"/>
        <w:rPr>
          <w:rFonts w:hint="eastAsia"/>
          <w:sz w:val="28"/>
          <w:szCs w:val="28"/>
        </w:rPr>
      </w:pPr>
      <w:r>
        <w:rPr>
          <w:rFonts w:hint="eastAsia"/>
          <w:kern w:val="0"/>
          <w:sz w:val="28"/>
          <w:szCs w:val="28"/>
        </w:rPr>
        <w:t xml:space="preserve">     10.扣分 “次”是指在评价期内发现的企业失信行为次数。企业失信行为能够整改的，整改期内不重复扣分，整改期满后，未整改或再次发生同一失信行为，可再次扣分；无法整改的，同一事件不重复扣分。</w:t>
      </w:r>
    </w:p>
    <w:p>
      <w:pPr>
        <w:snapToGrid w:val="0"/>
        <w:spacing w:line="360" w:lineRule="auto"/>
        <w:rPr>
          <w:rFonts w:ascii="仿宋" w:eastAsia="仿宋"/>
          <w:szCs w:val="21"/>
        </w:rPr>
        <w:sectPr>
          <w:footerReference r:id="rId4" w:type="default"/>
          <w:footerReference r:id="rId5" w:type="even"/>
          <w:pgSz w:w="16838" w:h="11906" w:orient="landscape"/>
          <w:pgMar w:top="1418" w:right="1134" w:bottom="1134" w:left="1134" w:header="851" w:footer="567" w:gutter="0"/>
          <w:pgNumType w:fmt="decimal"/>
          <w:cols w:space="720" w:num="1"/>
          <w:docGrid w:type="lines" w:linePitch="435" w:charSpace="-3426"/>
        </w:sectPr>
      </w:pPr>
      <w:r>
        <w:rPr>
          <w:rFonts w:hint="eastAsia" w:ascii="仿宋" w:eastAsia="仿宋"/>
          <w:kern w:val="0"/>
          <w:sz w:val="28"/>
          <w:szCs w:val="28"/>
        </w:rPr>
        <w:t xml:space="preserve">  </w:t>
      </w:r>
    </w:p>
    <w:p>
      <w:pPr>
        <w:pStyle w:val="11"/>
        <w:snapToGrid w:val="0"/>
        <w:ind w:firstLine="0"/>
        <w:rPr>
          <w:rFonts w:ascii="黑体" w:hAnsi="黑体" w:eastAsia="黑体"/>
          <w:sz w:val="32"/>
          <w:szCs w:val="32"/>
        </w:rPr>
      </w:pPr>
      <w:r>
        <w:rPr>
          <w:rFonts w:hint="eastAsia" w:ascii="黑体" w:hAnsi="黑体" w:eastAsia="黑体"/>
          <w:sz w:val="32"/>
          <w:szCs w:val="32"/>
        </w:rPr>
        <w:t>附件3</w:t>
      </w:r>
    </w:p>
    <w:p>
      <w:pPr>
        <w:pStyle w:val="11"/>
        <w:snapToGrid w:val="0"/>
        <w:spacing w:line="0" w:lineRule="atLeast"/>
        <w:ind w:firstLine="0"/>
        <w:jc w:val="center"/>
        <w:rPr>
          <w:rFonts w:hint="eastAsia" w:ascii="创艺简标宋" w:hAnsi="仿宋" w:eastAsia="创艺简标宋"/>
          <w:sz w:val="44"/>
          <w:szCs w:val="44"/>
        </w:rPr>
      </w:pPr>
      <w:r>
        <w:rPr>
          <w:rFonts w:hint="eastAsia" w:ascii="创艺简标宋" w:hAnsi="仿宋" w:eastAsia="创艺简标宋"/>
          <w:sz w:val="44"/>
          <w:szCs w:val="44"/>
        </w:rPr>
        <w:t>水运工程设计和施工企业信用评价</w:t>
      </w:r>
    </w:p>
    <w:p>
      <w:pPr>
        <w:pStyle w:val="11"/>
        <w:snapToGrid w:val="0"/>
        <w:spacing w:line="0" w:lineRule="atLeast"/>
        <w:ind w:firstLine="0"/>
        <w:jc w:val="center"/>
        <w:rPr>
          <w:rFonts w:hint="eastAsia" w:ascii="创艺简标宋" w:hAnsi="仿宋" w:eastAsia="创艺简标宋"/>
          <w:sz w:val="44"/>
          <w:szCs w:val="44"/>
        </w:rPr>
      </w:pPr>
      <w:r>
        <w:rPr>
          <w:rFonts w:hint="eastAsia" w:ascii="创艺简标宋" w:hAnsi="仿宋" w:eastAsia="创艺简标宋"/>
          <w:sz w:val="44"/>
          <w:szCs w:val="44"/>
        </w:rPr>
        <w:t>评分计算方法</w:t>
      </w:r>
    </w:p>
    <w:p>
      <w:pPr>
        <w:spacing w:line="560" w:lineRule="exact"/>
        <w:ind w:firstLine="412" w:firstLineChars="200"/>
        <w:rPr>
          <w:rFonts w:hint="eastAsia"/>
        </w:rPr>
      </w:pPr>
    </w:p>
    <w:p>
      <w:pPr>
        <w:spacing w:line="560" w:lineRule="exact"/>
        <w:ind w:firstLine="412" w:firstLineChars="200"/>
        <w:rPr>
          <w:rFonts w:hint="eastAsia"/>
        </w:rPr>
      </w:pPr>
      <w:r>
        <w:rPr>
          <w:rFonts w:hint="eastAsia"/>
        </w:rPr>
        <w:t>一、单个标段评价</w:t>
      </w:r>
    </w:p>
    <w:p>
      <w:pPr>
        <w:spacing w:line="560" w:lineRule="exact"/>
        <w:ind w:firstLine="412" w:firstLineChars="200"/>
        <w:rPr>
          <w:rFonts w:hint="eastAsia"/>
        </w:rPr>
      </w:pPr>
      <w:r>
        <w:rPr>
          <w:rFonts w:hint="eastAsia"/>
        </w:rPr>
        <w:t xml:space="preserve">1.企业投标行为信用评价得分: </w:t>
      </w:r>
      <w:r>
        <w:rPr>
          <w:rFonts w:hint="eastAsia"/>
        </w:rPr>
        <w:drawing>
          <wp:inline distT="0" distB="0" distL="114300" distR="114300">
            <wp:extent cx="1714500" cy="365760"/>
            <wp:effectExtent l="0" t="0" r="0" b="15875"/>
            <wp:docPr id="4" name="图片 1" descr="wps_clip_image-140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descr="wps_clip_image-14053"/>
                    <pic:cNvPicPr>
                      <a:picLocks noChangeAspect="true"/>
                    </pic:cNvPicPr>
                  </pic:nvPicPr>
                  <pic:blipFill>
                    <a:blip r:embed="rId13"/>
                    <a:stretch>
                      <a:fillRect/>
                    </a:stretch>
                  </pic:blipFill>
                  <pic:spPr>
                    <a:xfrm>
                      <a:off x="0" y="0"/>
                      <a:ext cx="1714500" cy="365760"/>
                    </a:xfrm>
                    <a:prstGeom prst="rect">
                      <a:avLst/>
                    </a:prstGeom>
                    <a:noFill/>
                    <a:ln>
                      <a:noFill/>
                    </a:ln>
                  </pic:spPr>
                </pic:pic>
              </a:graphicData>
            </a:graphic>
          </wp:inline>
        </w:drawing>
      </w:r>
    </w:p>
    <w:p>
      <w:pPr>
        <w:spacing w:line="560" w:lineRule="exact"/>
        <w:ind w:firstLine="412" w:firstLineChars="200"/>
        <w:rPr>
          <w:rFonts w:hint="eastAsia"/>
        </w:rPr>
      </w:pPr>
      <w:r>
        <w:rPr>
          <w:rFonts w:hint="eastAsia"/>
        </w:rPr>
        <w:t>其中：Ti为企业在某标段投标行为信用评价得分，Ti≥0；</w:t>
      </w:r>
    </w:p>
    <w:p>
      <w:pPr>
        <w:spacing w:line="560" w:lineRule="exact"/>
        <w:ind w:firstLine="412" w:firstLineChars="200"/>
        <w:rPr>
          <w:rFonts w:hint="eastAsia"/>
        </w:rPr>
      </w:pPr>
      <w:r>
        <w:rPr>
          <w:rFonts w:hint="eastAsia"/>
        </w:rPr>
        <w:t>i为该标段投标失信行为项次，Ai为投标失信行为对应的扣分。如果企业无失信行为，则不进行评价。</w:t>
      </w:r>
    </w:p>
    <w:p>
      <w:pPr>
        <w:spacing w:line="560" w:lineRule="exact"/>
        <w:ind w:firstLine="412" w:firstLineChars="200"/>
        <w:rPr>
          <w:rFonts w:hint="eastAsia"/>
        </w:rPr>
      </w:pPr>
      <w:r>
        <w:rPr>
          <w:rFonts w:hint="eastAsia"/>
        </w:rPr>
        <w:t xml:space="preserve">2.企业履约行为信用评价得分： </w:t>
      </w:r>
      <w:r>
        <w:rPr>
          <w:rFonts w:hint="eastAsia"/>
        </w:rPr>
        <w:drawing>
          <wp:inline distT="0" distB="0" distL="114300" distR="114300">
            <wp:extent cx="1508760" cy="289560"/>
            <wp:effectExtent l="0" t="0" r="0" b="15240"/>
            <wp:docPr id="1" name="图片 2" descr="wps_clip_image-66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wps_clip_image-6667"/>
                    <pic:cNvPicPr>
                      <a:picLocks noChangeAspect="true"/>
                    </pic:cNvPicPr>
                  </pic:nvPicPr>
                  <pic:blipFill>
                    <a:blip r:embed="rId14"/>
                    <a:stretch>
                      <a:fillRect/>
                    </a:stretch>
                  </pic:blipFill>
                  <pic:spPr>
                    <a:xfrm>
                      <a:off x="0" y="0"/>
                      <a:ext cx="1508760" cy="289560"/>
                    </a:xfrm>
                    <a:prstGeom prst="rect">
                      <a:avLst/>
                    </a:prstGeom>
                    <a:noFill/>
                    <a:ln>
                      <a:noFill/>
                    </a:ln>
                  </pic:spPr>
                </pic:pic>
              </a:graphicData>
            </a:graphic>
          </wp:inline>
        </w:drawing>
      </w:r>
    </w:p>
    <w:p>
      <w:pPr>
        <w:spacing w:line="560" w:lineRule="exact"/>
        <w:ind w:firstLine="412" w:firstLineChars="200"/>
        <w:rPr>
          <w:rFonts w:hint="eastAsia"/>
        </w:rPr>
      </w:pPr>
      <w:r>
        <w:rPr>
          <w:rFonts w:hint="eastAsia"/>
        </w:rPr>
        <w:t>其中：Li为企业在某标段履约行为信用评价得分，Li≥0；</w:t>
      </w:r>
    </w:p>
    <w:p>
      <w:pPr>
        <w:spacing w:line="560" w:lineRule="exact"/>
        <w:ind w:firstLine="412" w:firstLineChars="200"/>
        <w:rPr>
          <w:rFonts w:hint="eastAsia"/>
        </w:rPr>
      </w:pPr>
      <w:r>
        <w:rPr>
          <w:rFonts w:hint="eastAsia"/>
        </w:rPr>
        <w:t>i为该标段履约失信行为项次；Bi为履约失信行为对应的扣分。</w:t>
      </w:r>
    </w:p>
    <w:p>
      <w:pPr>
        <w:spacing w:line="560" w:lineRule="exact"/>
        <w:ind w:firstLine="412" w:firstLineChars="200"/>
        <w:rPr>
          <w:rFonts w:hint="eastAsia"/>
        </w:rPr>
      </w:pPr>
      <w:r>
        <w:rPr>
          <w:rFonts w:hint="eastAsia"/>
        </w:rPr>
        <w:t>二、自治区级综合评价</w:t>
      </w:r>
    </w:p>
    <w:p>
      <w:pPr>
        <w:spacing w:line="560" w:lineRule="exact"/>
        <w:ind w:firstLine="412" w:firstLineChars="200"/>
        <w:rPr>
          <w:rFonts w:hint="eastAsia"/>
        </w:rPr>
      </w:pPr>
      <w:r>
        <w:rPr>
          <w:rFonts w:hint="eastAsia"/>
        </w:rPr>
        <w:t>在评价期内，企业在广西投标行为评价得分和履约行为评价得分</w:t>
      </w:r>
    </w:p>
    <w:p>
      <w:pPr>
        <w:spacing w:line="560" w:lineRule="exact"/>
        <w:ind w:firstLine="412" w:firstLineChars="200"/>
        <w:rPr>
          <w:rFonts w:hint="eastAsia"/>
        </w:rPr>
      </w:pPr>
      <w:r>
        <w:rPr>
          <w:rFonts w:hint="eastAsia"/>
        </w:rPr>
        <w:t>1.企业投标行为评价得分：</w:t>
      </w:r>
      <w:r>
        <w:rPr>
          <w:rFonts w:hint="eastAsia"/>
        </w:rPr>
        <w:drawing>
          <wp:inline distT="0" distB="0" distL="114300" distR="114300">
            <wp:extent cx="1356360" cy="335280"/>
            <wp:effectExtent l="0" t="0" r="0" b="6985"/>
            <wp:docPr id="3" name="图片 3" descr="wps_clip_image-237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wps_clip_image-23787"/>
                    <pic:cNvPicPr>
                      <a:picLocks noChangeAspect="true"/>
                    </pic:cNvPicPr>
                  </pic:nvPicPr>
                  <pic:blipFill>
                    <a:blip r:embed="rId15"/>
                    <a:stretch>
                      <a:fillRect/>
                    </a:stretch>
                  </pic:blipFill>
                  <pic:spPr>
                    <a:xfrm>
                      <a:off x="0" y="0"/>
                      <a:ext cx="1356360" cy="335280"/>
                    </a:xfrm>
                    <a:prstGeom prst="rect">
                      <a:avLst/>
                    </a:prstGeom>
                    <a:noFill/>
                    <a:ln>
                      <a:noFill/>
                    </a:ln>
                  </pic:spPr>
                </pic:pic>
              </a:graphicData>
            </a:graphic>
          </wp:inline>
        </w:drawing>
      </w:r>
    </w:p>
    <w:p>
      <w:pPr>
        <w:spacing w:line="560" w:lineRule="exact"/>
        <w:ind w:firstLine="412" w:firstLineChars="200"/>
        <w:rPr>
          <w:rFonts w:hint="eastAsia"/>
        </w:rPr>
      </w:pPr>
      <w:r>
        <w:rPr>
          <w:rFonts w:hint="eastAsia"/>
        </w:rPr>
        <w:t>其中：n为投标存在失信行为的标段数，若n&gt;2,则T=0；若企业无失信行为，则T=15。</w:t>
      </w:r>
    </w:p>
    <w:p>
      <w:pPr>
        <w:spacing w:line="560" w:lineRule="exact"/>
        <w:ind w:firstLine="412" w:firstLineChars="200"/>
        <w:rPr>
          <w:rFonts w:hint="eastAsia"/>
        </w:rPr>
      </w:pPr>
      <w:r>
        <w:rPr>
          <w:rFonts w:hint="eastAsia"/>
        </w:rPr>
        <w:t>2.企业履约行为评价得分：</w:t>
      </w:r>
      <w:r>
        <w:rPr>
          <w:rFonts w:hint="eastAsia"/>
        </w:rPr>
        <w:drawing>
          <wp:inline distT="0" distB="0" distL="114300" distR="114300">
            <wp:extent cx="1516380" cy="350520"/>
            <wp:effectExtent l="0" t="0" r="0" b="12065"/>
            <wp:docPr id="2" name="图片 4" descr="wps_clip_image-227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4" descr="wps_clip_image-22719"/>
                    <pic:cNvPicPr>
                      <a:picLocks noChangeAspect="true"/>
                    </pic:cNvPicPr>
                  </pic:nvPicPr>
                  <pic:blipFill>
                    <a:blip r:embed="rId16"/>
                    <a:stretch>
                      <a:fillRect/>
                    </a:stretch>
                  </pic:blipFill>
                  <pic:spPr>
                    <a:xfrm>
                      <a:off x="0" y="0"/>
                      <a:ext cx="1516380" cy="350520"/>
                    </a:xfrm>
                    <a:prstGeom prst="rect">
                      <a:avLst/>
                    </a:prstGeom>
                    <a:noFill/>
                    <a:ln>
                      <a:noFill/>
                    </a:ln>
                  </pic:spPr>
                </pic:pic>
              </a:graphicData>
            </a:graphic>
          </wp:inline>
        </w:drawing>
      </w:r>
    </w:p>
    <w:p>
      <w:pPr>
        <w:spacing w:line="560" w:lineRule="exact"/>
        <w:ind w:firstLine="412" w:firstLineChars="200"/>
        <w:rPr>
          <w:rFonts w:hint="eastAsia"/>
        </w:rPr>
      </w:pPr>
      <w:r>
        <w:rPr>
          <w:rFonts w:hint="eastAsia"/>
        </w:rPr>
        <w:t>其中：m为履约标段数。</w:t>
      </w:r>
    </w:p>
    <w:p>
      <w:pPr>
        <w:spacing w:line="560" w:lineRule="exact"/>
        <w:ind w:firstLine="412" w:firstLineChars="200"/>
        <w:rPr>
          <w:rFonts w:hint="eastAsia"/>
        </w:rPr>
      </w:pPr>
      <w:r>
        <w:rPr>
          <w:rFonts w:hint="eastAsia"/>
        </w:rPr>
        <w:t>3.企业其他行为信用评价得分： Q = 15- Fk</w:t>
      </w:r>
    </w:p>
    <w:p>
      <w:pPr>
        <w:spacing w:line="560" w:lineRule="exact"/>
        <w:ind w:firstLine="412" w:firstLineChars="200"/>
        <w:rPr>
          <w:rFonts w:hint="eastAsia"/>
        </w:rPr>
      </w:pPr>
      <w:r>
        <w:rPr>
          <w:rFonts w:hint="eastAsia"/>
        </w:rPr>
        <w:t>其中：Q为其他信用行为得分；</w:t>
      </w:r>
    </w:p>
    <w:p>
      <w:pPr>
        <w:spacing w:line="560" w:lineRule="exact"/>
        <w:ind w:firstLine="412" w:firstLineChars="200"/>
        <w:rPr>
          <w:rFonts w:hint="eastAsia"/>
        </w:rPr>
      </w:pPr>
      <w:r>
        <w:rPr>
          <w:rFonts w:hint="eastAsia"/>
        </w:rPr>
        <w:t>Fk为其他信用失信行为的扣分值。</w:t>
      </w:r>
    </w:p>
    <w:p>
      <w:pPr>
        <w:spacing w:line="560" w:lineRule="exact"/>
        <w:ind w:firstLine="412" w:firstLineChars="200"/>
        <w:rPr>
          <w:rFonts w:hint="eastAsia"/>
        </w:rPr>
      </w:pPr>
      <w:r>
        <w:rPr>
          <w:rFonts w:hint="eastAsia"/>
        </w:rPr>
        <w:t>4.企业在广西信用行为综合评分：</w:t>
      </w:r>
    </w:p>
    <w:p>
      <w:pPr>
        <w:spacing w:line="560" w:lineRule="exact"/>
        <w:ind w:firstLine="412" w:firstLineChars="200"/>
        <w:rPr>
          <w:rFonts w:hint="eastAsia"/>
        </w:rPr>
      </w:pPr>
      <w:r>
        <w:rPr>
          <w:rFonts w:hint="eastAsia"/>
        </w:rPr>
        <w:t>Xs =（T + L + Q ）a+xb+yc+J</w:t>
      </w:r>
    </w:p>
    <w:p>
      <w:pPr>
        <w:spacing w:line="560" w:lineRule="exact"/>
        <w:ind w:firstLine="412" w:firstLineChars="200"/>
        <w:rPr>
          <w:rFonts w:hint="eastAsia"/>
        </w:rPr>
      </w:pPr>
      <w:r>
        <w:rPr>
          <w:rFonts w:hint="eastAsia"/>
        </w:rPr>
        <w:t>其中：Xs：从业企业在广西评价期内信用评价得分；</w:t>
      </w:r>
    </w:p>
    <w:p>
      <w:pPr>
        <w:spacing w:line="560" w:lineRule="exact"/>
        <w:ind w:firstLine="412" w:firstLineChars="200"/>
        <w:rPr>
          <w:rFonts w:hint="eastAsia"/>
        </w:rPr>
      </w:pPr>
      <w:r>
        <w:rPr>
          <w:rFonts w:hint="eastAsia"/>
        </w:rPr>
        <w:t>T：企业投标行为评价得分；</w:t>
      </w:r>
    </w:p>
    <w:p>
      <w:pPr>
        <w:spacing w:line="560" w:lineRule="exact"/>
        <w:ind w:firstLine="412" w:firstLineChars="200"/>
        <w:rPr>
          <w:rFonts w:hint="eastAsia"/>
        </w:rPr>
      </w:pPr>
      <w:r>
        <w:rPr>
          <w:rFonts w:hint="eastAsia"/>
        </w:rPr>
        <w:t>L：企业履约行为评价得分；</w:t>
      </w:r>
    </w:p>
    <w:p>
      <w:pPr>
        <w:spacing w:line="560" w:lineRule="exact"/>
        <w:ind w:firstLine="412" w:firstLineChars="200"/>
        <w:rPr>
          <w:rFonts w:hint="eastAsia"/>
        </w:rPr>
      </w:pPr>
      <w:r>
        <w:rPr>
          <w:rFonts w:hint="eastAsia"/>
        </w:rPr>
        <w:t>Q：其他信用行为评价得分；</w:t>
      </w:r>
    </w:p>
    <w:p>
      <w:pPr>
        <w:spacing w:line="560" w:lineRule="exact"/>
        <w:ind w:firstLine="412" w:firstLineChars="200"/>
        <w:rPr>
          <w:rFonts w:hint="eastAsia"/>
        </w:rPr>
      </w:pPr>
      <w:r>
        <w:rPr>
          <w:rFonts w:hint="eastAsia"/>
        </w:rPr>
        <w:t>a：当年权重系数，取值：70%；</w:t>
      </w:r>
    </w:p>
    <w:p>
      <w:pPr>
        <w:spacing w:line="560" w:lineRule="exact"/>
        <w:ind w:firstLine="412" w:firstLineChars="200"/>
        <w:rPr>
          <w:rFonts w:hint="eastAsia"/>
        </w:rPr>
      </w:pPr>
      <w:r>
        <w:rPr>
          <w:rFonts w:hint="eastAsia"/>
        </w:rPr>
        <w:t>x：前一年度信用得分。当前一年度信用评价等级直接定为D级的，信用得分按50分计；</w:t>
      </w:r>
    </w:p>
    <w:p>
      <w:pPr>
        <w:spacing w:line="560" w:lineRule="exact"/>
        <w:ind w:firstLine="412" w:firstLineChars="200"/>
        <w:rPr>
          <w:rFonts w:hint="eastAsia"/>
        </w:rPr>
      </w:pPr>
      <w:r>
        <w:rPr>
          <w:rFonts w:hint="eastAsia"/>
        </w:rPr>
        <w:t>b：前一年度信用分权重系数，取值：20%；</w:t>
      </w:r>
    </w:p>
    <w:p>
      <w:pPr>
        <w:spacing w:line="560" w:lineRule="exact"/>
        <w:ind w:firstLine="412" w:firstLineChars="200"/>
        <w:rPr>
          <w:rFonts w:hint="eastAsia"/>
        </w:rPr>
      </w:pPr>
      <w:r>
        <w:rPr>
          <w:rFonts w:hint="eastAsia"/>
        </w:rPr>
        <w:t>y：前两年度信用得分。当前两年度信用评价等级直接定为D级的，信用得分按50分计；</w:t>
      </w:r>
    </w:p>
    <w:p>
      <w:pPr>
        <w:spacing w:line="560" w:lineRule="exact"/>
        <w:ind w:firstLine="412" w:firstLineChars="200"/>
        <w:rPr>
          <w:rFonts w:hint="eastAsia"/>
        </w:rPr>
      </w:pPr>
      <w:r>
        <w:rPr>
          <w:rFonts w:hint="eastAsia"/>
        </w:rPr>
        <w:t>c：前两年度信用分权重系数，取值：10%。</w:t>
      </w:r>
    </w:p>
    <w:p>
      <w:pPr>
        <w:spacing w:line="560" w:lineRule="exact"/>
        <w:ind w:firstLine="412" w:firstLineChars="200"/>
        <w:rPr>
          <w:rFonts w:hint="eastAsia"/>
        </w:rPr>
      </w:pPr>
      <w:r>
        <w:rPr>
          <w:rFonts w:hint="eastAsia"/>
        </w:rPr>
        <w:t>J: 根据本办法第十一条规定给予的加分。</w:t>
      </w:r>
    </w:p>
    <w:p>
      <w:pPr>
        <w:spacing w:line="560" w:lineRule="exact"/>
        <w:ind w:firstLine="412" w:firstLineChars="200"/>
        <w:rPr>
          <w:rFonts w:hint="eastAsia"/>
        </w:rPr>
      </w:pPr>
      <w:r>
        <w:rPr>
          <w:rFonts w:hint="eastAsia"/>
        </w:rPr>
        <w:t>说明：</w:t>
      </w:r>
    </w:p>
    <w:p>
      <w:pPr>
        <w:spacing w:line="560" w:lineRule="exact"/>
        <w:ind w:firstLine="412" w:firstLineChars="200"/>
        <w:rPr>
          <w:rFonts w:hint="eastAsia"/>
        </w:rPr>
      </w:pPr>
      <w:r>
        <w:rPr>
          <w:rFonts w:hint="eastAsia"/>
        </w:rPr>
        <w:t>1.企业当年无履约行为、仅有投标行为但无失信行为的，不进行综合评价。</w:t>
      </w:r>
    </w:p>
    <w:p>
      <w:pPr>
        <w:spacing w:line="560" w:lineRule="exact"/>
        <w:ind w:firstLine="412" w:firstLineChars="200"/>
        <w:rPr>
          <w:rFonts w:hint="eastAsia"/>
          <w:highlight w:val="yellow"/>
        </w:rPr>
      </w:pPr>
      <w:r>
        <w:rPr>
          <w:rFonts w:hint="eastAsia"/>
        </w:rPr>
        <w:t>2.企业当年无履约行为、仅有投标行为且有失信行为的，进行综合评价，L按65分取值。</w:t>
      </w:r>
    </w:p>
    <w:p>
      <w:pPr>
        <w:spacing w:line="560" w:lineRule="exact"/>
        <w:ind w:firstLine="412" w:firstLineChars="200"/>
        <w:rPr>
          <w:rFonts w:hint="eastAsia"/>
        </w:rPr>
      </w:pPr>
      <w:r>
        <w:rPr>
          <w:rFonts w:hint="eastAsia"/>
        </w:rPr>
        <w:t>3.企业当年无投标行为但有履约行为的，T按15分取值。</w:t>
      </w:r>
    </w:p>
    <w:p>
      <w:pPr>
        <w:spacing w:line="560" w:lineRule="exact"/>
        <w:ind w:firstLine="412" w:firstLineChars="200"/>
        <w:rPr>
          <w:rFonts w:hint="eastAsia"/>
        </w:rPr>
      </w:pPr>
      <w:r>
        <w:rPr>
          <w:rFonts w:hint="eastAsia"/>
        </w:rPr>
        <w:t>4.企业第一年参加信用评价时，a=100%，第二年参加信用评价时，a=80%、b=20%。</w:t>
      </w:r>
    </w:p>
    <w:p>
      <w:pPr>
        <w:spacing w:line="560" w:lineRule="exact"/>
        <w:ind w:firstLine="412" w:firstLineChars="200"/>
        <w:rPr>
          <w:rFonts w:hint="eastAsia"/>
          <w:b/>
          <w:sz w:val="24"/>
          <w:szCs w:val="24"/>
        </w:rPr>
      </w:pPr>
      <w:r>
        <w:rPr>
          <w:rFonts w:hint="eastAsia"/>
        </w:rPr>
        <w:t>5.对在抢险救灾、应急保障、国防战备等任务中受到省部级以上行政机关表彰的企业，以及承担的水运工程建设项目获得国家科技进步奖（二等奖以上）、国家优质工程奖、詹天佑奖、鲁班奖的企业，在表彰或获奖年度的评价周期内，由工程所在地省份(广西)给予1分/次（项）的加分奖励，累计不超过3分，加分后信用评价总分不超过100分。</w:t>
      </w:r>
    </w:p>
    <w:p>
      <w:pPr>
        <w:pStyle w:val="11"/>
        <w:snapToGrid w:val="0"/>
        <w:spacing w:line="560" w:lineRule="exact"/>
        <w:ind w:firstLine="0"/>
        <w:rPr>
          <w:rFonts w:hint="eastAsia" w:ascii="仿宋_GB2312" w:hAnsi="仿宋" w:eastAsia="仿宋_GB2312"/>
          <w:b/>
          <w:sz w:val="24"/>
          <w:szCs w:val="24"/>
        </w:rPr>
      </w:pPr>
    </w:p>
    <w:p>
      <w:pPr>
        <w:pStyle w:val="11"/>
        <w:snapToGrid w:val="0"/>
        <w:spacing w:line="560" w:lineRule="exact"/>
        <w:ind w:firstLine="0"/>
        <w:rPr>
          <w:rFonts w:hint="eastAsia" w:ascii="仿宋_GB2312" w:hAnsi="仿宋" w:eastAsia="仿宋_GB2312"/>
          <w:b/>
          <w:sz w:val="24"/>
          <w:szCs w:val="24"/>
        </w:rPr>
      </w:pPr>
    </w:p>
    <w:p>
      <w:pPr>
        <w:widowControl/>
        <w:jc w:val="left"/>
        <w:rPr>
          <w:rFonts w:ascii="仿宋" w:eastAsia="仿宋"/>
          <w:kern w:val="0"/>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41" w:right="1531" w:bottom="2041" w:left="1531" w:header="1701" w:footer="992" w:gutter="0"/>
          <w:pgNumType w:fmt="decimal"/>
          <w:cols w:space="720" w:num="1"/>
          <w:titlePg/>
          <w:docGrid w:type="linesAndChars" w:linePitch="579" w:charSpace="-849"/>
        </w:sectPr>
      </w:pPr>
    </w:p>
    <w:tbl>
      <w:tblPr>
        <w:tblStyle w:val="6"/>
        <w:tblW w:w="13224" w:type="dxa"/>
        <w:jc w:val="center"/>
        <w:tblLayout w:type="fixed"/>
        <w:tblCellMar>
          <w:top w:w="0" w:type="dxa"/>
          <w:left w:w="108" w:type="dxa"/>
          <w:bottom w:w="0" w:type="dxa"/>
          <w:right w:w="108" w:type="dxa"/>
        </w:tblCellMar>
      </w:tblPr>
      <w:tblGrid>
        <w:gridCol w:w="690"/>
        <w:gridCol w:w="2220"/>
        <w:gridCol w:w="1230"/>
        <w:gridCol w:w="1290"/>
        <w:gridCol w:w="1470"/>
        <w:gridCol w:w="1140"/>
        <w:gridCol w:w="2955"/>
        <w:gridCol w:w="1305"/>
        <w:gridCol w:w="924"/>
      </w:tblGrid>
      <w:tr>
        <w:tblPrEx>
          <w:tblCellMar>
            <w:top w:w="0" w:type="dxa"/>
            <w:left w:w="108" w:type="dxa"/>
            <w:bottom w:w="0" w:type="dxa"/>
            <w:right w:w="108" w:type="dxa"/>
          </w:tblCellMar>
        </w:tblPrEx>
        <w:trPr>
          <w:trHeight w:val="360" w:hRule="atLeast"/>
          <w:jc w:val="center"/>
        </w:trPr>
        <w:tc>
          <w:tcPr>
            <w:tcW w:w="13224" w:type="dxa"/>
            <w:gridSpan w:val="9"/>
            <w:shd w:val="clear" w:color="auto" w:fill="auto"/>
            <w:tcMar>
              <w:top w:w="15" w:type="dxa"/>
              <w:bottom w:w="15" w:type="dxa"/>
            </w:tcMar>
            <w:vAlign w:val="center"/>
          </w:tcPr>
          <w:p>
            <w:pPr>
              <w:widowControl/>
              <w:spacing w:line="560" w:lineRule="exact"/>
              <w:jc w:val="left"/>
              <w:rPr>
                <w:rFonts w:hint="eastAsia" w:ascii="黑体" w:hAnsi="黑体" w:eastAsia="黑体" w:cs="仿宋"/>
                <w:szCs w:val="32"/>
              </w:rPr>
            </w:pPr>
            <w:r>
              <w:rPr>
                <w:rFonts w:hint="eastAsia" w:ascii="黑体" w:hAnsi="黑体" w:eastAsia="黑体" w:cs="仿宋"/>
                <w:sz w:val="32"/>
                <w:szCs w:val="32"/>
              </w:rPr>
              <w:t>附件4</w:t>
            </w:r>
          </w:p>
          <w:p>
            <w:pPr>
              <w:widowControl/>
              <w:spacing w:line="560" w:lineRule="exact"/>
              <w:jc w:val="center"/>
              <w:rPr>
                <w:rFonts w:hint="eastAsia" w:ascii="创艺简标宋" w:eastAsia="创艺简标宋" w:cs="宋体"/>
                <w:kern w:val="0"/>
                <w:sz w:val="44"/>
                <w:szCs w:val="44"/>
              </w:rPr>
            </w:pPr>
            <w:r>
              <w:rPr>
                <w:rFonts w:hint="eastAsia" w:ascii="方正小标宋简体" w:hAnsi="方正小标宋简体" w:eastAsia="方正小标宋简体" w:cs="方正小标宋简体"/>
                <w:sz w:val="44"/>
                <w:szCs w:val="44"/>
              </w:rPr>
              <w:t>水运工程设计</w:t>
            </w:r>
            <w:r>
              <w:rPr>
                <w:rFonts w:hint="eastAsia" w:ascii="方正小标宋简体" w:hAnsi="方正小标宋简体" w:eastAsia="方正小标宋简体" w:cs="方正小标宋简体"/>
                <w:kern w:val="0"/>
                <w:sz w:val="44"/>
                <w:szCs w:val="44"/>
              </w:rPr>
              <w:t>和施工企业信用评价不良行为告知单</w:t>
            </w:r>
          </w:p>
          <w:p>
            <w:pPr>
              <w:widowControl/>
              <w:spacing w:line="560" w:lineRule="exact"/>
              <w:jc w:val="center"/>
              <w:rPr>
                <w:rFonts w:hint="eastAsia" w:ascii="仿宋" w:eastAsia="仿宋"/>
                <w:kern w:val="0"/>
                <w:sz w:val="28"/>
                <w:szCs w:val="21"/>
              </w:rPr>
            </w:pPr>
          </w:p>
          <w:p>
            <w:pPr>
              <w:widowControl/>
              <w:spacing w:line="380" w:lineRule="exact"/>
              <w:ind w:firstLine="280"/>
              <w:jc w:val="left"/>
              <w:rPr>
                <w:rFonts w:hint="eastAsia" w:ascii="仿宋" w:eastAsia="仿宋"/>
                <w:kern w:val="0"/>
                <w:sz w:val="28"/>
                <w:szCs w:val="21"/>
              </w:rPr>
            </w:pPr>
            <w:r>
              <w:rPr>
                <w:rFonts w:hint="eastAsia" w:ascii="仿宋" w:eastAsia="仿宋"/>
                <w:kern w:val="0"/>
                <w:sz w:val="28"/>
                <w:szCs w:val="21"/>
              </w:rPr>
              <w:t xml:space="preserve">建设项目：                       设计、施工企业名称：                       </w:t>
            </w:r>
          </w:p>
          <w:p>
            <w:pPr>
              <w:widowControl/>
              <w:spacing w:line="380" w:lineRule="exact"/>
              <w:jc w:val="left"/>
              <w:rPr>
                <w:rFonts w:ascii="仿宋" w:eastAsia="仿宋"/>
                <w:kern w:val="0"/>
                <w:sz w:val="28"/>
                <w:szCs w:val="21"/>
              </w:rPr>
            </w:pPr>
            <w:r>
              <w:rPr>
                <w:rFonts w:hint="eastAsia" w:ascii="仿宋" w:eastAsia="仿宋"/>
                <w:kern w:val="0"/>
                <w:sz w:val="28"/>
                <w:szCs w:val="21"/>
              </w:rPr>
              <w:t xml:space="preserve">设计、施工企业统一社会信用代码：                                                                              （或组织机构代码）                       </w:t>
            </w:r>
          </w:p>
        </w:tc>
      </w:tr>
      <w:tr>
        <w:tblPrEx>
          <w:tblCellMar>
            <w:top w:w="0" w:type="dxa"/>
            <w:left w:w="108" w:type="dxa"/>
            <w:bottom w:w="0" w:type="dxa"/>
            <w:right w:w="108" w:type="dxa"/>
          </w:tblCellMar>
        </w:tblPrEx>
        <w:trPr>
          <w:trHeight w:val="585" w:hRule="atLeast"/>
          <w:jc w:val="center"/>
        </w:trPr>
        <w:tc>
          <w:tcPr>
            <w:tcW w:w="690"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序号</w:t>
            </w:r>
          </w:p>
        </w:tc>
        <w:tc>
          <w:tcPr>
            <w:tcW w:w="2220" w:type="dxa"/>
            <w:tcBorders>
              <w:top w:val="single" w:color="000000" w:sz="4" w:space="0"/>
              <w:left w:val="nil"/>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通报企业</w:t>
            </w:r>
          </w:p>
        </w:tc>
        <w:tc>
          <w:tcPr>
            <w:tcW w:w="1230" w:type="dxa"/>
            <w:tcBorders>
              <w:top w:val="single" w:color="000000" w:sz="4" w:space="0"/>
              <w:left w:val="nil"/>
              <w:bottom w:val="nil"/>
              <w:right w:val="single" w:color="000000" w:sz="4" w:space="0"/>
            </w:tcBorders>
            <w:shd w:val="clear" w:color="auto" w:fill="auto"/>
            <w:vAlign w:val="center"/>
          </w:tcPr>
          <w:p>
            <w:pPr>
              <w:widowControl/>
              <w:autoSpaceDE w:val="0"/>
              <w:spacing w:line="380" w:lineRule="exact"/>
              <w:jc w:val="center"/>
              <w:rPr>
                <w:rFonts w:hint="eastAsia" w:ascii="黑体" w:hAnsi="黑体" w:eastAsia="黑体"/>
                <w:kern w:val="0"/>
                <w:szCs w:val="21"/>
              </w:rPr>
            </w:pPr>
            <w:r>
              <w:rPr>
                <w:rFonts w:hint="eastAsia" w:ascii="黑体" w:hAnsi="黑体" w:eastAsia="黑体"/>
                <w:kern w:val="0"/>
                <w:szCs w:val="21"/>
              </w:rPr>
              <w:t>通报</w:t>
            </w:r>
          </w:p>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文号</w:t>
            </w:r>
          </w:p>
        </w:tc>
        <w:tc>
          <w:tcPr>
            <w:tcW w:w="1290"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日期</w:t>
            </w:r>
          </w:p>
        </w:tc>
        <w:tc>
          <w:tcPr>
            <w:tcW w:w="1470"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失信行为内容</w:t>
            </w:r>
          </w:p>
        </w:tc>
        <w:tc>
          <w:tcPr>
            <w:tcW w:w="1140" w:type="dxa"/>
            <w:tcBorders>
              <w:top w:val="single" w:color="000000" w:sz="4" w:space="0"/>
              <w:left w:val="nil"/>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失信行为</w:t>
            </w:r>
          </w:p>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代码</w:t>
            </w:r>
          </w:p>
        </w:tc>
        <w:tc>
          <w:tcPr>
            <w:tcW w:w="2955" w:type="dxa"/>
            <w:tcBorders>
              <w:top w:val="single" w:color="000000" w:sz="4" w:space="0"/>
              <w:left w:val="nil"/>
              <w:bottom w:val="nil"/>
              <w:right w:val="single" w:color="000000" w:sz="4" w:space="0"/>
            </w:tcBorders>
            <w:shd w:val="clear" w:color="auto" w:fill="auto"/>
            <w:tcMar>
              <w:top w:w="15" w:type="dxa"/>
              <w:bottom w:w="15" w:type="dxa"/>
            </w:tcMar>
            <w:vAlign w:val="center"/>
          </w:tcPr>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不良行为</w:t>
            </w:r>
          </w:p>
        </w:tc>
        <w:tc>
          <w:tcPr>
            <w:tcW w:w="1305" w:type="dxa"/>
            <w:tcBorders>
              <w:top w:val="single" w:color="000000" w:sz="4" w:space="0"/>
              <w:left w:val="nil"/>
              <w:bottom w:val="nil"/>
              <w:right w:val="single" w:color="000000" w:sz="4" w:space="0"/>
            </w:tcBorders>
            <w:shd w:val="clear" w:color="auto" w:fill="auto"/>
            <w:tcMar>
              <w:top w:w="15" w:type="dxa"/>
              <w:bottom w:w="15" w:type="dxa"/>
            </w:tcMar>
            <w:vAlign w:val="center"/>
          </w:tcPr>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行为等级和</w:t>
            </w:r>
          </w:p>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扣分标准</w:t>
            </w:r>
          </w:p>
        </w:tc>
        <w:tc>
          <w:tcPr>
            <w:tcW w:w="924" w:type="dxa"/>
            <w:tcBorders>
              <w:top w:val="single" w:color="000000" w:sz="4" w:space="0"/>
              <w:left w:val="nil"/>
              <w:bottom w:val="nil"/>
              <w:right w:val="single" w:color="000000" w:sz="4" w:space="0"/>
            </w:tcBorders>
            <w:shd w:val="clear" w:color="auto" w:fill="auto"/>
            <w:tcMar>
              <w:top w:w="15" w:type="dxa"/>
              <w:bottom w:w="15" w:type="dxa"/>
            </w:tcMar>
            <w:vAlign w:val="center"/>
          </w:tcPr>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扣分</w:t>
            </w:r>
          </w:p>
          <w:p>
            <w:pPr>
              <w:widowControl/>
              <w:autoSpaceDE w:val="0"/>
              <w:spacing w:line="380" w:lineRule="exact"/>
              <w:jc w:val="center"/>
              <w:rPr>
                <w:rFonts w:ascii="黑体" w:hAnsi="黑体" w:eastAsia="黑体"/>
                <w:kern w:val="0"/>
                <w:szCs w:val="21"/>
              </w:rPr>
            </w:pPr>
            <w:r>
              <w:rPr>
                <w:rFonts w:hint="eastAsia" w:ascii="黑体" w:hAnsi="黑体" w:eastAsia="黑体"/>
                <w:kern w:val="0"/>
                <w:szCs w:val="21"/>
              </w:rPr>
              <w:t>情况</w:t>
            </w:r>
          </w:p>
        </w:tc>
      </w:tr>
      <w:tr>
        <w:tblPrEx>
          <w:tblCellMar>
            <w:top w:w="0" w:type="dxa"/>
            <w:left w:w="108" w:type="dxa"/>
            <w:bottom w:w="0" w:type="dxa"/>
            <w:right w:w="108" w:type="dxa"/>
          </w:tblCellMar>
        </w:tblPrEx>
        <w:trPr>
          <w:trHeight w:val="8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222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295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left"/>
              <w:rPr>
                <w:rFonts w:ascii="仿宋" w:eastAsia="仿宋"/>
                <w:kern w:val="0"/>
                <w:szCs w:val="21"/>
              </w:rPr>
            </w:pPr>
          </w:p>
        </w:tc>
        <w:tc>
          <w:tcPr>
            <w:tcW w:w="130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21"/>
              </w:rPr>
            </w:pPr>
          </w:p>
        </w:tc>
        <w:tc>
          <w:tcPr>
            <w:tcW w:w="924"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21"/>
              </w:rPr>
            </w:pPr>
          </w:p>
        </w:tc>
      </w:tr>
      <w:tr>
        <w:tblPrEx>
          <w:tblCellMar>
            <w:top w:w="0" w:type="dxa"/>
            <w:left w:w="108" w:type="dxa"/>
            <w:bottom w:w="0" w:type="dxa"/>
            <w:right w:w="108" w:type="dxa"/>
          </w:tblCellMar>
        </w:tblPrEx>
        <w:trPr>
          <w:trHeight w:val="8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2220" w:type="dxa"/>
            <w:tcBorders>
              <w:top w:val="single" w:color="000000" w:sz="4" w:space="0"/>
              <w:left w:val="nil"/>
              <w:bottom w:val="single" w:color="000000" w:sz="4" w:space="0"/>
              <w:right w:val="single" w:color="000000" w:sz="4" w:space="0"/>
            </w:tcBorders>
            <w:shd w:val="clear" w:color="auto" w:fill="auto"/>
            <w:vAlign w:val="center"/>
          </w:tcPr>
          <w:p>
            <w:pPr>
              <w:rPr>
                <w:rFonts w:ascii="仿宋" w:eastAsia="仿宋"/>
                <w:kern w:val="0"/>
                <w:szCs w:val="21"/>
              </w:rPr>
            </w:pP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295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left"/>
              <w:rPr>
                <w:rFonts w:ascii="仿宋" w:eastAsia="仿宋"/>
                <w:kern w:val="0"/>
                <w:szCs w:val="21"/>
              </w:rPr>
            </w:pPr>
          </w:p>
        </w:tc>
        <w:tc>
          <w:tcPr>
            <w:tcW w:w="130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21"/>
              </w:rPr>
            </w:pPr>
          </w:p>
        </w:tc>
        <w:tc>
          <w:tcPr>
            <w:tcW w:w="924"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21"/>
              </w:rPr>
            </w:pPr>
          </w:p>
        </w:tc>
      </w:tr>
      <w:tr>
        <w:tblPrEx>
          <w:tblCellMar>
            <w:top w:w="0" w:type="dxa"/>
            <w:left w:w="108" w:type="dxa"/>
            <w:bottom w:w="0" w:type="dxa"/>
            <w:right w:w="108" w:type="dxa"/>
          </w:tblCellMar>
        </w:tblPrEx>
        <w:trPr>
          <w:trHeight w:val="8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2220" w:type="dxa"/>
            <w:tcBorders>
              <w:top w:val="single" w:color="000000" w:sz="4" w:space="0"/>
              <w:left w:val="nil"/>
              <w:bottom w:val="single" w:color="000000" w:sz="4" w:space="0"/>
              <w:right w:val="single" w:color="000000" w:sz="4" w:space="0"/>
            </w:tcBorders>
            <w:shd w:val="clear" w:color="auto" w:fill="auto"/>
            <w:vAlign w:val="center"/>
          </w:tcPr>
          <w:p>
            <w:pPr>
              <w:rPr>
                <w:rFonts w:ascii="仿宋" w:eastAsia="仿宋"/>
                <w:kern w:val="0"/>
                <w:szCs w:val="21"/>
              </w:rPr>
            </w:pP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295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left"/>
              <w:rPr>
                <w:rFonts w:ascii="仿宋" w:eastAsia="仿宋"/>
                <w:kern w:val="0"/>
                <w:szCs w:val="21"/>
              </w:rPr>
            </w:pPr>
          </w:p>
        </w:tc>
        <w:tc>
          <w:tcPr>
            <w:tcW w:w="130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21"/>
              </w:rPr>
            </w:pPr>
          </w:p>
        </w:tc>
        <w:tc>
          <w:tcPr>
            <w:tcW w:w="924"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21"/>
              </w:rPr>
            </w:pPr>
          </w:p>
        </w:tc>
      </w:tr>
    </w:tbl>
    <w:p>
      <w:pPr>
        <w:spacing w:line="400" w:lineRule="exact"/>
        <w:rPr>
          <w:rFonts w:ascii="仿宋" w:eastAsia="仿宋"/>
          <w:kern w:val="0"/>
          <w:szCs w:val="21"/>
        </w:rPr>
      </w:pPr>
      <w:r>
        <w:rPr>
          <w:rFonts w:hint="eastAsia" w:ascii="仿宋" w:eastAsia="仿宋"/>
          <w:kern w:val="0"/>
          <w:szCs w:val="21"/>
        </w:rPr>
        <w:t>设计、施工企业签收：                                        日期：</w:t>
      </w:r>
    </w:p>
    <w:p>
      <w:pPr>
        <w:spacing w:line="400" w:lineRule="exact"/>
        <w:ind w:firstLine="184" w:firstLineChars="88"/>
        <w:rPr>
          <w:rFonts w:hint="eastAsia" w:ascii="仿宋" w:eastAsia="仿宋"/>
          <w:kern w:val="0"/>
          <w:szCs w:val="21"/>
        </w:rPr>
      </w:pPr>
      <w:r>
        <w:rPr>
          <w:rFonts w:hint="eastAsia" w:ascii="仿宋" w:eastAsia="仿宋"/>
          <w:kern w:val="0"/>
          <w:szCs w:val="21"/>
        </w:rPr>
        <w:t>注：本表应在项目法人（建设单位）生成或收到上级主管部门通报文件后5日内生成，并告知相关企业。</w:t>
      </w:r>
    </w:p>
    <w:p>
      <w:pPr>
        <w:spacing w:line="460" w:lineRule="exact"/>
        <w:ind w:firstLine="246" w:firstLineChars="88"/>
        <w:rPr>
          <w:rFonts w:hint="eastAsia" w:ascii="黑体" w:hAnsi="黑体" w:eastAsia="黑体"/>
          <w:sz w:val="28"/>
          <w:szCs w:val="32"/>
        </w:rPr>
        <w:sectPr>
          <w:pgSz w:w="16838" w:h="11906" w:orient="landscape"/>
          <w:pgMar w:top="1531" w:right="2041" w:bottom="1531" w:left="2041" w:header="1701" w:footer="992" w:gutter="0"/>
          <w:pgNumType w:fmt="decimal"/>
          <w:cols w:space="720" w:num="1"/>
          <w:titlePg/>
          <w:docGrid w:type="lines" w:linePitch="579" w:charSpace="-849"/>
        </w:sectPr>
      </w:pPr>
    </w:p>
    <w:p>
      <w:pPr>
        <w:spacing w:line="460" w:lineRule="exact"/>
        <w:ind w:firstLine="281" w:firstLineChars="88"/>
        <w:rPr>
          <w:rFonts w:hint="eastAsia" w:ascii="黑体" w:hAnsi="黑体" w:eastAsia="黑体"/>
          <w:sz w:val="24"/>
          <w:szCs w:val="24"/>
        </w:rPr>
      </w:pPr>
      <w:r>
        <w:rPr>
          <w:rFonts w:hint="eastAsia" w:ascii="黑体" w:hAnsi="黑体" w:eastAsia="黑体"/>
          <w:sz w:val="32"/>
          <w:szCs w:val="32"/>
        </w:rPr>
        <w:t>附件5</w:t>
      </w:r>
      <w:r>
        <w:rPr>
          <w:rFonts w:hint="eastAsia" w:ascii="黑体" w:hAnsi="黑体" w:eastAsia="黑体"/>
          <w:sz w:val="24"/>
          <w:szCs w:val="24"/>
        </w:rPr>
        <w:t xml:space="preserve">          </w:t>
      </w:r>
    </w:p>
    <w:p>
      <w:pPr>
        <w:spacing w:line="460" w:lineRule="exact"/>
        <w:jc w:val="center"/>
        <w:rPr>
          <w:rFonts w:hint="eastAsia" w:ascii="创艺简标宋" w:hAnsi="黑体" w:eastAsia="创艺简标宋"/>
          <w:sz w:val="44"/>
          <w:szCs w:val="44"/>
        </w:rPr>
      </w:pPr>
      <w:r>
        <w:rPr>
          <w:rFonts w:hint="eastAsia" w:ascii="方正小标宋简体" w:hAnsi="方正小标宋简体" w:eastAsia="方正小标宋简体" w:cs="方正小标宋简体"/>
          <w:sz w:val="44"/>
          <w:szCs w:val="44"/>
        </w:rPr>
        <w:t>水运工程设计和施工企业信用评价不良行为台账</w:t>
      </w:r>
    </w:p>
    <w:p>
      <w:pPr>
        <w:spacing w:line="460" w:lineRule="exact"/>
        <w:ind w:firstLine="960"/>
        <w:jc w:val="center"/>
        <w:rPr>
          <w:rFonts w:hint="eastAsia" w:ascii="创艺简标宋" w:hAnsi="黑体" w:eastAsia="创艺简标宋"/>
          <w:sz w:val="24"/>
        </w:rPr>
      </w:pPr>
    </w:p>
    <w:p>
      <w:pPr>
        <w:spacing w:line="240" w:lineRule="atLeast"/>
        <w:ind w:firstLine="1400"/>
        <w:rPr>
          <w:rFonts w:hint="eastAsia" w:ascii="仿宋" w:eastAsia="仿宋"/>
          <w:kern w:val="0"/>
          <w:sz w:val="28"/>
          <w:szCs w:val="21"/>
        </w:rPr>
      </w:pPr>
      <w:r>
        <w:rPr>
          <w:rFonts w:hint="eastAsia" w:ascii="仿宋" w:eastAsia="仿宋"/>
          <w:kern w:val="0"/>
          <w:sz w:val="28"/>
          <w:szCs w:val="21"/>
        </w:rPr>
        <w:t xml:space="preserve">建设项目：                             </w:t>
      </w:r>
    </w:p>
    <w:p>
      <w:pPr>
        <w:spacing w:line="240" w:lineRule="atLeast"/>
        <w:ind w:firstLine="1400"/>
        <w:rPr>
          <w:rFonts w:ascii="仿宋" w:eastAsia="仿宋"/>
          <w:kern w:val="0"/>
          <w:sz w:val="28"/>
          <w:szCs w:val="21"/>
        </w:rPr>
      </w:pPr>
      <w:r>
        <w:rPr>
          <w:rFonts w:hint="eastAsia" w:ascii="仿宋" w:eastAsia="仿宋"/>
          <w:kern w:val="0"/>
          <w:sz w:val="28"/>
          <w:szCs w:val="21"/>
        </w:rPr>
        <w:t>项目法人（建设单位）（盖章）                                           报送日期：</w:t>
      </w:r>
    </w:p>
    <w:tbl>
      <w:tblPr>
        <w:tblStyle w:val="6"/>
        <w:tblW w:w="13153" w:type="dxa"/>
        <w:jc w:val="center"/>
        <w:tblLayout w:type="fixed"/>
        <w:tblCellMar>
          <w:top w:w="0" w:type="dxa"/>
          <w:left w:w="108" w:type="dxa"/>
          <w:bottom w:w="0" w:type="dxa"/>
          <w:right w:w="108" w:type="dxa"/>
        </w:tblCellMar>
      </w:tblPr>
      <w:tblGrid>
        <w:gridCol w:w="581"/>
        <w:gridCol w:w="1402"/>
        <w:gridCol w:w="1099"/>
        <w:gridCol w:w="960"/>
        <w:gridCol w:w="644"/>
        <w:gridCol w:w="1059"/>
        <w:gridCol w:w="1065"/>
        <w:gridCol w:w="1080"/>
        <w:gridCol w:w="975"/>
        <w:gridCol w:w="2314"/>
        <w:gridCol w:w="1196"/>
        <w:gridCol w:w="778"/>
      </w:tblGrid>
      <w:tr>
        <w:tblPrEx>
          <w:tblCellMar>
            <w:top w:w="0" w:type="dxa"/>
            <w:left w:w="108" w:type="dxa"/>
            <w:bottom w:w="0" w:type="dxa"/>
            <w:right w:w="108" w:type="dxa"/>
          </w:tblCellMar>
        </w:tblPrEx>
        <w:trPr>
          <w:trHeight w:val="585" w:hRule="atLeast"/>
          <w:jc w:val="center"/>
        </w:trPr>
        <w:tc>
          <w:tcPr>
            <w:tcW w:w="581"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序号</w:t>
            </w:r>
          </w:p>
        </w:tc>
        <w:tc>
          <w:tcPr>
            <w:tcW w:w="1402" w:type="dxa"/>
            <w:tcBorders>
              <w:top w:val="single" w:color="000000" w:sz="4" w:space="0"/>
              <w:left w:val="nil"/>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通报单位</w:t>
            </w:r>
          </w:p>
        </w:tc>
        <w:tc>
          <w:tcPr>
            <w:tcW w:w="1099" w:type="dxa"/>
            <w:tcBorders>
              <w:top w:val="single" w:color="000000" w:sz="4" w:space="0"/>
              <w:left w:val="nil"/>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通报文号</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日期</w:t>
            </w:r>
          </w:p>
        </w:tc>
        <w:tc>
          <w:tcPr>
            <w:tcW w:w="644"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标段</w:t>
            </w:r>
          </w:p>
        </w:tc>
        <w:tc>
          <w:tcPr>
            <w:tcW w:w="1059"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企业名称</w:t>
            </w:r>
          </w:p>
        </w:tc>
        <w:tc>
          <w:tcPr>
            <w:tcW w:w="1065" w:type="dxa"/>
            <w:tcBorders>
              <w:top w:val="single" w:color="000000" w:sz="4" w:space="0"/>
              <w:left w:val="nil"/>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企业统一社会信用代码</w:t>
            </w:r>
          </w:p>
        </w:tc>
        <w:tc>
          <w:tcPr>
            <w:tcW w:w="1080" w:type="dxa"/>
            <w:tcBorders>
              <w:top w:val="single" w:color="000000" w:sz="4" w:space="0"/>
              <w:left w:val="nil"/>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失信行为内容</w:t>
            </w:r>
          </w:p>
        </w:tc>
        <w:tc>
          <w:tcPr>
            <w:tcW w:w="975" w:type="dxa"/>
            <w:tcBorders>
              <w:top w:val="single" w:color="000000" w:sz="4" w:space="0"/>
              <w:left w:val="nil"/>
              <w:bottom w:val="nil"/>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失信行为</w:t>
            </w:r>
          </w:p>
          <w:p>
            <w:pPr>
              <w:widowControl/>
              <w:autoSpaceDE w:val="0"/>
              <w:spacing w:line="240" w:lineRule="exact"/>
              <w:jc w:val="center"/>
              <w:rPr>
                <w:rFonts w:ascii="仿宋" w:eastAsia="仿宋"/>
                <w:kern w:val="0"/>
                <w:szCs w:val="18"/>
              </w:rPr>
            </w:pPr>
            <w:r>
              <w:rPr>
                <w:rFonts w:hint="eastAsia" w:ascii="仿宋" w:eastAsia="仿宋"/>
                <w:kern w:val="0"/>
                <w:szCs w:val="18"/>
              </w:rPr>
              <w:t>代码</w:t>
            </w:r>
          </w:p>
        </w:tc>
        <w:tc>
          <w:tcPr>
            <w:tcW w:w="2314" w:type="dxa"/>
            <w:tcBorders>
              <w:top w:val="single" w:color="000000" w:sz="4" w:space="0"/>
              <w:left w:val="nil"/>
              <w:bottom w:val="nil"/>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不良行为</w:t>
            </w:r>
          </w:p>
        </w:tc>
        <w:tc>
          <w:tcPr>
            <w:tcW w:w="1196" w:type="dxa"/>
            <w:tcBorders>
              <w:top w:val="single" w:color="000000" w:sz="4" w:space="0"/>
              <w:left w:val="nil"/>
              <w:bottom w:val="nil"/>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行为等级和扣分标准</w:t>
            </w:r>
          </w:p>
        </w:tc>
        <w:tc>
          <w:tcPr>
            <w:tcW w:w="778" w:type="dxa"/>
            <w:tcBorders>
              <w:top w:val="single" w:color="000000" w:sz="4" w:space="0"/>
              <w:left w:val="nil"/>
              <w:bottom w:val="nil"/>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18"/>
              </w:rPr>
            </w:pPr>
            <w:r>
              <w:rPr>
                <w:rFonts w:hint="eastAsia" w:ascii="仿宋" w:eastAsia="仿宋"/>
                <w:kern w:val="0"/>
                <w:szCs w:val="18"/>
              </w:rPr>
              <w:t>扣分</w:t>
            </w:r>
          </w:p>
          <w:p>
            <w:pPr>
              <w:widowControl/>
              <w:autoSpaceDE w:val="0"/>
              <w:spacing w:line="240" w:lineRule="exact"/>
              <w:jc w:val="center"/>
              <w:rPr>
                <w:rFonts w:ascii="仿宋" w:eastAsia="仿宋"/>
                <w:kern w:val="0"/>
                <w:szCs w:val="18"/>
              </w:rPr>
            </w:pPr>
            <w:r>
              <w:rPr>
                <w:rFonts w:hint="eastAsia" w:ascii="仿宋" w:eastAsia="仿宋"/>
                <w:kern w:val="0"/>
                <w:szCs w:val="18"/>
              </w:rPr>
              <w:t>情况</w:t>
            </w:r>
          </w:p>
        </w:tc>
      </w:tr>
      <w:tr>
        <w:tblPrEx>
          <w:tblCellMar>
            <w:top w:w="0" w:type="dxa"/>
            <w:left w:w="108" w:type="dxa"/>
            <w:bottom w:w="0" w:type="dxa"/>
            <w:right w:w="108" w:type="dxa"/>
          </w:tblCellMar>
        </w:tblPrEx>
        <w:trPr>
          <w:trHeight w:val="85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p>
        </w:tc>
        <w:tc>
          <w:tcPr>
            <w:tcW w:w="1402"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p>
        </w:tc>
        <w:tc>
          <w:tcPr>
            <w:tcW w:w="2314"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left"/>
              <w:rPr>
                <w:rFonts w:ascii="仿宋" w:eastAsia="仿宋"/>
                <w:kern w:val="0"/>
                <w:szCs w:val="18"/>
              </w:rPr>
            </w:pPr>
          </w:p>
        </w:tc>
        <w:tc>
          <w:tcPr>
            <w:tcW w:w="1196"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18"/>
              </w:rPr>
            </w:pPr>
          </w:p>
        </w:tc>
        <w:tc>
          <w:tcPr>
            <w:tcW w:w="778"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18"/>
              </w:rPr>
            </w:pPr>
          </w:p>
        </w:tc>
      </w:tr>
      <w:tr>
        <w:tblPrEx>
          <w:tblCellMar>
            <w:top w:w="0" w:type="dxa"/>
            <w:left w:w="108" w:type="dxa"/>
            <w:bottom w:w="0" w:type="dxa"/>
            <w:right w:w="108" w:type="dxa"/>
          </w:tblCellMar>
        </w:tblPrEx>
        <w:trPr>
          <w:trHeight w:val="85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p>
        </w:tc>
        <w:tc>
          <w:tcPr>
            <w:tcW w:w="1402" w:type="dxa"/>
            <w:tcBorders>
              <w:top w:val="single" w:color="000000" w:sz="4" w:space="0"/>
              <w:left w:val="nil"/>
              <w:bottom w:val="single" w:color="000000" w:sz="4" w:space="0"/>
              <w:right w:val="single" w:color="000000" w:sz="4" w:space="0"/>
            </w:tcBorders>
            <w:shd w:val="clear" w:color="auto" w:fill="auto"/>
            <w:vAlign w:val="center"/>
          </w:tcPr>
          <w:p>
            <w:pPr>
              <w:rPr>
                <w:rFonts w:ascii="仿宋" w:eastAsia="仿宋"/>
                <w:kern w:val="0"/>
                <w:szCs w:val="18"/>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18"/>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18"/>
              </w:rPr>
            </w:pPr>
          </w:p>
        </w:tc>
        <w:tc>
          <w:tcPr>
            <w:tcW w:w="2314"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left"/>
              <w:rPr>
                <w:rFonts w:ascii="仿宋" w:eastAsia="仿宋"/>
                <w:kern w:val="0"/>
                <w:szCs w:val="18"/>
              </w:rPr>
            </w:pPr>
          </w:p>
        </w:tc>
        <w:tc>
          <w:tcPr>
            <w:tcW w:w="1196"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18"/>
              </w:rPr>
            </w:pPr>
          </w:p>
        </w:tc>
        <w:tc>
          <w:tcPr>
            <w:tcW w:w="778"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center"/>
              <w:rPr>
                <w:rFonts w:ascii="仿宋" w:eastAsia="仿宋"/>
                <w:kern w:val="0"/>
                <w:szCs w:val="18"/>
              </w:rPr>
            </w:pPr>
          </w:p>
        </w:tc>
      </w:tr>
      <w:tr>
        <w:tblPrEx>
          <w:tblCellMar>
            <w:top w:w="0" w:type="dxa"/>
            <w:left w:w="108" w:type="dxa"/>
            <w:bottom w:w="0" w:type="dxa"/>
            <w:right w:w="108" w:type="dxa"/>
          </w:tblCellMar>
        </w:tblPrEx>
        <w:trPr>
          <w:trHeight w:val="85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500" w:lineRule="exact"/>
              <w:jc w:val="center"/>
              <w:rPr>
                <w:rFonts w:ascii="仿宋" w:eastAsia="仿宋"/>
                <w:kern w:val="0"/>
                <w:szCs w:val="18"/>
              </w:rPr>
            </w:pPr>
          </w:p>
        </w:tc>
        <w:tc>
          <w:tcPr>
            <w:tcW w:w="1402" w:type="dxa"/>
            <w:tcBorders>
              <w:top w:val="single" w:color="000000" w:sz="4" w:space="0"/>
              <w:left w:val="nil"/>
              <w:bottom w:val="single" w:color="000000" w:sz="4" w:space="0"/>
              <w:right w:val="single" w:color="000000" w:sz="4" w:space="0"/>
            </w:tcBorders>
            <w:shd w:val="clear" w:color="auto" w:fill="auto"/>
            <w:vAlign w:val="center"/>
          </w:tcPr>
          <w:p>
            <w:pPr>
              <w:spacing w:line="500" w:lineRule="exact"/>
              <w:rPr>
                <w:rFonts w:ascii="仿宋" w:eastAsia="仿宋"/>
                <w:kern w:val="0"/>
                <w:szCs w:val="18"/>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500" w:lineRule="exact"/>
              <w:rPr>
                <w:rFonts w:ascii="仿宋" w:eastAsia="仿宋"/>
                <w:kern w:val="0"/>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500" w:lineRule="exact"/>
              <w:rPr>
                <w:rFonts w:ascii="仿宋" w:eastAsia="仿宋"/>
                <w:kern w:val="0"/>
                <w:szCs w:val="18"/>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500" w:lineRule="exact"/>
              <w:rPr>
                <w:rFonts w:ascii="仿宋" w:eastAsia="仿宋"/>
                <w:kern w:val="0"/>
                <w:szCs w:val="18"/>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500" w:lineRule="exact"/>
              <w:rPr>
                <w:rFonts w:ascii="仿宋" w:eastAsia="仿宋"/>
                <w:kern w:val="0"/>
                <w:szCs w:val="18"/>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500" w:lineRule="exact"/>
              <w:rPr>
                <w:rFonts w:ascii="仿宋" w:eastAsia="仿宋"/>
                <w:kern w:val="0"/>
                <w:szCs w:val="18"/>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500" w:lineRule="exact"/>
              <w:rPr>
                <w:rFonts w:ascii="仿宋" w:eastAsia="仿宋"/>
                <w:kern w:val="0"/>
                <w:szCs w:val="18"/>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500" w:lineRule="exact"/>
              <w:jc w:val="center"/>
              <w:rPr>
                <w:rFonts w:ascii="仿宋" w:eastAsia="仿宋"/>
                <w:kern w:val="0"/>
                <w:szCs w:val="18"/>
              </w:rPr>
            </w:pPr>
          </w:p>
        </w:tc>
        <w:tc>
          <w:tcPr>
            <w:tcW w:w="2314"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500" w:lineRule="exact"/>
              <w:jc w:val="left"/>
              <w:rPr>
                <w:rFonts w:ascii="仿宋" w:eastAsia="仿宋"/>
                <w:kern w:val="0"/>
                <w:szCs w:val="18"/>
              </w:rPr>
            </w:pPr>
          </w:p>
        </w:tc>
        <w:tc>
          <w:tcPr>
            <w:tcW w:w="1196"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500" w:lineRule="exact"/>
              <w:jc w:val="center"/>
              <w:rPr>
                <w:rFonts w:ascii="仿宋" w:eastAsia="仿宋"/>
                <w:kern w:val="0"/>
                <w:szCs w:val="18"/>
              </w:rPr>
            </w:pPr>
          </w:p>
        </w:tc>
        <w:tc>
          <w:tcPr>
            <w:tcW w:w="778"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500" w:lineRule="exact"/>
              <w:jc w:val="center"/>
              <w:rPr>
                <w:rFonts w:ascii="仿宋" w:eastAsia="仿宋"/>
                <w:kern w:val="0"/>
                <w:szCs w:val="18"/>
              </w:rPr>
            </w:pPr>
          </w:p>
        </w:tc>
      </w:tr>
    </w:tbl>
    <w:p>
      <w:pPr>
        <w:spacing w:line="500" w:lineRule="exact"/>
        <w:ind w:firstLine="630" w:firstLineChars="300"/>
        <w:jc w:val="left"/>
        <w:rPr>
          <w:rFonts w:hint="eastAsia" w:ascii="创艺简标宋" w:eastAsia="创艺简标宋"/>
          <w:sz w:val="24"/>
          <w:szCs w:val="24"/>
        </w:rPr>
      </w:pPr>
      <w:r>
        <w:rPr>
          <w:rFonts w:hint="eastAsia" w:ascii="仿宋" w:eastAsia="仿宋"/>
          <w:kern w:val="0"/>
          <w:szCs w:val="21"/>
        </w:rPr>
        <w:t>注：项目法人（建设单位）应在当季最后一个月25日前将本台账报负责项目监管的地市交通运输(港口）行政主管部门或自治区</w:t>
      </w:r>
      <w:r>
        <w:rPr>
          <w:rFonts w:hint="eastAsia" w:ascii="仿宋" w:eastAsia="仿宋"/>
          <w:kern w:val="0"/>
          <w:szCs w:val="21"/>
          <w:lang w:eastAsia="zh-CN"/>
        </w:rPr>
        <w:t>港航发展中心</w:t>
      </w:r>
      <w:r>
        <w:rPr>
          <w:rFonts w:hint="eastAsia" w:ascii="仿宋" w:eastAsia="仿宋"/>
          <w:kern w:val="0"/>
          <w:szCs w:val="21"/>
        </w:rPr>
        <w:t>。</w:t>
      </w:r>
      <w:r>
        <w:rPr>
          <w:rFonts w:hint="eastAsia" w:ascii="仿宋" w:eastAsia="仿宋"/>
          <w:sz w:val="24"/>
          <w:szCs w:val="24"/>
        </w:rPr>
        <w:br w:type="page"/>
      </w:r>
      <w:r>
        <w:rPr>
          <w:rFonts w:hint="eastAsia" w:ascii="方正黑体_GBK" w:hAnsi="方正黑体_GBK" w:eastAsia="方正黑体_GBK" w:cs="方正黑体_GBK"/>
          <w:sz w:val="32"/>
          <w:szCs w:val="32"/>
        </w:rPr>
        <w:t>附件6</w:t>
      </w:r>
    </w:p>
    <w:p>
      <w:pPr>
        <w:spacing w:line="500" w:lineRule="exact"/>
        <w:jc w:val="center"/>
        <w:rPr>
          <w:rFonts w:hint="eastAsia" w:ascii="创艺简标宋" w:eastAsia="创艺简标宋"/>
          <w:sz w:val="44"/>
          <w:szCs w:val="44"/>
        </w:rPr>
      </w:pPr>
      <w:r>
        <w:rPr>
          <w:rFonts w:hint="eastAsia" w:ascii="方正小标宋简体" w:hAnsi="方正小标宋简体" w:eastAsia="方正小标宋简体" w:cs="方正小标宋简体"/>
          <w:sz w:val="44"/>
          <w:szCs w:val="44"/>
        </w:rPr>
        <w:t>水运工程设计和施工企业信用评价不良行为台账季度汇总表</w:t>
      </w:r>
    </w:p>
    <w:p>
      <w:pPr>
        <w:spacing w:line="500" w:lineRule="exact"/>
        <w:jc w:val="center"/>
        <w:rPr>
          <w:rFonts w:hint="eastAsia" w:ascii="创艺简标宋" w:eastAsia="创艺简标宋"/>
          <w:sz w:val="44"/>
          <w:szCs w:val="44"/>
        </w:rPr>
      </w:pPr>
    </w:p>
    <w:p>
      <w:pPr>
        <w:spacing w:line="360" w:lineRule="auto"/>
        <w:rPr>
          <w:rFonts w:ascii="仿宋" w:eastAsia="仿宋"/>
          <w:kern w:val="0"/>
          <w:sz w:val="28"/>
          <w:szCs w:val="21"/>
        </w:rPr>
      </w:pPr>
      <w:r>
        <w:rPr>
          <w:rFonts w:hint="eastAsia" w:ascii="仿宋" w:eastAsia="仿宋"/>
          <w:kern w:val="0"/>
          <w:sz w:val="28"/>
          <w:szCs w:val="21"/>
        </w:rPr>
        <w:t>市交通运输(港口）行政主管部门（盖章）：                     报送日期：</w:t>
      </w:r>
    </w:p>
    <w:tbl>
      <w:tblPr>
        <w:tblStyle w:val="6"/>
        <w:tblW w:w="12825" w:type="dxa"/>
        <w:jc w:val="center"/>
        <w:tblLayout w:type="fixed"/>
        <w:tblCellMar>
          <w:top w:w="0" w:type="dxa"/>
          <w:left w:w="108" w:type="dxa"/>
          <w:bottom w:w="0" w:type="dxa"/>
          <w:right w:w="108" w:type="dxa"/>
        </w:tblCellMar>
      </w:tblPr>
      <w:tblGrid>
        <w:gridCol w:w="581"/>
        <w:gridCol w:w="1174"/>
        <w:gridCol w:w="660"/>
        <w:gridCol w:w="1635"/>
        <w:gridCol w:w="1635"/>
        <w:gridCol w:w="1059"/>
        <w:gridCol w:w="2346"/>
        <w:gridCol w:w="1365"/>
        <w:gridCol w:w="1125"/>
        <w:gridCol w:w="1245"/>
      </w:tblGrid>
      <w:tr>
        <w:tblPrEx>
          <w:tblCellMar>
            <w:top w:w="0" w:type="dxa"/>
            <w:left w:w="108" w:type="dxa"/>
            <w:bottom w:w="0" w:type="dxa"/>
            <w:right w:w="108" w:type="dxa"/>
          </w:tblCellMar>
        </w:tblPrEx>
        <w:trPr>
          <w:trHeight w:val="1028" w:hRule="atLeast"/>
          <w:jc w:val="center"/>
        </w:trPr>
        <w:tc>
          <w:tcPr>
            <w:tcW w:w="581"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序号</w:t>
            </w:r>
          </w:p>
        </w:tc>
        <w:tc>
          <w:tcPr>
            <w:tcW w:w="1174" w:type="dxa"/>
            <w:tcBorders>
              <w:top w:val="single" w:color="000000" w:sz="4" w:space="0"/>
              <w:left w:val="nil"/>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建设项目</w:t>
            </w:r>
          </w:p>
        </w:tc>
        <w:tc>
          <w:tcPr>
            <w:tcW w:w="660" w:type="dxa"/>
            <w:tcBorders>
              <w:top w:val="single" w:color="000000" w:sz="4" w:space="0"/>
              <w:left w:val="nil"/>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标段</w:t>
            </w:r>
          </w:p>
        </w:tc>
        <w:tc>
          <w:tcPr>
            <w:tcW w:w="1635"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企业名称</w:t>
            </w:r>
          </w:p>
        </w:tc>
        <w:tc>
          <w:tcPr>
            <w:tcW w:w="1635"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企业统一社会信用代码</w:t>
            </w:r>
          </w:p>
        </w:tc>
        <w:tc>
          <w:tcPr>
            <w:tcW w:w="1059" w:type="dxa"/>
            <w:tcBorders>
              <w:top w:val="single" w:color="000000" w:sz="4" w:space="0"/>
              <w:left w:val="single" w:color="000000" w:sz="4" w:space="0"/>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失信行为</w:t>
            </w:r>
          </w:p>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代码</w:t>
            </w:r>
          </w:p>
        </w:tc>
        <w:tc>
          <w:tcPr>
            <w:tcW w:w="2346" w:type="dxa"/>
            <w:tcBorders>
              <w:top w:val="single" w:color="000000" w:sz="4" w:space="0"/>
              <w:left w:val="nil"/>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不良行为</w:t>
            </w:r>
          </w:p>
        </w:tc>
        <w:tc>
          <w:tcPr>
            <w:tcW w:w="1365" w:type="dxa"/>
            <w:tcBorders>
              <w:top w:val="single" w:color="000000" w:sz="4" w:space="0"/>
              <w:left w:val="nil"/>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行为等级和扣分标准</w:t>
            </w:r>
          </w:p>
        </w:tc>
        <w:tc>
          <w:tcPr>
            <w:tcW w:w="1125" w:type="dxa"/>
            <w:tcBorders>
              <w:top w:val="single" w:color="000000" w:sz="4" w:space="0"/>
              <w:left w:val="nil"/>
              <w:bottom w:val="nil"/>
              <w:right w:val="single" w:color="000000" w:sz="4" w:space="0"/>
            </w:tcBorders>
            <w:shd w:val="clear" w:color="auto" w:fill="auto"/>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扣分</w:t>
            </w:r>
          </w:p>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情况</w:t>
            </w:r>
          </w:p>
        </w:tc>
        <w:tc>
          <w:tcPr>
            <w:tcW w:w="1245" w:type="dxa"/>
            <w:tcBorders>
              <w:top w:val="single" w:color="000000" w:sz="4" w:space="0"/>
              <w:left w:val="nil"/>
              <w:bottom w:val="nil"/>
              <w:right w:val="single" w:color="000000" w:sz="4" w:space="0"/>
            </w:tcBorders>
            <w:shd w:val="clear" w:color="auto" w:fill="auto"/>
            <w:tcMar>
              <w:top w:w="15" w:type="dxa"/>
              <w:bottom w:w="15" w:type="dxa"/>
            </w:tcMar>
            <w:vAlign w:val="center"/>
          </w:tcPr>
          <w:p>
            <w:pPr>
              <w:widowControl/>
              <w:autoSpaceDE w:val="0"/>
              <w:spacing w:line="380" w:lineRule="exact"/>
              <w:jc w:val="center"/>
              <w:rPr>
                <w:rFonts w:ascii="黑体" w:hAnsi="黑体" w:eastAsia="黑体"/>
                <w:kern w:val="0"/>
                <w:sz w:val="30"/>
                <w:szCs w:val="30"/>
              </w:rPr>
            </w:pPr>
            <w:r>
              <w:rPr>
                <w:rFonts w:hint="eastAsia" w:ascii="黑体" w:hAnsi="黑体" w:eastAsia="黑体"/>
                <w:kern w:val="0"/>
                <w:sz w:val="30"/>
                <w:szCs w:val="30"/>
              </w:rPr>
              <w:t>备注</w:t>
            </w:r>
          </w:p>
        </w:tc>
      </w:tr>
      <w:tr>
        <w:tblPrEx>
          <w:tblCellMar>
            <w:top w:w="0" w:type="dxa"/>
            <w:left w:w="108" w:type="dxa"/>
            <w:bottom w:w="0" w:type="dxa"/>
            <w:right w:w="108" w:type="dxa"/>
          </w:tblCellMar>
        </w:tblPrEx>
        <w:trPr>
          <w:trHeight w:val="85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1174"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66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2346"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36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12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124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left"/>
              <w:rPr>
                <w:rFonts w:ascii="仿宋" w:eastAsia="仿宋"/>
                <w:kern w:val="0"/>
                <w:szCs w:val="21"/>
              </w:rPr>
            </w:pPr>
          </w:p>
        </w:tc>
      </w:tr>
      <w:tr>
        <w:tblPrEx>
          <w:tblCellMar>
            <w:top w:w="0" w:type="dxa"/>
            <w:left w:w="108" w:type="dxa"/>
            <w:bottom w:w="0" w:type="dxa"/>
            <w:right w:w="108" w:type="dxa"/>
          </w:tblCellMar>
        </w:tblPrEx>
        <w:trPr>
          <w:trHeight w:val="85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1174" w:type="dxa"/>
            <w:tcBorders>
              <w:top w:val="single" w:color="000000" w:sz="4" w:space="0"/>
              <w:left w:val="nil"/>
              <w:bottom w:val="single" w:color="000000" w:sz="4" w:space="0"/>
              <w:right w:val="single" w:color="000000" w:sz="4" w:space="0"/>
            </w:tcBorders>
            <w:shd w:val="clear" w:color="auto" w:fill="auto"/>
            <w:vAlign w:val="center"/>
          </w:tcPr>
          <w:p>
            <w:pPr>
              <w:rPr>
                <w:rFonts w:ascii="仿宋" w:eastAsia="仿宋"/>
                <w:kern w:val="0"/>
                <w:szCs w:val="21"/>
              </w:rPr>
            </w:pPr>
          </w:p>
        </w:tc>
        <w:tc>
          <w:tcPr>
            <w:tcW w:w="66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2346"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36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12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124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left"/>
              <w:rPr>
                <w:rFonts w:ascii="仿宋" w:eastAsia="仿宋"/>
                <w:kern w:val="0"/>
                <w:szCs w:val="21"/>
              </w:rPr>
            </w:pPr>
          </w:p>
        </w:tc>
      </w:tr>
      <w:tr>
        <w:tblPrEx>
          <w:tblCellMar>
            <w:top w:w="0" w:type="dxa"/>
            <w:left w:w="108" w:type="dxa"/>
            <w:bottom w:w="0" w:type="dxa"/>
            <w:right w:w="108" w:type="dxa"/>
          </w:tblCellMar>
        </w:tblPrEx>
        <w:trPr>
          <w:trHeight w:val="85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1174" w:type="dxa"/>
            <w:tcBorders>
              <w:top w:val="single" w:color="000000" w:sz="4" w:space="0"/>
              <w:left w:val="nil"/>
              <w:bottom w:val="single" w:color="000000" w:sz="4" w:space="0"/>
              <w:right w:val="single" w:color="000000" w:sz="4" w:space="0"/>
            </w:tcBorders>
            <w:shd w:val="clear" w:color="auto" w:fill="auto"/>
            <w:vAlign w:val="center"/>
          </w:tcPr>
          <w:p>
            <w:pPr>
              <w:rPr>
                <w:rFonts w:ascii="仿宋" w:eastAsia="仿宋"/>
                <w:kern w:val="0"/>
                <w:szCs w:val="21"/>
              </w:rPr>
            </w:pPr>
          </w:p>
        </w:tc>
        <w:tc>
          <w:tcPr>
            <w:tcW w:w="660"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2346"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36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rPr>
                <w:rFonts w:ascii="仿宋" w:eastAsia="仿宋"/>
                <w:kern w:val="0"/>
                <w:szCs w:val="21"/>
              </w:rPr>
            </w:pPr>
          </w:p>
        </w:tc>
        <w:tc>
          <w:tcPr>
            <w:tcW w:w="1125" w:type="dxa"/>
            <w:tcBorders>
              <w:top w:val="single" w:color="000000" w:sz="4" w:space="0"/>
              <w:left w:val="nil"/>
              <w:bottom w:val="single" w:color="000000" w:sz="4" w:space="0"/>
              <w:right w:val="single" w:color="000000" w:sz="4" w:space="0"/>
            </w:tcBorders>
            <w:shd w:val="clear" w:color="auto" w:fill="auto"/>
            <w:vAlign w:val="center"/>
          </w:tcPr>
          <w:p>
            <w:pPr>
              <w:widowControl/>
              <w:autoSpaceDE w:val="0"/>
              <w:spacing w:line="240" w:lineRule="exact"/>
              <w:jc w:val="center"/>
              <w:rPr>
                <w:rFonts w:ascii="仿宋" w:eastAsia="仿宋"/>
                <w:kern w:val="0"/>
                <w:szCs w:val="21"/>
              </w:rPr>
            </w:pPr>
          </w:p>
        </w:tc>
        <w:tc>
          <w:tcPr>
            <w:tcW w:w="1245" w:type="dxa"/>
            <w:tcBorders>
              <w:top w:val="single" w:color="000000" w:sz="4" w:space="0"/>
              <w:left w:val="nil"/>
              <w:bottom w:val="single" w:color="000000" w:sz="4" w:space="0"/>
              <w:right w:val="single" w:color="000000" w:sz="4" w:space="0"/>
            </w:tcBorders>
            <w:shd w:val="clear" w:color="auto" w:fill="auto"/>
            <w:tcMar>
              <w:top w:w="15" w:type="dxa"/>
              <w:bottom w:w="15" w:type="dxa"/>
            </w:tcMar>
            <w:vAlign w:val="center"/>
          </w:tcPr>
          <w:p>
            <w:pPr>
              <w:widowControl/>
              <w:autoSpaceDE w:val="0"/>
              <w:spacing w:line="240" w:lineRule="exact"/>
              <w:jc w:val="left"/>
              <w:rPr>
                <w:rFonts w:ascii="仿宋" w:eastAsia="仿宋"/>
                <w:kern w:val="0"/>
                <w:szCs w:val="21"/>
              </w:rPr>
            </w:pPr>
          </w:p>
        </w:tc>
      </w:tr>
    </w:tbl>
    <w:p>
      <w:pPr>
        <w:spacing w:line="40" w:lineRule="atLeast"/>
        <w:ind w:firstLine="371" w:firstLineChars="177"/>
        <w:rPr>
          <w:rFonts w:ascii="仿宋" w:eastAsia="仿宋"/>
          <w:kern w:val="0"/>
          <w:szCs w:val="21"/>
        </w:rPr>
        <w:sectPr>
          <w:pgSz w:w="16838" w:h="11906" w:orient="landscape"/>
          <w:pgMar w:top="1531" w:right="2041" w:bottom="1531" w:left="2041" w:header="1701" w:footer="992" w:gutter="0"/>
          <w:pgNumType w:fmt="decimal"/>
          <w:cols w:space="720" w:num="1"/>
          <w:titlePg/>
          <w:docGrid w:type="lines" w:linePitch="579" w:charSpace="-849"/>
        </w:sectPr>
      </w:pPr>
      <w:r>
        <w:rPr>
          <w:rFonts w:hint="eastAsia" w:ascii="仿宋" w:eastAsia="仿宋"/>
          <w:kern w:val="0"/>
          <w:szCs w:val="21"/>
        </w:rPr>
        <w:t>注：本表由地市交通运输(港口）行政主管部门、自治区</w:t>
      </w:r>
      <w:r>
        <w:rPr>
          <w:rFonts w:hint="eastAsia" w:ascii="仿宋" w:eastAsia="仿宋"/>
          <w:kern w:val="0"/>
          <w:szCs w:val="21"/>
          <w:lang w:eastAsia="zh-CN"/>
        </w:rPr>
        <w:t>港航发展中心</w:t>
      </w:r>
      <w:r>
        <w:rPr>
          <w:rFonts w:hint="eastAsia" w:ascii="仿宋" w:eastAsia="仿宋"/>
          <w:kern w:val="0"/>
          <w:szCs w:val="21"/>
        </w:rPr>
        <w:t>审核附件5后生成，并后于每季末最后一个月底前报市场信用评价领导小组办公室。</w:t>
      </w:r>
    </w:p>
    <w:p>
      <w:pPr>
        <w:pStyle w:val="11"/>
        <w:snapToGrid w:val="0"/>
        <w:spacing w:line="480" w:lineRule="exact"/>
        <w:ind w:firstLine="0"/>
        <w:rPr>
          <w:rFonts w:ascii="黑体" w:hAnsi="黑体" w:eastAsia="黑体"/>
          <w:sz w:val="56"/>
          <w:szCs w:val="32"/>
        </w:rPr>
      </w:pPr>
      <w:r>
        <w:rPr>
          <w:rFonts w:hint="eastAsia" w:ascii="黑体" w:hAnsi="黑体" w:eastAsia="黑体"/>
          <w:sz w:val="32"/>
          <w:szCs w:val="32"/>
        </w:rPr>
        <w:t>附件7</w:t>
      </w:r>
    </w:p>
    <w:p>
      <w:pPr>
        <w:widowControl/>
        <w:snapToGrid w:val="0"/>
        <w:spacing w:line="480" w:lineRule="exact"/>
        <w:jc w:val="center"/>
        <w:rPr>
          <w:rFonts w:hint="eastAsia" w:ascii="创艺简标宋" w:eastAsia="创艺简标宋"/>
          <w:kern w:val="0"/>
          <w:sz w:val="44"/>
          <w:szCs w:val="44"/>
        </w:rPr>
      </w:pPr>
      <w:r>
        <w:rPr>
          <w:rFonts w:hint="eastAsia" w:ascii="方正小标宋简体" w:hAnsi="方正小标宋简体" w:eastAsia="方正小标宋简体" w:cs="方正小标宋简体"/>
          <w:kern w:val="0"/>
          <w:sz w:val="44"/>
          <w:szCs w:val="44"/>
        </w:rPr>
        <w:t>水运工程设计和施工企业基本情况表</w:t>
      </w:r>
    </w:p>
    <w:p>
      <w:pPr>
        <w:widowControl/>
        <w:snapToGrid w:val="0"/>
        <w:spacing w:line="460" w:lineRule="exact"/>
        <w:jc w:val="center"/>
        <w:rPr>
          <w:rFonts w:hint="eastAsia" w:ascii="创艺简标宋" w:eastAsia="创艺简标宋"/>
          <w:bCs/>
          <w:kern w:val="0"/>
          <w:sz w:val="44"/>
          <w:szCs w:val="44"/>
        </w:rPr>
      </w:pPr>
    </w:p>
    <w:tbl>
      <w:tblPr>
        <w:tblStyle w:val="6"/>
        <w:tblW w:w="10586" w:type="dxa"/>
        <w:jc w:val="center"/>
        <w:tblLayout w:type="fixed"/>
        <w:tblCellMar>
          <w:top w:w="0" w:type="dxa"/>
          <w:left w:w="0" w:type="dxa"/>
          <w:bottom w:w="0" w:type="dxa"/>
          <w:right w:w="0" w:type="dxa"/>
        </w:tblCellMar>
      </w:tblPr>
      <w:tblGrid>
        <w:gridCol w:w="1009"/>
        <w:gridCol w:w="673"/>
        <w:gridCol w:w="498"/>
        <w:gridCol w:w="792"/>
        <w:gridCol w:w="1075"/>
        <w:gridCol w:w="418"/>
        <w:gridCol w:w="1935"/>
        <w:gridCol w:w="199"/>
        <w:gridCol w:w="185"/>
        <w:gridCol w:w="1253"/>
        <w:gridCol w:w="356"/>
        <w:gridCol w:w="1049"/>
        <w:gridCol w:w="1144"/>
      </w:tblGrid>
      <w:tr>
        <w:tblPrEx>
          <w:tblCellMar>
            <w:top w:w="0" w:type="dxa"/>
            <w:left w:w="0" w:type="dxa"/>
            <w:bottom w:w="0" w:type="dxa"/>
            <w:right w:w="0" w:type="dxa"/>
          </w:tblCellMar>
        </w:tblPrEx>
        <w:trPr>
          <w:trHeight w:val="500" w:hRule="atLeast"/>
          <w:jc w:val="center"/>
        </w:trPr>
        <w:tc>
          <w:tcPr>
            <w:tcW w:w="1682" w:type="dxa"/>
            <w:gridSpan w:val="2"/>
            <w:tcBorders>
              <w:top w:val="single" w:color="000000" w:sz="2" w:space="0"/>
              <w:left w:val="single" w:color="000000" w:sz="2" w:space="0"/>
              <w:bottom w:val="single" w:color="000000" w:sz="2" w:space="0"/>
              <w:right w:val="single" w:color="000000" w:sz="2" w:space="0"/>
            </w:tcBorders>
            <w:vAlign w:val="center"/>
          </w:tcPr>
          <w:p>
            <w:pPr>
              <w:widowControl/>
              <w:snapToGrid w:val="0"/>
              <w:spacing w:line="0" w:lineRule="atLeast"/>
              <w:ind w:left="17" w:right="8"/>
              <w:jc w:val="center"/>
              <w:rPr>
                <w:rFonts w:ascii="仿宋" w:eastAsia="仿宋"/>
                <w:kern w:val="0"/>
                <w:sz w:val="24"/>
                <w:szCs w:val="24"/>
              </w:rPr>
            </w:pPr>
            <w:r>
              <w:rPr>
                <w:rFonts w:hint="eastAsia" w:ascii="仿宋" w:eastAsia="仿宋"/>
                <w:kern w:val="0"/>
                <w:sz w:val="24"/>
                <w:szCs w:val="24"/>
              </w:rPr>
              <w:t>企业名称</w:t>
            </w:r>
          </w:p>
        </w:tc>
        <w:tc>
          <w:tcPr>
            <w:tcW w:w="4718" w:type="dxa"/>
            <w:gridSpan w:val="5"/>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993" w:type="dxa"/>
            <w:gridSpan w:val="4"/>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组织机构代码</w:t>
            </w:r>
          </w:p>
        </w:tc>
        <w:tc>
          <w:tcPr>
            <w:tcW w:w="2193"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450" w:hRule="atLeast"/>
          <w:jc w:val="center"/>
        </w:trPr>
        <w:tc>
          <w:tcPr>
            <w:tcW w:w="1682" w:type="dxa"/>
            <w:gridSpan w:val="2"/>
            <w:tcBorders>
              <w:top w:val="single" w:color="000000" w:sz="2" w:space="0"/>
              <w:left w:val="single" w:color="000000" w:sz="2" w:space="0"/>
              <w:bottom w:val="single" w:color="000000" w:sz="2" w:space="0"/>
              <w:right w:val="single" w:color="000000" w:sz="2" w:space="0"/>
            </w:tcBorders>
            <w:vAlign w:val="center"/>
          </w:tcPr>
          <w:p>
            <w:pPr>
              <w:widowControl/>
              <w:snapToGrid w:val="0"/>
              <w:spacing w:line="0" w:lineRule="atLeast"/>
              <w:ind w:left="17" w:right="8"/>
              <w:jc w:val="center"/>
              <w:rPr>
                <w:rFonts w:ascii="仿宋" w:eastAsia="仿宋"/>
                <w:kern w:val="0"/>
                <w:sz w:val="24"/>
                <w:szCs w:val="24"/>
              </w:rPr>
            </w:pPr>
            <w:r>
              <w:rPr>
                <w:rFonts w:hint="eastAsia" w:ascii="仿宋" w:eastAsia="仿宋"/>
                <w:kern w:val="0"/>
                <w:sz w:val="24"/>
                <w:szCs w:val="24"/>
              </w:rPr>
              <w:t>企业地址</w:t>
            </w:r>
          </w:p>
        </w:tc>
        <w:tc>
          <w:tcPr>
            <w:tcW w:w="6711" w:type="dxa"/>
            <w:gridSpan w:val="9"/>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049" w:type="dxa"/>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联系电话</w:t>
            </w:r>
          </w:p>
        </w:tc>
        <w:tc>
          <w:tcPr>
            <w:tcW w:w="1144" w:type="dxa"/>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424" w:hRule="atLeast"/>
          <w:jc w:val="center"/>
        </w:trPr>
        <w:tc>
          <w:tcPr>
            <w:tcW w:w="1682" w:type="dxa"/>
            <w:gridSpan w:val="2"/>
            <w:tcBorders>
              <w:top w:val="single" w:color="000000" w:sz="2" w:space="0"/>
              <w:left w:val="single" w:color="000000" w:sz="2" w:space="0"/>
              <w:bottom w:val="single" w:color="000000" w:sz="2" w:space="0"/>
              <w:right w:val="single" w:color="000000" w:sz="2" w:space="0"/>
            </w:tcBorders>
            <w:vAlign w:val="center"/>
          </w:tcPr>
          <w:p>
            <w:pPr>
              <w:widowControl/>
              <w:snapToGrid w:val="0"/>
              <w:spacing w:line="0" w:lineRule="atLeast"/>
              <w:ind w:left="17" w:right="8"/>
              <w:jc w:val="center"/>
              <w:rPr>
                <w:rFonts w:ascii="仿宋" w:eastAsia="仿宋"/>
                <w:kern w:val="0"/>
                <w:sz w:val="24"/>
                <w:szCs w:val="24"/>
              </w:rPr>
            </w:pPr>
            <w:r>
              <w:rPr>
                <w:rFonts w:hint="eastAsia" w:ascii="仿宋" w:eastAsia="仿宋"/>
                <w:kern w:val="0"/>
                <w:sz w:val="24"/>
                <w:szCs w:val="24"/>
              </w:rPr>
              <w:t>企业性质</w:t>
            </w:r>
          </w:p>
        </w:tc>
        <w:tc>
          <w:tcPr>
            <w:tcW w:w="1290"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493"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主管部门</w:t>
            </w:r>
          </w:p>
        </w:tc>
        <w:tc>
          <w:tcPr>
            <w:tcW w:w="6121" w:type="dxa"/>
            <w:gridSpan w:val="7"/>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617" w:hRule="atLeast"/>
          <w:jc w:val="center"/>
        </w:trPr>
        <w:tc>
          <w:tcPr>
            <w:tcW w:w="1682" w:type="dxa"/>
            <w:gridSpan w:val="2"/>
            <w:tcBorders>
              <w:top w:val="single" w:color="000000" w:sz="2" w:space="0"/>
              <w:left w:val="single" w:color="000000" w:sz="2" w:space="0"/>
              <w:bottom w:val="single" w:color="000000" w:sz="2" w:space="0"/>
              <w:right w:val="single" w:color="000000" w:sz="2" w:space="0"/>
            </w:tcBorders>
            <w:vAlign w:val="center"/>
          </w:tcPr>
          <w:p>
            <w:pPr>
              <w:widowControl/>
              <w:snapToGrid w:val="0"/>
              <w:spacing w:line="0" w:lineRule="atLeast"/>
              <w:ind w:left="17" w:right="8"/>
              <w:jc w:val="center"/>
              <w:rPr>
                <w:rFonts w:ascii="仿宋" w:eastAsia="仿宋"/>
                <w:kern w:val="0"/>
                <w:sz w:val="24"/>
                <w:szCs w:val="24"/>
              </w:rPr>
            </w:pPr>
            <w:r>
              <w:rPr>
                <w:rFonts w:hint="eastAsia" w:ascii="仿宋" w:eastAsia="仿宋"/>
                <w:kern w:val="0"/>
                <w:sz w:val="24"/>
                <w:szCs w:val="24"/>
              </w:rPr>
              <w:t>法人代表</w:t>
            </w:r>
          </w:p>
        </w:tc>
        <w:tc>
          <w:tcPr>
            <w:tcW w:w="1290"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493"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职    称</w:t>
            </w:r>
          </w:p>
        </w:tc>
        <w:tc>
          <w:tcPr>
            <w:tcW w:w="2134"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438"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职称证编号</w:t>
            </w:r>
          </w:p>
        </w:tc>
        <w:tc>
          <w:tcPr>
            <w:tcW w:w="2549" w:type="dxa"/>
            <w:gridSpan w:val="3"/>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611" w:hRule="atLeast"/>
          <w:jc w:val="center"/>
        </w:trPr>
        <w:tc>
          <w:tcPr>
            <w:tcW w:w="1682" w:type="dxa"/>
            <w:gridSpan w:val="2"/>
            <w:tcBorders>
              <w:top w:val="single" w:color="000000" w:sz="2" w:space="0"/>
              <w:left w:val="single" w:color="000000" w:sz="2" w:space="0"/>
              <w:bottom w:val="single" w:color="000000" w:sz="2" w:space="0"/>
              <w:right w:val="single" w:color="000000" w:sz="2" w:space="0"/>
            </w:tcBorders>
            <w:vAlign w:val="center"/>
          </w:tcPr>
          <w:p>
            <w:pPr>
              <w:widowControl/>
              <w:snapToGrid w:val="0"/>
              <w:spacing w:line="0" w:lineRule="atLeast"/>
              <w:ind w:left="17" w:right="8"/>
              <w:jc w:val="center"/>
              <w:rPr>
                <w:rFonts w:ascii="仿宋" w:eastAsia="仿宋"/>
                <w:kern w:val="0"/>
                <w:sz w:val="24"/>
                <w:szCs w:val="24"/>
              </w:rPr>
            </w:pPr>
            <w:r>
              <w:rPr>
                <w:rFonts w:hint="eastAsia" w:ascii="仿宋" w:eastAsia="仿宋"/>
                <w:kern w:val="0"/>
                <w:sz w:val="24"/>
                <w:szCs w:val="24"/>
              </w:rPr>
              <w:t>行政负责人</w:t>
            </w:r>
          </w:p>
        </w:tc>
        <w:tc>
          <w:tcPr>
            <w:tcW w:w="1290"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493"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职    称</w:t>
            </w:r>
          </w:p>
        </w:tc>
        <w:tc>
          <w:tcPr>
            <w:tcW w:w="2134"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438"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职称证编号</w:t>
            </w:r>
          </w:p>
        </w:tc>
        <w:tc>
          <w:tcPr>
            <w:tcW w:w="2549" w:type="dxa"/>
            <w:gridSpan w:val="3"/>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619" w:hRule="atLeast"/>
          <w:jc w:val="center"/>
        </w:trPr>
        <w:tc>
          <w:tcPr>
            <w:tcW w:w="1682" w:type="dxa"/>
            <w:gridSpan w:val="2"/>
            <w:tcBorders>
              <w:top w:val="single" w:color="000000" w:sz="2" w:space="0"/>
              <w:left w:val="single" w:color="000000" w:sz="2" w:space="0"/>
              <w:bottom w:val="single" w:color="000000" w:sz="2" w:space="0"/>
              <w:right w:val="single" w:color="000000" w:sz="2" w:space="0"/>
            </w:tcBorders>
            <w:vAlign w:val="center"/>
          </w:tcPr>
          <w:p>
            <w:pPr>
              <w:widowControl/>
              <w:snapToGrid w:val="0"/>
              <w:spacing w:line="0" w:lineRule="atLeast"/>
              <w:ind w:left="17" w:right="8"/>
              <w:jc w:val="center"/>
              <w:rPr>
                <w:rFonts w:ascii="仿宋" w:eastAsia="仿宋"/>
                <w:kern w:val="0"/>
                <w:sz w:val="24"/>
                <w:szCs w:val="24"/>
              </w:rPr>
            </w:pPr>
            <w:r>
              <w:rPr>
                <w:rFonts w:hint="eastAsia" w:ascii="仿宋" w:eastAsia="仿宋"/>
                <w:kern w:val="0"/>
                <w:sz w:val="24"/>
                <w:szCs w:val="24"/>
              </w:rPr>
              <w:t>技术负责人</w:t>
            </w:r>
          </w:p>
        </w:tc>
        <w:tc>
          <w:tcPr>
            <w:tcW w:w="1290"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493"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职    称</w:t>
            </w:r>
          </w:p>
        </w:tc>
        <w:tc>
          <w:tcPr>
            <w:tcW w:w="2134"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438"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职称证编号</w:t>
            </w:r>
          </w:p>
        </w:tc>
        <w:tc>
          <w:tcPr>
            <w:tcW w:w="2549" w:type="dxa"/>
            <w:gridSpan w:val="3"/>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613" w:hRule="atLeast"/>
          <w:jc w:val="center"/>
        </w:trPr>
        <w:tc>
          <w:tcPr>
            <w:tcW w:w="1009" w:type="dxa"/>
            <w:vMerge w:val="restart"/>
            <w:tcBorders>
              <w:top w:val="nil"/>
              <w:left w:val="single" w:color="000000" w:sz="2" w:space="0"/>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企业法人</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营业执照</w:t>
            </w:r>
          </w:p>
        </w:tc>
        <w:tc>
          <w:tcPr>
            <w:tcW w:w="1963" w:type="dxa"/>
            <w:gridSpan w:val="3"/>
            <w:tcBorders>
              <w:top w:val="single" w:color="000000" w:sz="2" w:space="0"/>
              <w:left w:val="nil"/>
              <w:bottom w:val="single" w:color="000000" w:sz="2" w:space="0"/>
              <w:right w:val="single" w:color="000000" w:sz="2" w:space="0"/>
            </w:tcBorders>
            <w:vAlign w:val="center"/>
          </w:tcPr>
          <w:p>
            <w:pPr>
              <w:widowControl/>
              <w:snapToGrid w:val="0"/>
              <w:spacing w:line="0" w:lineRule="atLeast"/>
              <w:ind w:left="27" w:right="-160"/>
              <w:jc w:val="center"/>
              <w:rPr>
                <w:rFonts w:ascii="仿宋" w:eastAsia="仿宋"/>
                <w:kern w:val="0"/>
                <w:sz w:val="24"/>
                <w:szCs w:val="24"/>
              </w:rPr>
            </w:pPr>
            <w:r>
              <w:rPr>
                <w:rFonts w:hint="eastAsia" w:ascii="仿宋" w:eastAsia="仿宋"/>
                <w:kern w:val="0"/>
                <w:sz w:val="24"/>
                <w:szCs w:val="24"/>
              </w:rPr>
              <w:t>营业执照注册号</w:t>
            </w:r>
          </w:p>
        </w:tc>
        <w:tc>
          <w:tcPr>
            <w:tcW w:w="5065" w:type="dxa"/>
            <w:gridSpan w:val="6"/>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405"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发证日期</w:t>
            </w:r>
          </w:p>
        </w:tc>
        <w:tc>
          <w:tcPr>
            <w:tcW w:w="1144" w:type="dxa"/>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510" w:hRule="atLeast"/>
          <w:jc w:val="center"/>
        </w:trPr>
        <w:tc>
          <w:tcPr>
            <w:tcW w:w="1009" w:type="dxa"/>
            <w:vMerge w:val="continue"/>
            <w:tcBorders>
              <w:top w:val="nil"/>
              <w:left w:val="single" w:color="000000" w:sz="2" w:space="0"/>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963" w:type="dxa"/>
            <w:gridSpan w:val="3"/>
            <w:tcBorders>
              <w:top w:val="single" w:color="000000" w:sz="2" w:space="0"/>
              <w:left w:val="nil"/>
              <w:bottom w:val="single" w:color="000000" w:sz="2" w:space="0"/>
              <w:right w:val="single" w:color="000000" w:sz="2" w:space="0"/>
            </w:tcBorders>
            <w:vAlign w:val="center"/>
          </w:tcPr>
          <w:p>
            <w:pPr>
              <w:widowControl/>
              <w:snapToGrid w:val="0"/>
              <w:spacing w:line="0" w:lineRule="atLeast"/>
              <w:ind w:left="27" w:right="-160"/>
              <w:jc w:val="center"/>
              <w:rPr>
                <w:rFonts w:ascii="仿宋" w:eastAsia="仿宋"/>
                <w:kern w:val="0"/>
                <w:sz w:val="24"/>
                <w:szCs w:val="24"/>
              </w:rPr>
            </w:pPr>
            <w:r>
              <w:rPr>
                <w:rFonts w:hint="eastAsia" w:ascii="仿宋" w:eastAsia="仿宋"/>
                <w:kern w:val="0"/>
                <w:sz w:val="24"/>
                <w:szCs w:val="24"/>
              </w:rPr>
              <w:t>年检情况</w:t>
            </w:r>
          </w:p>
        </w:tc>
        <w:tc>
          <w:tcPr>
            <w:tcW w:w="1493" w:type="dxa"/>
            <w:gridSpan w:val="2"/>
            <w:tcBorders>
              <w:top w:val="single" w:color="000000" w:sz="2" w:space="0"/>
              <w:left w:val="nil"/>
              <w:bottom w:val="single" w:color="000000" w:sz="2" w:space="0"/>
              <w:right w:val="single" w:color="000000" w:sz="4" w:space="0"/>
            </w:tcBorders>
            <w:vAlign w:val="center"/>
          </w:tcPr>
          <w:p>
            <w:pPr>
              <w:widowControl/>
              <w:snapToGrid w:val="0"/>
              <w:spacing w:line="0" w:lineRule="atLeast"/>
              <w:jc w:val="center"/>
              <w:rPr>
                <w:rFonts w:ascii="仿宋" w:eastAsia="仿宋"/>
                <w:kern w:val="0"/>
                <w:sz w:val="24"/>
                <w:szCs w:val="24"/>
              </w:rPr>
            </w:pPr>
          </w:p>
        </w:tc>
        <w:tc>
          <w:tcPr>
            <w:tcW w:w="2134"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发证机关</w:t>
            </w:r>
          </w:p>
        </w:tc>
        <w:tc>
          <w:tcPr>
            <w:tcW w:w="3987" w:type="dxa"/>
            <w:gridSpan w:val="5"/>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585" w:hRule="atLeast"/>
          <w:jc w:val="center"/>
        </w:trPr>
        <w:tc>
          <w:tcPr>
            <w:tcW w:w="1009" w:type="dxa"/>
            <w:vMerge w:val="continue"/>
            <w:tcBorders>
              <w:top w:val="nil"/>
              <w:left w:val="single" w:color="000000" w:sz="2" w:space="0"/>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963" w:type="dxa"/>
            <w:gridSpan w:val="3"/>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开户银行及帐号</w:t>
            </w:r>
          </w:p>
        </w:tc>
        <w:tc>
          <w:tcPr>
            <w:tcW w:w="3627" w:type="dxa"/>
            <w:gridSpan w:val="4"/>
            <w:tcBorders>
              <w:top w:val="single" w:color="000000" w:sz="2" w:space="0"/>
              <w:left w:val="nil"/>
              <w:bottom w:val="single" w:color="000000" w:sz="2" w:space="0"/>
              <w:right w:val="single" w:color="000000" w:sz="4" w:space="0"/>
            </w:tcBorders>
            <w:vAlign w:val="center"/>
          </w:tcPr>
          <w:p>
            <w:pPr>
              <w:widowControl/>
              <w:snapToGrid w:val="0"/>
              <w:spacing w:line="0" w:lineRule="atLeast"/>
              <w:jc w:val="center"/>
              <w:rPr>
                <w:rFonts w:ascii="仿宋" w:eastAsia="仿宋"/>
                <w:kern w:val="0"/>
                <w:sz w:val="24"/>
                <w:szCs w:val="24"/>
              </w:rPr>
            </w:pPr>
          </w:p>
        </w:tc>
        <w:tc>
          <w:tcPr>
            <w:tcW w:w="1438" w:type="dxa"/>
            <w:gridSpan w:val="2"/>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注册资金</w:t>
            </w:r>
          </w:p>
        </w:tc>
        <w:tc>
          <w:tcPr>
            <w:tcW w:w="2549" w:type="dxa"/>
            <w:gridSpan w:val="3"/>
            <w:tcBorders>
              <w:top w:val="single" w:color="000000" w:sz="2" w:space="0"/>
              <w:left w:val="single" w:color="000000" w:sz="4" w:space="0"/>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552" w:hRule="atLeast"/>
          <w:jc w:val="center"/>
        </w:trPr>
        <w:tc>
          <w:tcPr>
            <w:tcW w:w="1009" w:type="dxa"/>
            <w:vMerge w:val="restart"/>
            <w:tcBorders>
              <w:top w:val="nil"/>
              <w:left w:val="single" w:color="000000" w:sz="2" w:space="0"/>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企业资质</w:t>
            </w:r>
          </w:p>
        </w:tc>
        <w:tc>
          <w:tcPr>
            <w:tcW w:w="1963" w:type="dxa"/>
            <w:gridSpan w:val="3"/>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资质等级</w:t>
            </w:r>
          </w:p>
        </w:tc>
        <w:tc>
          <w:tcPr>
            <w:tcW w:w="5421" w:type="dxa"/>
            <w:gridSpan w:val="7"/>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049" w:type="dxa"/>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发证日期</w:t>
            </w:r>
          </w:p>
        </w:tc>
        <w:tc>
          <w:tcPr>
            <w:tcW w:w="1144" w:type="dxa"/>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524" w:hRule="atLeast"/>
          <w:jc w:val="center"/>
        </w:trPr>
        <w:tc>
          <w:tcPr>
            <w:tcW w:w="1009" w:type="dxa"/>
            <w:vMerge w:val="continue"/>
            <w:tcBorders>
              <w:top w:val="nil"/>
              <w:left w:val="single" w:color="000000" w:sz="2" w:space="0"/>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963" w:type="dxa"/>
            <w:gridSpan w:val="3"/>
            <w:tcBorders>
              <w:top w:val="single" w:color="000000" w:sz="2" w:space="0"/>
              <w:left w:val="nil"/>
              <w:bottom w:val="single" w:color="000000" w:sz="2" w:space="0"/>
              <w:right w:val="single" w:color="000000" w:sz="4" w:space="0"/>
            </w:tcBorders>
            <w:vAlign w:val="center"/>
          </w:tcPr>
          <w:p>
            <w:pPr>
              <w:widowControl/>
              <w:snapToGrid w:val="0"/>
              <w:spacing w:line="0" w:lineRule="atLeast"/>
              <w:ind w:firstLine="27"/>
              <w:jc w:val="center"/>
              <w:rPr>
                <w:rFonts w:ascii="仿宋" w:eastAsia="仿宋"/>
                <w:kern w:val="0"/>
                <w:sz w:val="24"/>
                <w:szCs w:val="24"/>
              </w:rPr>
            </w:pPr>
            <w:r>
              <w:rPr>
                <w:rFonts w:hint="eastAsia" w:ascii="仿宋" w:eastAsia="仿宋"/>
                <w:kern w:val="0"/>
                <w:sz w:val="24"/>
                <w:szCs w:val="24"/>
              </w:rPr>
              <w:t>资质证书编号</w:t>
            </w:r>
          </w:p>
        </w:tc>
        <w:tc>
          <w:tcPr>
            <w:tcW w:w="3812" w:type="dxa"/>
            <w:gridSpan w:val="5"/>
            <w:tcBorders>
              <w:top w:val="single" w:color="000000" w:sz="2" w:space="0"/>
              <w:left w:val="nil"/>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c>
          <w:tcPr>
            <w:tcW w:w="1609" w:type="dxa"/>
            <w:gridSpan w:val="2"/>
            <w:tcBorders>
              <w:top w:val="single" w:color="000000" w:sz="2" w:space="0"/>
              <w:left w:val="single" w:color="000000" w:sz="4" w:space="0"/>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发证机关</w:t>
            </w:r>
          </w:p>
        </w:tc>
        <w:tc>
          <w:tcPr>
            <w:tcW w:w="2193" w:type="dxa"/>
            <w:gridSpan w:val="2"/>
            <w:tcBorders>
              <w:top w:val="single" w:color="000000" w:sz="2" w:space="0"/>
              <w:left w:val="single" w:color="000000" w:sz="4" w:space="0"/>
              <w:bottom w:val="single" w:color="000000" w:sz="2"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1069" w:hRule="atLeast"/>
          <w:jc w:val="center"/>
        </w:trPr>
        <w:tc>
          <w:tcPr>
            <w:tcW w:w="4047" w:type="dxa"/>
            <w:gridSpan w:val="5"/>
            <w:tcBorders>
              <w:top w:val="single" w:color="000000" w:sz="2" w:space="0"/>
              <w:left w:val="single" w:color="000000" w:sz="2" w:space="0"/>
              <w:bottom w:val="single" w:color="000000" w:sz="2" w:space="0"/>
              <w:right w:val="single" w:color="000000" w:sz="4"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注册地省级交通运输主管部门的信用评价等级（应提供省级交通运输主管部门公布信用评价等级的文件）</w:t>
            </w:r>
          </w:p>
        </w:tc>
        <w:tc>
          <w:tcPr>
            <w:tcW w:w="2353" w:type="dxa"/>
            <w:gridSpan w:val="2"/>
            <w:tcBorders>
              <w:top w:val="single" w:color="000000" w:sz="2" w:space="0"/>
              <w:left w:val="single" w:color="000000" w:sz="2" w:space="0"/>
              <w:bottom w:val="single" w:color="000000" w:sz="2" w:space="0"/>
              <w:right w:val="single" w:color="000000" w:sz="4" w:space="0"/>
            </w:tcBorders>
            <w:vAlign w:val="center"/>
          </w:tcPr>
          <w:p>
            <w:pPr>
              <w:widowControl/>
              <w:snapToGrid w:val="0"/>
              <w:spacing w:line="0" w:lineRule="atLeast"/>
              <w:ind w:right="480"/>
              <w:jc w:val="center"/>
              <w:rPr>
                <w:rFonts w:ascii="仿宋" w:eastAsia="仿宋"/>
                <w:kern w:val="0"/>
                <w:sz w:val="24"/>
                <w:szCs w:val="24"/>
              </w:rPr>
            </w:pPr>
          </w:p>
        </w:tc>
        <w:tc>
          <w:tcPr>
            <w:tcW w:w="1993" w:type="dxa"/>
            <w:gridSpan w:val="4"/>
            <w:tcBorders>
              <w:top w:val="single" w:color="000000" w:sz="4" w:space="0"/>
              <w:left w:val="nil"/>
              <w:bottom w:val="single" w:color="000000" w:sz="4"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企业上级主管部门</w:t>
            </w:r>
          </w:p>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审核意见</w:t>
            </w:r>
          </w:p>
        </w:tc>
        <w:tc>
          <w:tcPr>
            <w:tcW w:w="2193" w:type="dxa"/>
            <w:gridSpan w:val="2"/>
            <w:tcBorders>
              <w:top w:val="single" w:color="000000" w:sz="4" w:space="0"/>
              <w:left w:val="single" w:color="000000" w:sz="4" w:space="0"/>
              <w:bottom w:val="single" w:color="000000" w:sz="4"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933" w:hRule="atLeast"/>
          <w:jc w:val="center"/>
        </w:trPr>
        <w:tc>
          <w:tcPr>
            <w:tcW w:w="4047" w:type="dxa"/>
            <w:gridSpan w:val="5"/>
            <w:tcBorders>
              <w:top w:val="single" w:color="000000" w:sz="2" w:space="0"/>
              <w:left w:val="single" w:color="000000" w:sz="2" w:space="0"/>
              <w:bottom w:val="single" w:color="000000" w:sz="4" w:space="0"/>
              <w:right w:val="single" w:color="000000" w:sz="4"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全国汇总信用评价结果（应提供交通运输部公布信用评价等级的文件）</w:t>
            </w:r>
          </w:p>
        </w:tc>
        <w:tc>
          <w:tcPr>
            <w:tcW w:w="2353" w:type="dxa"/>
            <w:gridSpan w:val="2"/>
            <w:tcBorders>
              <w:top w:val="single" w:color="000000" w:sz="2" w:space="0"/>
              <w:left w:val="single" w:color="000000" w:sz="2" w:space="0"/>
              <w:bottom w:val="single" w:color="000000" w:sz="4" w:space="0"/>
              <w:right w:val="single" w:color="000000" w:sz="4" w:space="0"/>
            </w:tcBorders>
            <w:vAlign w:val="center"/>
          </w:tcPr>
          <w:p>
            <w:pPr>
              <w:widowControl/>
              <w:snapToGrid w:val="0"/>
              <w:spacing w:line="0" w:lineRule="atLeast"/>
              <w:ind w:right="480"/>
              <w:jc w:val="center"/>
              <w:rPr>
                <w:rFonts w:ascii="仿宋" w:eastAsia="仿宋"/>
                <w:kern w:val="0"/>
                <w:sz w:val="24"/>
                <w:szCs w:val="24"/>
              </w:rPr>
            </w:pPr>
          </w:p>
        </w:tc>
        <w:tc>
          <w:tcPr>
            <w:tcW w:w="1993" w:type="dxa"/>
            <w:gridSpan w:val="4"/>
            <w:tcBorders>
              <w:top w:val="single" w:color="000000" w:sz="4" w:space="0"/>
              <w:left w:val="nil"/>
              <w:bottom w:val="single" w:color="000000" w:sz="4" w:space="0"/>
              <w:right w:val="single" w:color="000000" w:sz="2"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初次进入广西企业信用评价等级</w:t>
            </w:r>
          </w:p>
        </w:tc>
        <w:tc>
          <w:tcPr>
            <w:tcW w:w="2193" w:type="dxa"/>
            <w:gridSpan w:val="2"/>
            <w:tcBorders>
              <w:top w:val="single" w:color="000000" w:sz="4" w:space="0"/>
              <w:left w:val="single" w:color="000000" w:sz="4" w:space="0"/>
              <w:bottom w:val="single" w:color="000000" w:sz="4" w:space="0"/>
              <w:right w:val="single" w:color="000000" w:sz="2" w:space="0"/>
            </w:tcBorders>
            <w:vAlign w:val="center"/>
          </w:tcPr>
          <w:p>
            <w:pPr>
              <w:widowControl/>
              <w:snapToGrid w:val="0"/>
              <w:spacing w:line="0" w:lineRule="atLeast"/>
              <w:jc w:val="center"/>
              <w:rPr>
                <w:rFonts w:ascii="仿宋" w:eastAsia="仿宋"/>
                <w:kern w:val="0"/>
                <w:sz w:val="24"/>
                <w:szCs w:val="24"/>
              </w:rPr>
            </w:pPr>
          </w:p>
        </w:tc>
      </w:tr>
      <w:tr>
        <w:tblPrEx>
          <w:tblCellMar>
            <w:top w:w="0" w:type="dxa"/>
            <w:left w:w="0" w:type="dxa"/>
            <w:bottom w:w="0" w:type="dxa"/>
            <w:right w:w="0" w:type="dxa"/>
          </w:tblCellMar>
        </w:tblPrEx>
        <w:trPr>
          <w:trHeight w:val="787" w:hRule="atLeast"/>
          <w:jc w:val="center"/>
        </w:trPr>
        <w:tc>
          <w:tcPr>
            <w:tcW w:w="218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line="0" w:lineRule="atLeast"/>
              <w:ind w:right="-5"/>
              <w:jc w:val="center"/>
              <w:rPr>
                <w:rFonts w:ascii="仿宋" w:eastAsia="仿宋"/>
                <w:kern w:val="0"/>
                <w:sz w:val="24"/>
                <w:szCs w:val="24"/>
              </w:rPr>
            </w:pPr>
            <w:r>
              <w:rPr>
                <w:rFonts w:hint="eastAsia" w:ascii="仿宋" w:eastAsia="仿宋"/>
                <w:kern w:val="0"/>
                <w:sz w:val="24"/>
                <w:szCs w:val="24"/>
              </w:rPr>
              <w:t>自治区港航</w:t>
            </w:r>
          </w:p>
          <w:p>
            <w:pPr>
              <w:widowControl/>
              <w:snapToGrid w:val="0"/>
              <w:spacing w:line="0" w:lineRule="atLeast"/>
              <w:ind w:right="-5"/>
              <w:jc w:val="center"/>
              <w:rPr>
                <w:rFonts w:ascii="仿宋" w:eastAsia="仿宋"/>
                <w:kern w:val="0"/>
                <w:sz w:val="24"/>
                <w:szCs w:val="24"/>
              </w:rPr>
            </w:pPr>
            <w:r>
              <w:rPr>
                <w:rFonts w:hint="eastAsia" w:ascii="仿宋" w:eastAsia="仿宋"/>
                <w:kern w:val="0"/>
                <w:sz w:val="24"/>
                <w:szCs w:val="24"/>
              </w:rPr>
              <w:t>管理部门意见</w:t>
            </w:r>
          </w:p>
        </w:tc>
        <w:tc>
          <w:tcPr>
            <w:tcW w:w="4220" w:type="dxa"/>
            <w:gridSpan w:val="4"/>
            <w:tcBorders>
              <w:top w:val="single" w:color="000000" w:sz="4" w:space="0"/>
              <w:left w:val="single" w:color="000000" w:sz="2" w:space="0"/>
              <w:bottom w:val="single" w:color="000000" w:sz="4" w:space="0"/>
              <w:right w:val="single" w:color="000000" w:sz="4" w:space="0"/>
            </w:tcBorders>
            <w:vAlign w:val="center"/>
          </w:tcPr>
          <w:p>
            <w:pPr>
              <w:widowControl/>
              <w:snapToGrid w:val="0"/>
              <w:spacing w:line="0" w:lineRule="atLeast"/>
              <w:jc w:val="center"/>
              <w:rPr>
                <w:rFonts w:ascii="仿宋" w:eastAsia="仿宋"/>
                <w:kern w:val="0"/>
                <w:sz w:val="24"/>
                <w:szCs w:val="24"/>
              </w:rPr>
            </w:pPr>
          </w:p>
          <w:p>
            <w:pPr>
              <w:widowControl/>
              <w:snapToGrid w:val="0"/>
              <w:spacing w:line="0" w:lineRule="atLeast"/>
              <w:rPr>
                <w:rFonts w:ascii="仿宋" w:eastAsia="仿宋"/>
                <w:kern w:val="0"/>
                <w:sz w:val="24"/>
                <w:szCs w:val="24"/>
              </w:rPr>
            </w:pPr>
          </w:p>
          <w:p>
            <w:pPr>
              <w:widowControl/>
              <w:snapToGrid w:val="0"/>
              <w:spacing w:line="0" w:lineRule="atLeast"/>
              <w:ind w:right="52" w:firstLine="2030" w:firstLineChars="846"/>
              <w:jc w:val="right"/>
              <w:rPr>
                <w:rFonts w:ascii="仿宋" w:eastAsia="仿宋"/>
                <w:kern w:val="0"/>
                <w:sz w:val="24"/>
                <w:szCs w:val="24"/>
              </w:rPr>
            </w:pPr>
            <w:r>
              <w:rPr>
                <w:rFonts w:hint="eastAsia" w:ascii="仿宋" w:eastAsia="仿宋"/>
                <w:kern w:val="0"/>
                <w:sz w:val="24"/>
                <w:szCs w:val="24"/>
              </w:rPr>
              <w:t>年   月   日</w:t>
            </w:r>
          </w:p>
        </w:tc>
        <w:tc>
          <w:tcPr>
            <w:tcW w:w="1993" w:type="dxa"/>
            <w:gridSpan w:val="4"/>
            <w:vMerge w:val="restart"/>
            <w:tcBorders>
              <w:top w:val="single" w:color="000000" w:sz="4" w:space="0"/>
              <w:left w:val="nil"/>
              <w:right w:val="single" w:color="000000" w:sz="2" w:space="0"/>
            </w:tcBorders>
            <w:vAlign w:val="center"/>
          </w:tcPr>
          <w:p>
            <w:pPr>
              <w:widowControl/>
              <w:snapToGrid w:val="0"/>
              <w:spacing w:line="0" w:lineRule="atLeast"/>
              <w:ind w:firstLine="6"/>
              <w:jc w:val="center"/>
              <w:rPr>
                <w:rFonts w:ascii="仿宋" w:eastAsia="仿宋"/>
                <w:kern w:val="0"/>
                <w:sz w:val="24"/>
                <w:szCs w:val="24"/>
              </w:rPr>
            </w:pPr>
            <w:r>
              <w:rPr>
                <w:rFonts w:hint="eastAsia" w:ascii="仿宋" w:eastAsia="仿宋"/>
                <w:kern w:val="0"/>
                <w:sz w:val="24"/>
                <w:szCs w:val="24"/>
              </w:rPr>
              <w:t>自治区交通运输厅</w:t>
            </w:r>
          </w:p>
          <w:p>
            <w:pPr>
              <w:widowControl/>
              <w:snapToGrid w:val="0"/>
              <w:spacing w:line="0" w:lineRule="atLeast"/>
              <w:ind w:firstLine="6"/>
              <w:jc w:val="center"/>
              <w:rPr>
                <w:rFonts w:ascii="仿宋" w:eastAsia="仿宋"/>
                <w:kern w:val="0"/>
                <w:sz w:val="24"/>
                <w:szCs w:val="24"/>
              </w:rPr>
            </w:pPr>
            <w:r>
              <w:rPr>
                <w:rFonts w:hint="eastAsia" w:ascii="仿宋" w:eastAsia="仿宋"/>
                <w:kern w:val="0"/>
                <w:sz w:val="24"/>
                <w:szCs w:val="24"/>
              </w:rPr>
              <w:t>意见</w:t>
            </w:r>
          </w:p>
        </w:tc>
        <w:tc>
          <w:tcPr>
            <w:tcW w:w="2193" w:type="dxa"/>
            <w:gridSpan w:val="2"/>
            <w:vMerge w:val="restart"/>
            <w:tcBorders>
              <w:top w:val="single" w:color="000000" w:sz="4" w:space="0"/>
              <w:left w:val="nil"/>
              <w:right w:val="single" w:color="000000" w:sz="2" w:space="0"/>
            </w:tcBorders>
            <w:vAlign w:val="center"/>
          </w:tcPr>
          <w:p>
            <w:pPr>
              <w:snapToGrid w:val="0"/>
              <w:spacing w:line="0" w:lineRule="atLeast"/>
              <w:ind w:firstLine="2760"/>
              <w:jc w:val="center"/>
              <w:rPr>
                <w:rFonts w:ascii="仿宋" w:eastAsia="仿宋"/>
                <w:kern w:val="0"/>
                <w:sz w:val="24"/>
                <w:szCs w:val="24"/>
              </w:rPr>
            </w:pPr>
            <w:r>
              <w:rPr>
                <w:rFonts w:hint="eastAsia" w:ascii="仿宋" w:eastAsia="仿宋"/>
                <w:kern w:val="0"/>
                <w:sz w:val="24"/>
                <w:szCs w:val="24"/>
              </w:rPr>
              <w:t>年</w:t>
            </w:r>
          </w:p>
          <w:p>
            <w:pPr>
              <w:snapToGrid w:val="0"/>
              <w:spacing w:line="0" w:lineRule="atLeast"/>
              <w:rPr>
                <w:rFonts w:ascii="仿宋" w:eastAsia="仿宋"/>
                <w:kern w:val="0"/>
                <w:sz w:val="24"/>
                <w:szCs w:val="24"/>
              </w:rPr>
            </w:pPr>
          </w:p>
          <w:p>
            <w:pPr>
              <w:snapToGrid w:val="0"/>
              <w:spacing w:line="0" w:lineRule="atLeast"/>
              <w:jc w:val="right"/>
              <w:rPr>
                <w:rFonts w:ascii="仿宋" w:eastAsia="仿宋"/>
                <w:kern w:val="0"/>
                <w:sz w:val="24"/>
                <w:szCs w:val="24"/>
              </w:rPr>
            </w:pPr>
            <w:r>
              <w:rPr>
                <w:rFonts w:hint="eastAsia" w:ascii="仿宋" w:eastAsia="仿宋"/>
                <w:kern w:val="0"/>
                <w:sz w:val="24"/>
                <w:szCs w:val="24"/>
              </w:rPr>
              <w:t>年   月   日</w:t>
            </w:r>
          </w:p>
        </w:tc>
      </w:tr>
      <w:tr>
        <w:tblPrEx>
          <w:tblCellMar>
            <w:top w:w="0" w:type="dxa"/>
            <w:left w:w="0" w:type="dxa"/>
            <w:bottom w:w="0" w:type="dxa"/>
            <w:right w:w="0" w:type="dxa"/>
          </w:tblCellMar>
        </w:tblPrEx>
        <w:trPr>
          <w:trHeight w:val="1081" w:hRule="atLeast"/>
          <w:jc w:val="center"/>
        </w:trPr>
        <w:tc>
          <w:tcPr>
            <w:tcW w:w="218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line="0" w:lineRule="atLeast"/>
              <w:jc w:val="center"/>
              <w:rPr>
                <w:rFonts w:ascii="仿宋" w:eastAsia="仿宋"/>
                <w:kern w:val="0"/>
                <w:sz w:val="24"/>
                <w:szCs w:val="24"/>
              </w:rPr>
            </w:pPr>
            <w:r>
              <w:rPr>
                <w:rFonts w:hint="eastAsia" w:ascii="仿宋" w:eastAsia="仿宋"/>
                <w:kern w:val="0"/>
                <w:sz w:val="24"/>
                <w:szCs w:val="24"/>
              </w:rPr>
              <w:t>自治区交通质量安全监督机构意见</w:t>
            </w:r>
          </w:p>
        </w:tc>
        <w:tc>
          <w:tcPr>
            <w:tcW w:w="4220" w:type="dxa"/>
            <w:gridSpan w:val="4"/>
            <w:tcBorders>
              <w:top w:val="single" w:color="000000" w:sz="4" w:space="0"/>
              <w:left w:val="single" w:color="000000" w:sz="2" w:space="0"/>
              <w:bottom w:val="single" w:color="000000" w:sz="4" w:space="0"/>
              <w:right w:val="single" w:color="000000" w:sz="4" w:space="0"/>
            </w:tcBorders>
            <w:vAlign w:val="center"/>
          </w:tcPr>
          <w:p>
            <w:pPr>
              <w:widowControl/>
              <w:snapToGrid w:val="0"/>
              <w:spacing w:line="0" w:lineRule="atLeast"/>
              <w:jc w:val="center"/>
              <w:rPr>
                <w:rFonts w:ascii="仿宋" w:eastAsia="仿宋"/>
                <w:kern w:val="0"/>
                <w:sz w:val="24"/>
                <w:szCs w:val="24"/>
              </w:rPr>
            </w:pPr>
          </w:p>
          <w:p>
            <w:pPr>
              <w:widowControl/>
              <w:snapToGrid w:val="0"/>
              <w:spacing w:line="0" w:lineRule="atLeast"/>
              <w:jc w:val="center"/>
              <w:rPr>
                <w:rFonts w:ascii="仿宋" w:eastAsia="仿宋"/>
                <w:kern w:val="0"/>
                <w:sz w:val="24"/>
                <w:szCs w:val="24"/>
              </w:rPr>
            </w:pPr>
          </w:p>
          <w:p>
            <w:pPr>
              <w:widowControl/>
              <w:snapToGrid w:val="0"/>
              <w:spacing w:line="0" w:lineRule="atLeast"/>
              <w:jc w:val="right"/>
              <w:rPr>
                <w:rFonts w:ascii="仿宋" w:eastAsia="仿宋"/>
                <w:kern w:val="0"/>
                <w:sz w:val="24"/>
                <w:szCs w:val="24"/>
              </w:rPr>
            </w:pPr>
            <w:r>
              <w:rPr>
                <w:rFonts w:hint="eastAsia" w:ascii="仿宋" w:eastAsia="仿宋"/>
                <w:kern w:val="0"/>
                <w:sz w:val="24"/>
                <w:szCs w:val="24"/>
              </w:rPr>
              <w:t>年   月   日</w:t>
            </w:r>
          </w:p>
        </w:tc>
        <w:tc>
          <w:tcPr>
            <w:tcW w:w="1993" w:type="dxa"/>
            <w:gridSpan w:val="4"/>
            <w:vMerge w:val="continue"/>
            <w:tcBorders>
              <w:left w:val="nil"/>
              <w:bottom w:val="single" w:color="000000" w:sz="2" w:space="0"/>
              <w:right w:val="single" w:color="000000" w:sz="2" w:space="0"/>
            </w:tcBorders>
            <w:vAlign w:val="center"/>
          </w:tcPr>
          <w:p>
            <w:pPr>
              <w:widowControl/>
              <w:snapToGrid w:val="0"/>
              <w:spacing w:line="0" w:lineRule="atLeast"/>
              <w:ind w:right="482" w:firstLine="120"/>
              <w:jc w:val="center"/>
              <w:rPr>
                <w:rFonts w:ascii="仿宋" w:eastAsia="仿宋"/>
                <w:kern w:val="0"/>
                <w:sz w:val="24"/>
                <w:szCs w:val="24"/>
              </w:rPr>
            </w:pPr>
          </w:p>
        </w:tc>
        <w:tc>
          <w:tcPr>
            <w:tcW w:w="2193" w:type="dxa"/>
            <w:gridSpan w:val="2"/>
            <w:vMerge w:val="continue"/>
            <w:tcBorders>
              <w:left w:val="nil"/>
              <w:bottom w:val="single" w:color="000000" w:sz="2" w:space="0"/>
              <w:right w:val="single" w:color="000000" w:sz="2" w:space="0"/>
            </w:tcBorders>
            <w:vAlign w:val="center"/>
          </w:tcPr>
          <w:p>
            <w:pPr>
              <w:widowControl/>
              <w:snapToGrid w:val="0"/>
              <w:spacing w:line="0" w:lineRule="atLeast"/>
              <w:ind w:right="482" w:firstLine="120"/>
              <w:jc w:val="center"/>
              <w:rPr>
                <w:rFonts w:ascii="仿宋" w:eastAsia="仿宋"/>
                <w:kern w:val="0"/>
                <w:sz w:val="24"/>
                <w:szCs w:val="24"/>
              </w:rPr>
            </w:pPr>
          </w:p>
        </w:tc>
      </w:tr>
    </w:tbl>
    <w:p>
      <w:pPr>
        <w:spacing w:line="500" w:lineRule="exact"/>
        <w:jc w:val="left"/>
      </w:pPr>
      <w:r>
        <w:rPr>
          <w:rFonts w:hint="eastAsia" w:ascii="仿宋" w:eastAsia="仿宋"/>
          <w:kern w:val="0"/>
          <w:sz w:val="24"/>
          <w:szCs w:val="24"/>
        </w:rPr>
        <w:t>注：初次进入广西水运工程建设市场的设计和施工企业应填此表，并对填报材料的真实性负责</w:t>
      </w:r>
      <w:bookmarkEnd w:id="0"/>
      <w:bookmarkStart w:id="1" w:name="参考文件描述"/>
      <w:bookmarkEnd w:id="1"/>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p>
    <w:p>
      <w:pPr>
        <w:pStyle w:val="5"/>
        <w:widowControl/>
        <w:spacing w:before="16" w:beforeAutospacing="0" w:after="16" w:afterAutospacing="0" w:line="560" w:lineRule="exact"/>
        <w:ind w:firstLine="640" w:firstLineChars="200"/>
        <w:rPr>
          <w:rFonts w:hint="eastAsia" w:ascii="仿宋" w:hAnsi="仿宋" w:eastAsia="仿宋" w:cs="仿宋"/>
          <w:color w:val="auto"/>
          <w:sz w:val="32"/>
          <w:szCs w:val="32"/>
          <w:highlight w:val="none"/>
          <w:shd w:val="clear" w:color="auto" w:fil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创艺简标宋">
    <w:altName w:val="方正小标宋简体"/>
    <w:panose1 w:val="00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jc w:val="right"/>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42</w:t>
    </w:r>
    <w:r>
      <w:rPr>
        <w:rFonts w:ascii="宋体" w:hAnsi="宋体" w:eastAsia="宋体"/>
        <w:sz w:val="28"/>
        <w:szCs w:val="28"/>
      </w:rPr>
      <w:fldChar w:fldCharType="end"/>
    </w:r>
    <w:r>
      <w:rPr>
        <w:rFonts w:hint="eastAsia" w:ascii="宋体" w:hAnsi="宋体" w:eastAsia="宋体"/>
        <w:sz w:val="28"/>
        <w:szCs w:val="28"/>
      </w:rPr>
      <w:t xml:space="preserve"> —</w:t>
    </w:r>
  </w:p>
  <w:p>
    <w:pPr>
      <w:pStyle w:val="3"/>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jc w:val="right"/>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p>
    <w:pPr>
      <w:pStyle w:val="3"/>
      <w:ind w:right="1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6A"/>
    <w:rsid w:val="00003E5A"/>
    <w:rsid w:val="002E74B8"/>
    <w:rsid w:val="004D2451"/>
    <w:rsid w:val="005A0E6A"/>
    <w:rsid w:val="005E2C88"/>
    <w:rsid w:val="0063732D"/>
    <w:rsid w:val="007E7A61"/>
    <w:rsid w:val="008A26DC"/>
    <w:rsid w:val="009B3C61"/>
    <w:rsid w:val="00CF56C9"/>
    <w:rsid w:val="00E115F0"/>
    <w:rsid w:val="032C68FA"/>
    <w:rsid w:val="27513219"/>
    <w:rsid w:val="2B514E4A"/>
    <w:rsid w:val="46EF6B49"/>
    <w:rsid w:val="59796487"/>
    <w:rsid w:val="5F7F0C26"/>
    <w:rsid w:val="6C575FF3"/>
    <w:rsid w:val="6E7991D0"/>
    <w:rsid w:val="6FFFDF09"/>
    <w:rsid w:val="7A6F7E7F"/>
    <w:rsid w:val="7EDA50B1"/>
    <w:rsid w:val="7FFF5460"/>
    <w:rsid w:val="7FFF8B46"/>
    <w:rsid w:val="BA7B23C6"/>
    <w:rsid w:val="BBC7AAA3"/>
    <w:rsid w:val="BEFDDE29"/>
    <w:rsid w:val="DA3FF4D1"/>
    <w:rsid w:val="DBD395D1"/>
    <w:rsid w:val="EEBBAE5B"/>
    <w:rsid w:val="F4F56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customStyle="1" w:styleId="11">
    <w:name w:val="p15"/>
    <w:basedOn w:val="1"/>
    <w:qFormat/>
    <w:uiPriority w:val="0"/>
    <w:pPr>
      <w:widowControl/>
      <w:spacing w:line="360" w:lineRule="auto"/>
      <w:ind w:firstLine="420"/>
    </w:pPr>
    <w:rPr>
      <w:rFonts w:ascii="Times New Roman" w:hAnsi="Times New Roman" w:eastAsia="宋体"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188</Words>
  <Characters>1077</Characters>
  <Lines>8</Lines>
  <Paragraphs>2</Paragraphs>
  <TotalTime>2</TotalTime>
  <ScaleCrop>false</ScaleCrop>
  <LinksUpToDate>false</LinksUpToDate>
  <CharactersWithSpaces>1263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2023-07-26T21:51:00Z</dcterms:created>
  <dc:creator>35393</dc:creator>
  <cp:lastModifiedBy>曾鑫</cp:lastModifiedBy>
  <cp:lastPrinted>2023-08-10T01:16:00Z</cp:lastPrinted>
  <dcterms:modified xsi:type="dcterms:W3CDTF">2023-08-11T08:00:29Z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4A23C5DC1F7A477CA10730363C355E76</vt:lpwstr>
  </property>
</Properties>
</file>