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0" w:afterAutospacing="0" w:line="560" w:lineRule="exact"/>
        <w:ind w:firstLine="0" w:firstLineChars="0"/>
        <w:jc w:val="center"/>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广西壮族自治区交通运输行政处罚</w:t>
      </w:r>
    </w:p>
    <w:p>
      <w:pPr>
        <w:spacing w:beforeLines="0" w:after="0" w:afterAutospacing="0" w:line="560" w:lineRule="exact"/>
        <w:ind w:firstLine="0" w:firstLineChars="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b/>
          <w:sz w:val="44"/>
          <w:szCs w:val="44"/>
        </w:rPr>
        <w:t>裁量权基准适用规则</w:t>
      </w:r>
    </w:p>
    <w:p>
      <w:pPr>
        <w:spacing w:beforeLines="0" w:after="0" w:afterAutospacing="0" w:line="56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（征求意见稿）</w:t>
      </w:r>
    </w:p>
    <w:p>
      <w:pPr>
        <w:spacing w:beforeLines="0" w:after="0" w:afterAutospacing="0" w:line="560" w:lineRule="exact"/>
        <w:ind w:firstLine="643"/>
        <w:rPr>
          <w:rFonts w:ascii="仿宋" w:hAnsi="仿宋" w:eastAsia="仿宋" w:cs="仿宋"/>
          <w:b/>
          <w:bCs/>
          <w:sz w:val="32"/>
          <w:szCs w:val="32"/>
        </w:rPr>
      </w:pP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为规范全区交通运输行政处罚裁量，促进严格规范公正文明执法，保护公民、法人和其他组织的合法权益，根据《中华人民共和国行政处罚法》《交通运输行政执法程序规定》《</w:t>
      </w:r>
      <w:r>
        <w:rPr>
          <w:rFonts w:hint="eastAsia" w:ascii="仿宋" w:hAnsi="仿宋" w:eastAsia="仿宋" w:cs="仿宋"/>
          <w:sz w:val="32"/>
          <w:szCs w:val="32"/>
          <w:lang w:eastAsia="zh-Hans"/>
        </w:rPr>
        <w:t>国务院办公厅关于进一步规范行政裁量权基准制度和管理工作的意见</w:t>
      </w:r>
      <w:r>
        <w:rPr>
          <w:rFonts w:hint="eastAsia" w:ascii="仿宋" w:hAnsi="仿宋" w:eastAsia="仿宋" w:cs="仿宋"/>
          <w:sz w:val="32"/>
          <w:szCs w:val="32"/>
        </w:rPr>
        <w:t xml:space="preserve">》等规定，结合我区交通运输实际，制定本规则。 </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规则所称行政处罚裁量权基准，是指各级交通运输主管部门或交通运输综合行政执法机构（以下简称交通运输执法部门）根据法律、法规、规章的规定，在行政处罚权限范围内，据以确定是否给予行政处罚，以及作出何种类别、幅度的行政处罚及其具体适用情形的细化、量化标准。</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全区交通运输执法部门制定和适用行政处罚裁量权基准（以下简称裁量基准），行使行政处罚裁量权应当遵循本规则。</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自治区交通运输厅负责制定全区统一的裁量基准。</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设区市的交通运输主管部门负责制定本级地方性法规、政府规章设定的行政处罚事项的裁量基准。</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下级交通运输主管部门可以在法定范围内结合本地经济社会发展状况，对不能满足本地实际需要的上级交通运输主管部门制定的裁量基准进行合理细化、量化，但不能超出上级交通运输主管部门划定的裁量阶次或者裁量幅度。</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第五条</w:t>
      </w:r>
      <w:r>
        <w:rPr>
          <w:rFonts w:ascii="仿宋" w:hAnsi="仿宋" w:eastAsia="仿宋" w:cs="仿宋"/>
          <w:b/>
          <w:bCs/>
          <w:sz w:val="32"/>
          <w:szCs w:val="32"/>
        </w:rPr>
        <w:t xml:space="preserve"> </w:t>
      </w:r>
      <w:r>
        <w:rPr>
          <w:rFonts w:hint="eastAsia" w:ascii="仿宋" w:hAnsi="仿宋" w:eastAsia="仿宋" w:cs="仿宋"/>
          <w:sz w:val="32"/>
          <w:szCs w:val="32"/>
        </w:rPr>
        <w:t>行使行政处罚裁量权，应当遵循公正公开、过罚相当、程序正当、综合裁量、处罚与教育相结合等原则。</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第六条</w:t>
      </w:r>
      <w:r>
        <w:rPr>
          <w:rFonts w:ascii="仿宋" w:hAnsi="仿宋" w:eastAsia="仿宋" w:cs="仿宋"/>
          <w:b/>
          <w:bCs/>
          <w:sz w:val="32"/>
          <w:szCs w:val="32"/>
        </w:rPr>
        <w:t xml:space="preserve"> </w:t>
      </w:r>
      <w:r>
        <w:rPr>
          <w:rFonts w:hint="eastAsia" w:ascii="仿宋" w:hAnsi="仿宋" w:eastAsia="仿宋" w:cs="仿宋"/>
          <w:sz w:val="32"/>
          <w:szCs w:val="32"/>
        </w:rPr>
        <w:t>行使行政处罚裁量权，应当考虑下列因素：</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（一）违法行为造成的危害后果；</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（二）当事人的主观过错程度；</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（三）违法行为的频次和持续时间的长短；</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（四）违法所得的多少；</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（五）违法行为手段的恶劣程度；</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（六）改正违法行为所采取的措施及效果；</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（七）当事人的信用状况；</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（八）其他依法应当考虑的因素。</w:t>
      </w:r>
    </w:p>
    <w:p>
      <w:pPr>
        <w:spacing w:beforeLines="0" w:after="0" w:afterAutospacing="0" w:line="560" w:lineRule="exact"/>
        <w:ind w:firstLine="643"/>
        <w:rPr>
          <w:rFonts w:ascii="仿宋" w:hAnsi="仿宋" w:eastAsia="仿宋" w:cs="仿宋"/>
          <w:sz w:val="32"/>
          <w:szCs w:val="32"/>
          <w:lang w:bidi="ar"/>
        </w:rPr>
      </w:pPr>
      <w:r>
        <w:rPr>
          <w:rFonts w:hint="eastAsia" w:ascii="仿宋" w:hAnsi="仿宋" w:eastAsia="仿宋" w:cs="仿宋"/>
          <w:b/>
          <w:bCs/>
          <w:sz w:val="32"/>
          <w:szCs w:val="32"/>
        </w:rPr>
        <w:t>第七条</w:t>
      </w:r>
      <w:r>
        <w:rPr>
          <w:rFonts w:ascii="仿宋" w:hAnsi="仿宋" w:eastAsia="仿宋" w:cs="仿宋"/>
          <w:sz w:val="32"/>
          <w:szCs w:val="32"/>
        </w:rPr>
        <w:t xml:space="preserve"> </w:t>
      </w:r>
      <w:r>
        <w:rPr>
          <w:rFonts w:hint="eastAsia" w:ascii="仿宋" w:hAnsi="仿宋" w:eastAsia="仿宋" w:cs="仿宋"/>
          <w:sz w:val="32"/>
          <w:szCs w:val="32"/>
          <w:lang w:bidi="ar"/>
        </w:rPr>
        <w:t>裁量基准根据违法事实、性质、情节、社会危害程度、实际后果、改正情况等，原则上将违法程度分为情节轻微、情节较轻、情节较重、情节严重、情节特别严重五个裁量阶次。</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lang w:bidi="ar"/>
        </w:rPr>
        <w:t>第八条</w:t>
      </w:r>
      <w:r>
        <w:rPr>
          <w:rFonts w:ascii="仿宋" w:hAnsi="仿宋" w:eastAsia="仿宋" w:cs="仿宋"/>
          <w:sz w:val="32"/>
          <w:szCs w:val="32"/>
          <w:lang w:bidi="ar"/>
        </w:rPr>
        <w:t xml:space="preserve"> </w:t>
      </w:r>
      <w:r>
        <w:rPr>
          <w:rFonts w:hint="eastAsia" w:ascii="仿宋" w:hAnsi="仿宋" w:eastAsia="仿宋" w:cs="仿宋"/>
          <w:sz w:val="32"/>
          <w:szCs w:val="32"/>
        </w:rPr>
        <w:t>当事人的违法行为符合法律、法规、规章有关不予处罚、减轻、从轻、从重处罚规定的情形，应当分别不予处罚、减轻、从轻或从重处罚。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不予处罚是指因有法定情形而不实施处罚，行为违反了行政管理秩序，但依法不给予行政处罚。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减轻处罚是指在法定处罚种类和处罚幅度的最低限以外给予处罚。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从轻处罚是指在法定的处罚种类和处罚幅度内，选择较轻的处罚种类或者低于中间值的处罚幅度。</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从重处罚是指在法定的处罚种类和处罚幅度内，选择较重的处罚种类或者高于中间值的处罚幅度。</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当事人既有减轻、从轻情节，又有从重情节的，交通运输执法部门应当综合判断违法行为事实、性质、情节以及社会危害程度，行使行政处罚裁量权。</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对当事人不予处罚、减轻处罚、从轻处罚、从重处罚的，交通运输执法部门及</w:t>
      </w:r>
      <w:r>
        <w:rPr>
          <w:rFonts w:hint="eastAsia" w:ascii="仿宋" w:hAnsi="仿宋" w:eastAsia="仿宋" w:cs="仿宋"/>
          <w:sz w:val="32"/>
          <w:szCs w:val="32"/>
          <w:lang w:eastAsia="zh-Hans"/>
        </w:rPr>
        <w:t>其</w:t>
      </w:r>
      <w:r>
        <w:rPr>
          <w:rFonts w:hint="eastAsia" w:ascii="仿宋" w:hAnsi="仿宋" w:eastAsia="仿宋" w:cs="仿宋"/>
          <w:sz w:val="32"/>
          <w:szCs w:val="32"/>
        </w:rPr>
        <w:t>执法人员必须说明理由并收集相应的证据材料。</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第十条</w:t>
      </w:r>
      <w:r>
        <w:rPr>
          <w:rFonts w:ascii="仿宋" w:hAnsi="仿宋" w:eastAsia="仿宋" w:cs="仿宋"/>
          <w:sz w:val="32"/>
          <w:szCs w:val="32"/>
        </w:rPr>
        <w:t xml:space="preserve"> </w:t>
      </w:r>
      <w:r>
        <w:rPr>
          <w:rFonts w:hint="eastAsia" w:ascii="仿宋" w:hAnsi="仿宋" w:eastAsia="仿宋" w:cs="仿宋"/>
          <w:sz w:val="32"/>
          <w:szCs w:val="32"/>
        </w:rPr>
        <w:t>当事人有下列情形之一的，不予行政处罚：</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一</w:t>
      </w:r>
      <w:r>
        <w:rPr>
          <w:rFonts w:hint="eastAsia" w:ascii="仿宋" w:hAnsi="仿宋" w:eastAsia="仿宋" w:cs="仿宋"/>
          <w:sz w:val="32"/>
          <w:szCs w:val="32"/>
        </w:rPr>
        <w:t>）不满十四周岁的未成年人有违法行为的；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二</w:t>
      </w:r>
      <w:r>
        <w:rPr>
          <w:rFonts w:hint="eastAsia" w:ascii="仿宋" w:hAnsi="仿宋" w:eastAsia="仿宋" w:cs="仿宋"/>
          <w:sz w:val="32"/>
          <w:szCs w:val="32"/>
        </w:rPr>
        <w:t>）精神病人、智力残疾人在不能辨认或者不能控制自己行为时有违法行为的；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三</w:t>
      </w:r>
      <w:r>
        <w:rPr>
          <w:rFonts w:hint="eastAsia" w:ascii="仿宋" w:hAnsi="仿宋" w:eastAsia="仿宋" w:cs="仿宋"/>
          <w:sz w:val="32"/>
          <w:szCs w:val="32"/>
        </w:rPr>
        <w:t>）违法行为轻微并及时改正，没有造成危害后果的；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Hans"/>
        </w:rPr>
        <w:t>四</w:t>
      </w:r>
      <w:r>
        <w:rPr>
          <w:rFonts w:hint="eastAsia" w:ascii="仿宋" w:hAnsi="仿宋" w:eastAsia="仿宋" w:cs="仿宋"/>
          <w:sz w:val="32"/>
          <w:szCs w:val="32"/>
        </w:rPr>
        <w:t>）法律、法规、规章规定</w:t>
      </w:r>
      <w:r>
        <w:rPr>
          <w:rFonts w:hint="eastAsia" w:ascii="仿宋" w:hAnsi="仿宋" w:eastAsia="仿宋" w:cs="仿宋"/>
          <w:sz w:val="32"/>
          <w:szCs w:val="32"/>
          <w:lang w:eastAsia="zh-Hans"/>
        </w:rPr>
        <w:t>的</w:t>
      </w:r>
      <w:r>
        <w:rPr>
          <w:rFonts w:hint="eastAsia" w:ascii="仿宋" w:hAnsi="仿宋" w:eastAsia="仿宋" w:cs="仿宋"/>
          <w:sz w:val="32"/>
          <w:szCs w:val="32"/>
        </w:rPr>
        <w:t>不予处罚的</w:t>
      </w:r>
      <w:r>
        <w:rPr>
          <w:rFonts w:hint="eastAsia" w:ascii="仿宋" w:hAnsi="仿宋" w:eastAsia="仿宋" w:cs="仿宋"/>
          <w:sz w:val="32"/>
          <w:szCs w:val="32"/>
          <w:lang w:eastAsia="zh-Hans"/>
        </w:rPr>
        <w:t>其他情形</w:t>
      </w:r>
      <w:r>
        <w:rPr>
          <w:rFonts w:hint="eastAsia" w:ascii="仿宋" w:hAnsi="仿宋" w:eastAsia="仿宋" w:cs="仿宋"/>
          <w:sz w:val="32"/>
          <w:szCs w:val="32"/>
        </w:rPr>
        <w:t>。</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当事人有证据足以证明没有主观过错的，</w:t>
      </w:r>
      <w:r>
        <w:rPr>
          <w:rFonts w:hint="eastAsia" w:ascii="仿宋" w:hAnsi="仿宋" w:eastAsia="仿宋" w:cs="仿宋"/>
          <w:sz w:val="32"/>
          <w:szCs w:val="32"/>
          <w:lang w:eastAsia="zh-Hans"/>
        </w:rPr>
        <w:t>不予行政处罚，</w:t>
      </w:r>
      <w:r>
        <w:rPr>
          <w:rFonts w:hint="eastAsia" w:ascii="仿宋" w:hAnsi="仿宋" w:eastAsia="仿宋" w:cs="仿宋"/>
          <w:sz w:val="32"/>
          <w:szCs w:val="32"/>
        </w:rPr>
        <w:t>法律、行政法规另有规定的，从其规定。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初次违法且危害后果轻微并及时改正的，可以不予处罚。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对当事人的违法行为依法不予处罚的，应当对当事人进行教育。</w:t>
      </w:r>
      <w:r>
        <w:rPr>
          <w:rFonts w:ascii="仿宋" w:hAnsi="仿宋" w:eastAsia="仿宋" w:cs="仿宋"/>
          <w:sz w:val="32"/>
          <w:szCs w:val="32"/>
        </w:rPr>
        <w:t xml:space="preserve">                                                                </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违法行为在二年内未被发现的，不再给予行政处罚；涉及公民生命健康、金融安全且有危害后果的，上述期限延长至五年。法律另有规定的除外。</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sz w:val="32"/>
          <w:szCs w:val="32"/>
        </w:rPr>
        <w:t>对危害后果轻微并及时改正的初次违法行为不予处罚的，</w:t>
      </w:r>
      <w:r>
        <w:rPr>
          <w:rFonts w:hint="eastAsia" w:ascii="仿宋" w:hAnsi="仿宋" w:eastAsia="仿宋" w:cs="仿宋"/>
          <w:sz w:val="32"/>
          <w:szCs w:val="32"/>
          <w:lang w:eastAsia="zh-Hans"/>
        </w:rPr>
        <w:t>实行违法行为告知承诺制。</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当事人有下列情形之一的，应当依法从轻或者减轻处罚：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（一）已满十四周岁不满十八周岁的人有违法行为的；</w:t>
      </w:r>
      <w:r>
        <w:rPr>
          <w:rFonts w:ascii="仿宋" w:hAnsi="仿宋" w:eastAsia="仿宋" w:cs="仿宋"/>
          <w:sz w:val="32"/>
          <w:szCs w:val="32"/>
        </w:rPr>
        <w:br w:type="textWrapping"/>
      </w:r>
      <w:r>
        <w:rPr>
          <w:rFonts w:hint="eastAsia" w:ascii="仿宋" w:hAnsi="仿宋" w:eastAsia="仿宋" w:cs="仿宋"/>
          <w:sz w:val="32"/>
          <w:szCs w:val="32"/>
        </w:rPr>
        <w:t>　　（二）主动消除或者减轻违法行为危害后果的；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（三）受他人胁迫或者诱骗实施违法行为的；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（四）主动供述行政机关尚未掌握的违法行为的；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（五）配合行政机关查处违法行为有立功表现的；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（六）法律、法规、规章规定应当从轻或者减轻行政处罚的</w:t>
      </w:r>
      <w:r>
        <w:rPr>
          <w:rFonts w:hint="eastAsia" w:ascii="仿宋" w:hAnsi="仿宋" w:eastAsia="仿宋" w:cs="仿宋"/>
          <w:sz w:val="32"/>
          <w:szCs w:val="32"/>
          <w:lang w:eastAsia="zh-Hans"/>
        </w:rPr>
        <w:t>其他情形</w:t>
      </w:r>
      <w:r>
        <w:rPr>
          <w:rFonts w:hint="eastAsia" w:ascii="仿宋" w:hAnsi="仿宋" w:eastAsia="仿宋" w:cs="仿宋"/>
          <w:sz w:val="32"/>
          <w:szCs w:val="32"/>
        </w:rPr>
        <w:t>。</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以下情形可视为配合行政机关查处违法行为有立功表现的：</w:t>
      </w:r>
    </w:p>
    <w:p>
      <w:pPr>
        <w:spacing w:beforeLines="0" w:after="0" w:afterAutospacing="0" w:line="560" w:lineRule="exact"/>
        <w:ind w:firstLine="64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检举、揭发他人重大</w:t>
      </w:r>
      <w:r>
        <w:rPr>
          <w:rFonts w:hint="eastAsia" w:ascii="仿宋" w:hAnsi="仿宋" w:eastAsia="仿宋" w:cs="仿宋"/>
          <w:sz w:val="32"/>
          <w:szCs w:val="32"/>
          <w:lang w:eastAsia="zh-Hans"/>
        </w:rPr>
        <w:t>违法</w:t>
      </w:r>
      <w:r>
        <w:rPr>
          <w:rFonts w:hint="eastAsia" w:ascii="仿宋" w:hAnsi="仿宋" w:eastAsia="仿宋" w:cs="仿宋"/>
          <w:sz w:val="32"/>
          <w:szCs w:val="32"/>
        </w:rPr>
        <w:t>行为，经查证属实；</w:t>
      </w:r>
    </w:p>
    <w:p>
      <w:pPr>
        <w:spacing w:beforeLines="0" w:after="0" w:afterAutospacing="0" w:line="560" w:lineRule="exact"/>
        <w:ind w:firstLine="64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提供</w:t>
      </w:r>
      <w:r>
        <w:rPr>
          <w:rFonts w:hint="eastAsia" w:ascii="仿宋" w:hAnsi="仿宋" w:eastAsia="仿宋" w:cs="仿宋"/>
          <w:sz w:val="32"/>
          <w:szCs w:val="32"/>
          <w:lang w:eastAsia="zh-Hans"/>
        </w:rPr>
        <w:t>查处</w:t>
      </w:r>
      <w:r>
        <w:rPr>
          <w:rFonts w:hint="eastAsia" w:ascii="仿宋" w:hAnsi="仿宋" w:eastAsia="仿宋" w:cs="仿宋"/>
          <w:sz w:val="32"/>
          <w:szCs w:val="32"/>
        </w:rPr>
        <w:t>其他重大违法行为的重要线索，经查证属实。</w:t>
      </w:r>
    </w:p>
    <w:p>
      <w:pPr>
        <w:spacing w:beforeLines="0" w:after="0" w:afterAutospacing="0" w:line="560" w:lineRule="exact"/>
        <w:ind w:firstLine="640"/>
        <w:rPr>
          <w:rFonts w:hint="eastAsia" w:ascii="仿宋_GB2312" w:eastAsia="仿宋_GB2312"/>
          <w:sz w:val="32"/>
          <w:szCs w:val="32"/>
        </w:rPr>
      </w:pPr>
      <w:r>
        <w:rPr>
          <w:rFonts w:hint="eastAsia" w:ascii="仿宋_GB2312" w:eastAsia="仿宋_GB2312"/>
          <w:sz w:val="32"/>
          <w:szCs w:val="32"/>
        </w:rPr>
        <w:t>3.主动做好其他违法行为人的说服工作，对案件查处提供重要帮助；</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第十四条</w:t>
      </w:r>
      <w:r>
        <w:rPr>
          <w:rFonts w:ascii="仿宋" w:hAnsi="仿宋" w:eastAsia="仿宋" w:cs="仿宋"/>
          <w:sz w:val="32"/>
          <w:szCs w:val="32"/>
        </w:rPr>
        <w:t xml:space="preserve"> </w:t>
      </w:r>
      <w:r>
        <w:rPr>
          <w:rFonts w:hint="eastAsia" w:ascii="仿宋" w:hAnsi="仿宋" w:eastAsia="仿宋" w:cs="仿宋"/>
          <w:sz w:val="32"/>
          <w:szCs w:val="32"/>
        </w:rPr>
        <w:t>当事人有下列情形之一的，可以依法从轻处罚：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（一）尚未完全丧失辨认或者控制自己行为能力的精神病人、智力残疾人有违法行为的；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（二）因身体残疾或重大疾病或者家庭重大变故等，生活确有困难的；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（三）社会影响和危害后果较小并及时改正的；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（四）积极配合调查，如实供述违法事实并主动提供证据材料的；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（五）在共同违法中起次要或辅助作用的；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lang w:eastAsia="zh-Hans"/>
        </w:rPr>
      </w:pPr>
      <w:r>
        <w:rPr>
          <w:rFonts w:hint="eastAsia" w:ascii="仿宋" w:hAnsi="仿宋" w:eastAsia="仿宋" w:cs="仿宋"/>
          <w:sz w:val="32"/>
          <w:szCs w:val="32"/>
        </w:rPr>
        <w:t>（六）法律、法规、规章规定</w:t>
      </w:r>
      <w:r>
        <w:rPr>
          <w:rFonts w:hint="eastAsia" w:ascii="仿宋" w:hAnsi="仿宋" w:eastAsia="仿宋" w:cs="仿宋"/>
          <w:sz w:val="32"/>
          <w:szCs w:val="32"/>
          <w:lang w:eastAsia="zh-Hans"/>
        </w:rPr>
        <w:t>的</w:t>
      </w:r>
      <w:r>
        <w:rPr>
          <w:rFonts w:hint="eastAsia" w:ascii="仿宋" w:hAnsi="仿宋" w:eastAsia="仿宋" w:cs="仿宋"/>
          <w:sz w:val="32"/>
          <w:szCs w:val="32"/>
        </w:rPr>
        <w:t>可以从轻处罚的</w:t>
      </w:r>
      <w:r>
        <w:rPr>
          <w:rFonts w:hint="eastAsia" w:ascii="仿宋" w:hAnsi="仿宋" w:eastAsia="仿宋" w:cs="仿宋"/>
          <w:sz w:val="32"/>
          <w:szCs w:val="32"/>
          <w:lang w:eastAsia="zh-Hans"/>
        </w:rPr>
        <w:t>其他情形。</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当事人有下列情形之一的，可以依法从重处罚：</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（一）违法行为造成他人人身伤亡或者重大财产损失、安</w:t>
      </w:r>
      <w:r>
        <w:rPr>
          <w:rFonts w:hint="eastAsia" w:ascii="仿宋" w:hAnsi="仿宋" w:eastAsia="仿宋" w:cs="仿宋"/>
          <w:sz w:val="32"/>
          <w:szCs w:val="32"/>
          <w:lang w:eastAsia="zh-CN"/>
        </w:rPr>
        <w:t>全</w:t>
      </w:r>
      <w:bookmarkStart w:id="0" w:name="_GoBack"/>
      <w:bookmarkEnd w:id="0"/>
      <w:r>
        <w:rPr>
          <w:rFonts w:hint="eastAsia" w:ascii="仿宋" w:hAnsi="仿宋" w:eastAsia="仿宋" w:cs="仿宋"/>
          <w:sz w:val="32"/>
          <w:szCs w:val="32"/>
        </w:rPr>
        <w:t>生产事故、严重环境污染等严重危害后果的；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（二）违法行为社会影响恶劣，或者引发群体性事件的；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（三）在共同违法行为中起主要作用的；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（四）胁迫或者诱骗他人违法的；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（五）阻碍或者拒不配合执法人员依法执行职务或者对证人、举报人、执法人员打击报复的；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（六）擅自转移、变卖、损毁已被采取行政强制措施物品或者先行登记保存的证据的；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（七）伪造、隐匿、毁灭证据的；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（八）发生自然灾害、事故灾难、公共卫生或社会安全等突发事件期间实施违法行为的；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（九）经约谈或责令改正后，仍拒不改正，继续实施违法行为的；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（十）一年内实施三次及以上同类违法行为的；</w:t>
      </w:r>
      <w:r>
        <w:rPr>
          <w:rFonts w:ascii="仿宋" w:hAnsi="仿宋" w:eastAsia="仿宋" w:cs="仿宋"/>
          <w:sz w:val="32"/>
          <w:szCs w:val="32"/>
        </w:rPr>
        <w:t xml:space="preserve"> </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（十一）被列入交通运输严重失信名单的；</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（十二）法律、法规、规章规定</w:t>
      </w:r>
      <w:r>
        <w:rPr>
          <w:rFonts w:hint="eastAsia" w:ascii="仿宋" w:hAnsi="仿宋" w:eastAsia="仿宋" w:cs="仿宋"/>
          <w:sz w:val="32"/>
          <w:szCs w:val="32"/>
          <w:lang w:eastAsia="zh-Hans"/>
        </w:rPr>
        <w:t>的</w:t>
      </w:r>
      <w:r>
        <w:rPr>
          <w:rFonts w:hint="eastAsia" w:ascii="仿宋" w:hAnsi="仿宋" w:eastAsia="仿宋" w:cs="仿宋"/>
          <w:sz w:val="32"/>
          <w:szCs w:val="32"/>
        </w:rPr>
        <w:t>可以从重处罚的</w:t>
      </w:r>
      <w:r>
        <w:rPr>
          <w:rFonts w:hint="eastAsia" w:ascii="仿宋" w:hAnsi="仿宋" w:eastAsia="仿宋" w:cs="仿宋"/>
          <w:sz w:val="32"/>
          <w:szCs w:val="32"/>
          <w:lang w:eastAsia="zh-Hans"/>
        </w:rPr>
        <w:t>其他情形</w:t>
      </w:r>
      <w:r>
        <w:rPr>
          <w:rFonts w:hint="eastAsia" w:ascii="仿宋" w:hAnsi="仿宋" w:eastAsia="仿宋" w:cs="仿宋"/>
          <w:sz w:val="32"/>
          <w:szCs w:val="32"/>
        </w:rPr>
        <w:t>。</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以暴力、威胁等主动方式拒绝、阻碍执法，被公安机关依法给予行政处罚的，可以在裁量基准规定的最高裁量阶次中顶格处罚。</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第十七条</w:t>
      </w:r>
      <w:r>
        <w:rPr>
          <w:rFonts w:ascii="仿宋" w:hAnsi="仿宋" w:eastAsia="仿宋" w:cs="仿宋"/>
          <w:b/>
          <w:bCs/>
          <w:sz w:val="32"/>
          <w:szCs w:val="32"/>
        </w:rPr>
        <w:t xml:space="preserve"> </w:t>
      </w:r>
      <w:r>
        <w:rPr>
          <w:rFonts w:hint="eastAsia" w:ascii="仿宋" w:hAnsi="仿宋" w:eastAsia="仿宋" w:cs="仿宋"/>
          <w:sz w:val="32"/>
          <w:szCs w:val="32"/>
        </w:rPr>
        <w:t>当事人</w:t>
      </w:r>
      <w:r>
        <w:rPr>
          <w:rFonts w:hint="eastAsia" w:ascii="仿宋" w:hAnsi="仿宋" w:eastAsia="仿宋" w:cs="仿宋"/>
          <w:sz w:val="32"/>
          <w:szCs w:val="32"/>
          <w:lang w:eastAsia="zh-Hans"/>
        </w:rPr>
        <w:t>多次违反相同裁量阶次内的同类</w:t>
      </w:r>
      <w:r>
        <w:rPr>
          <w:rFonts w:hint="eastAsia" w:ascii="仿宋" w:hAnsi="仿宋" w:eastAsia="仿宋" w:cs="仿宋"/>
          <w:sz w:val="32"/>
          <w:szCs w:val="32"/>
        </w:rPr>
        <w:t>违法行为</w:t>
      </w:r>
      <w:r>
        <w:rPr>
          <w:rFonts w:hint="eastAsia" w:ascii="仿宋" w:hAnsi="仿宋" w:eastAsia="仿宋" w:cs="仿宋"/>
          <w:sz w:val="32"/>
          <w:szCs w:val="32"/>
          <w:lang w:eastAsia="zh-Hans"/>
        </w:rPr>
        <w:t>的</w:t>
      </w:r>
      <w:r>
        <w:rPr>
          <w:rFonts w:hint="eastAsia" w:ascii="仿宋" w:hAnsi="仿宋" w:eastAsia="仿宋" w:cs="仿宋"/>
          <w:sz w:val="32"/>
          <w:szCs w:val="32"/>
        </w:rPr>
        <w:t>，</w:t>
      </w:r>
      <w:r>
        <w:rPr>
          <w:rFonts w:hint="eastAsia" w:ascii="仿宋" w:hAnsi="仿宋" w:eastAsia="仿宋" w:cs="仿宋"/>
          <w:sz w:val="32"/>
          <w:szCs w:val="32"/>
          <w:lang w:eastAsia="zh-Hans"/>
        </w:rPr>
        <w:t>后作出的行政处罚一般不得轻于前一次</w:t>
      </w:r>
      <w:r>
        <w:rPr>
          <w:rFonts w:hint="eastAsia" w:ascii="仿宋" w:hAnsi="仿宋" w:eastAsia="仿宋" w:cs="仿宋"/>
          <w:sz w:val="32"/>
          <w:szCs w:val="32"/>
        </w:rPr>
        <w:t>。</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交通运输行政处罚案件调查取证过程中，执法人员应当合法、及时、客观、全面地收集证据材料，按照本规则的规定，充分考虑有关行政处罚裁量因素；在行政处罚案件调查报告中，应当附有认定违法行为的证据，以及行使行政处罚裁量权的相关事实和法律依据。</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开展行政处罚决定审核、重大行政处罚决定法制审核以及依法对有关行政处罚进行集体讨论时，应当充分审查和考量行政处罚裁量权的行使是否合法、适当，并做好相应的书面记录。</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交通运输执法部门在行政处罚案件的告知陈述申辩和听证阶段，应当在违法行为通知书中告知拟作出的行政处罚决定适用裁量基准的依据。当事人陈述申辩、听证时对裁量基准适用提出异议的，交通运输执法部门应当相应开展核查，不得因当事人的异议从重处罚。</w:t>
      </w:r>
      <w:r>
        <w:rPr>
          <w:rFonts w:ascii="仿宋" w:hAnsi="仿宋" w:eastAsia="仿宋" w:cs="仿宋"/>
          <w:sz w:val="32"/>
          <w:szCs w:val="32"/>
        </w:rPr>
        <w:t xml:space="preserve"> </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第二十条</w:t>
      </w:r>
      <w:r>
        <w:rPr>
          <w:rFonts w:ascii="仿宋" w:hAnsi="仿宋" w:eastAsia="仿宋" w:cs="仿宋"/>
          <w:b/>
          <w:bCs/>
          <w:sz w:val="32"/>
          <w:szCs w:val="32"/>
        </w:rPr>
        <w:t xml:space="preserve"> </w:t>
      </w:r>
      <w:r>
        <w:rPr>
          <w:rFonts w:hint="eastAsia" w:ascii="仿宋" w:hAnsi="仿宋" w:eastAsia="仿宋" w:cs="仿宋"/>
          <w:sz w:val="32"/>
          <w:szCs w:val="32"/>
        </w:rPr>
        <w:t>行政处罚决定书应当载明适用裁量基准的依据和理由，当事人对裁量基准适用提出陈述申辩的，还应当记录有关陈述申辩的核实、采纳情况并说明理由。</w:t>
      </w:r>
      <w:r>
        <w:rPr>
          <w:rFonts w:ascii="仿宋" w:hAnsi="仿宋" w:eastAsia="仿宋" w:cs="仿宋"/>
          <w:sz w:val="32"/>
          <w:szCs w:val="32"/>
        </w:rPr>
        <w:t xml:space="preserve"> </w:t>
      </w:r>
    </w:p>
    <w:p>
      <w:pPr>
        <w:spacing w:beforeLines="0" w:after="0" w:afterAutospacing="0" w:line="560" w:lineRule="exact"/>
        <w:ind w:firstLine="643"/>
        <w:rPr>
          <w:rFonts w:ascii="仿宋" w:hAnsi="仿宋" w:eastAsia="仿宋" w:cs="仿宋"/>
          <w:bCs/>
          <w:sz w:val="32"/>
          <w:szCs w:val="32"/>
        </w:rPr>
      </w:pPr>
      <w:r>
        <w:rPr>
          <w:rFonts w:hint="eastAsia" w:ascii="仿宋" w:hAnsi="仿宋" w:eastAsia="仿宋" w:cs="仿宋"/>
          <w:b/>
          <w:sz w:val="32"/>
          <w:szCs w:val="32"/>
        </w:rPr>
        <w:t>第二十一条</w:t>
      </w:r>
      <w:r>
        <w:rPr>
          <w:rFonts w:ascii="仿宋" w:hAnsi="仿宋" w:eastAsia="仿宋" w:cs="仿宋"/>
          <w:bCs/>
          <w:sz w:val="32"/>
          <w:szCs w:val="32"/>
        </w:rPr>
        <w:t xml:space="preserve"> </w:t>
      </w:r>
      <w:r>
        <w:rPr>
          <w:rFonts w:hint="eastAsia" w:ascii="仿宋" w:hAnsi="仿宋" w:eastAsia="仿宋" w:cs="仿宋"/>
          <w:bCs/>
          <w:sz w:val="32"/>
          <w:szCs w:val="32"/>
        </w:rPr>
        <w:t>实施交通运输行政处罚时，应当责令当事人改正或者限期改正违法行为，除法律、法规、规章另有规定外，责令改正的期限应当根据</w:t>
      </w:r>
      <w:r>
        <w:rPr>
          <w:rFonts w:hint="eastAsia" w:ascii="仿宋" w:hAnsi="仿宋" w:eastAsia="仿宋" w:cs="仿宋"/>
          <w:bCs/>
          <w:sz w:val="32"/>
          <w:szCs w:val="32"/>
          <w:lang w:eastAsia="zh-Hans"/>
        </w:rPr>
        <w:t>具体</w:t>
      </w:r>
      <w:r>
        <w:rPr>
          <w:rFonts w:hint="eastAsia" w:ascii="仿宋" w:hAnsi="仿宋" w:eastAsia="仿宋" w:cs="仿宋"/>
          <w:bCs/>
          <w:sz w:val="32"/>
          <w:szCs w:val="32"/>
        </w:rPr>
        <w:t>案件实际</w:t>
      </w:r>
      <w:r>
        <w:rPr>
          <w:rFonts w:hint="eastAsia" w:ascii="仿宋" w:hAnsi="仿宋" w:eastAsia="仿宋" w:cs="仿宋"/>
          <w:bCs/>
          <w:sz w:val="32"/>
          <w:szCs w:val="32"/>
          <w:lang w:eastAsia="zh-Hans"/>
        </w:rPr>
        <w:t>合理</w:t>
      </w:r>
      <w:r>
        <w:rPr>
          <w:rFonts w:hint="eastAsia" w:ascii="仿宋" w:hAnsi="仿宋" w:eastAsia="仿宋" w:cs="仿宋"/>
          <w:bCs/>
          <w:sz w:val="32"/>
          <w:szCs w:val="32"/>
        </w:rPr>
        <w:t>确定。</w:t>
      </w:r>
    </w:p>
    <w:p>
      <w:pPr>
        <w:spacing w:beforeLines="0" w:after="0" w:afterAutospacing="0" w:line="560" w:lineRule="exact"/>
        <w:ind w:firstLine="643"/>
        <w:rPr>
          <w:rFonts w:ascii="仿宋" w:hAnsi="仿宋" w:eastAsia="仿宋" w:cs="仿宋"/>
          <w:sz w:val="32"/>
          <w:szCs w:val="32"/>
        </w:rPr>
      </w:pPr>
      <w:r>
        <w:rPr>
          <w:rStyle w:val="9"/>
          <w:rFonts w:hint="default" w:ascii="仿宋" w:hAnsi="仿宋" w:eastAsia="仿宋" w:cs="仿宋"/>
          <w:sz w:val="32"/>
          <w:szCs w:val="32"/>
        </w:rPr>
        <w:t>第二十</w:t>
      </w:r>
      <w:r>
        <w:rPr>
          <w:rStyle w:val="9"/>
          <w:rFonts w:hint="default" w:ascii="仿宋" w:hAnsi="仿宋" w:eastAsia="仿宋" w:cs="仿宋"/>
          <w:sz w:val="32"/>
          <w:szCs w:val="32"/>
          <w:lang w:eastAsia="zh-Hans"/>
        </w:rPr>
        <w:t>二</w:t>
      </w:r>
      <w:r>
        <w:rPr>
          <w:rFonts w:hint="eastAsia" w:ascii="仿宋" w:hAnsi="仿宋" w:eastAsia="仿宋" w:cs="仿宋"/>
          <w:b/>
          <w:bCs/>
          <w:sz w:val="32"/>
          <w:szCs w:val="32"/>
        </w:rPr>
        <w:t>条</w:t>
      </w:r>
      <w:r>
        <w:rPr>
          <w:rFonts w:ascii="仿宋" w:hAnsi="仿宋" w:eastAsia="仿宋" w:cs="仿宋"/>
          <w:sz w:val="32"/>
          <w:szCs w:val="32"/>
        </w:rPr>
        <w:t xml:space="preserve"> </w:t>
      </w:r>
      <w:r>
        <w:rPr>
          <w:rFonts w:hint="eastAsia" w:ascii="仿宋" w:hAnsi="仿宋" w:eastAsia="仿宋" w:cs="仿宋"/>
          <w:sz w:val="32"/>
          <w:szCs w:val="32"/>
        </w:rPr>
        <w:t>交通运输执法部门应当通过执法检查、执法案卷评查等方式加强对行使行政处罚裁量权的监督检查，发现行政处罚裁量权行使不当的，根据职责权限及时予以纠正。造成严重后果的，依法依规追究过错责任。</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第二十三条</w:t>
      </w:r>
      <w:r>
        <w:rPr>
          <w:rFonts w:ascii="仿宋" w:hAnsi="仿宋" w:eastAsia="仿宋" w:cs="仿宋"/>
          <w:b/>
          <w:bCs/>
          <w:sz w:val="32"/>
          <w:szCs w:val="32"/>
        </w:rPr>
        <w:t xml:space="preserve"> </w:t>
      </w:r>
      <w:r>
        <w:rPr>
          <w:rFonts w:hint="eastAsia" w:ascii="仿宋" w:hAnsi="仿宋" w:eastAsia="仿宋" w:cs="仿宋"/>
          <w:sz w:val="32"/>
          <w:szCs w:val="32"/>
        </w:rPr>
        <w:t>适用本级交通运输主管部门制定的裁量基准将导致个案处罚明显不当的，在不与法律法规相抵触的情况下，经主要负责人批准或集体讨论通过后调整适用，批准材料或集体讨论记录归入执法案卷保存。</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适用上级交通运输主管部门制定的裁量基准出现上述情形的，报请上级交通运输主管部门批准后调整适用。</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交通运输执法部门应当将裁量基准内容嵌入行政执法系统，实行统一管理、动态调整。</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根据本规则第四条第二款、第三款制定、细化的裁量基准，应当</w:t>
      </w:r>
      <w:r>
        <w:rPr>
          <w:rFonts w:hint="eastAsia" w:ascii="仿宋" w:hAnsi="仿宋" w:eastAsia="仿宋" w:cs="仿宋"/>
          <w:sz w:val="32"/>
          <w:szCs w:val="32"/>
          <w:lang w:eastAsia="zh-Hans"/>
        </w:rPr>
        <w:t>在公布之日起</w:t>
      </w:r>
      <w:r>
        <w:rPr>
          <w:rFonts w:ascii="仿宋" w:hAnsi="仿宋" w:eastAsia="仿宋" w:cs="仿宋"/>
          <w:sz w:val="32"/>
          <w:szCs w:val="32"/>
          <w:lang w:eastAsia="zh-Hans"/>
        </w:rPr>
        <w:t>30</w:t>
      </w:r>
      <w:r>
        <w:rPr>
          <w:rFonts w:hint="eastAsia" w:ascii="仿宋" w:hAnsi="仿宋" w:eastAsia="仿宋" w:cs="仿宋"/>
          <w:sz w:val="32"/>
          <w:szCs w:val="32"/>
          <w:lang w:eastAsia="zh-Hans"/>
        </w:rPr>
        <w:t>日内向</w:t>
      </w:r>
      <w:r>
        <w:rPr>
          <w:rFonts w:hint="eastAsia" w:ascii="仿宋" w:hAnsi="仿宋" w:eastAsia="仿宋" w:cs="仿宋"/>
          <w:sz w:val="32"/>
          <w:szCs w:val="32"/>
        </w:rPr>
        <w:t>自治区交通运输厅</w:t>
      </w:r>
      <w:r>
        <w:rPr>
          <w:rFonts w:hint="eastAsia" w:ascii="仿宋" w:hAnsi="仿宋" w:eastAsia="仿宋" w:cs="仿宋"/>
          <w:sz w:val="32"/>
          <w:szCs w:val="32"/>
          <w:lang w:eastAsia="zh-Hans"/>
        </w:rPr>
        <w:t>报备</w:t>
      </w:r>
      <w:r>
        <w:rPr>
          <w:rFonts w:hint="eastAsia" w:ascii="仿宋" w:hAnsi="仿宋" w:eastAsia="仿宋" w:cs="仿宋"/>
          <w:sz w:val="32"/>
          <w:szCs w:val="32"/>
        </w:rPr>
        <w:t>。</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Hans"/>
        </w:rPr>
        <w:t>二</w:t>
      </w:r>
      <w:r>
        <w:rPr>
          <w:rFonts w:hint="eastAsia" w:ascii="仿宋" w:hAnsi="仿宋" w:eastAsia="仿宋" w:cs="仿宋"/>
          <w:b/>
          <w:bCs/>
          <w:sz w:val="32"/>
          <w:szCs w:val="32"/>
        </w:rPr>
        <w:t>十六条</w:t>
      </w:r>
      <w:r>
        <w:rPr>
          <w:rFonts w:ascii="仿宋" w:hAnsi="仿宋" w:eastAsia="仿宋" w:cs="仿宋"/>
          <w:sz w:val="32"/>
          <w:szCs w:val="32"/>
        </w:rPr>
        <w:t xml:space="preserve"> </w:t>
      </w:r>
      <w:r>
        <w:rPr>
          <w:rFonts w:hint="eastAsia" w:ascii="仿宋" w:hAnsi="仿宋" w:eastAsia="仿宋" w:cs="仿宋"/>
          <w:sz w:val="32"/>
          <w:szCs w:val="32"/>
        </w:rPr>
        <w:t>裁量基准所称的“一年内”</w:t>
      </w:r>
      <w:r>
        <w:rPr>
          <w:rFonts w:hint="eastAsia" w:ascii="仿宋" w:hAnsi="仿宋" w:eastAsia="仿宋" w:cs="仿宋"/>
          <w:sz w:val="32"/>
          <w:szCs w:val="32"/>
          <w:lang w:eastAsia="zh-Hans"/>
        </w:rPr>
        <w:t>除</w:t>
      </w:r>
      <w:r>
        <w:rPr>
          <w:rFonts w:hint="eastAsia" w:ascii="仿宋" w:hAnsi="仿宋" w:eastAsia="仿宋" w:cs="仿宋"/>
          <w:sz w:val="32"/>
          <w:szCs w:val="32"/>
        </w:rPr>
        <w:t>特别规定</w:t>
      </w:r>
      <w:r>
        <w:rPr>
          <w:rFonts w:hint="eastAsia" w:ascii="仿宋" w:hAnsi="仿宋" w:eastAsia="仿宋" w:cs="仿宋"/>
          <w:sz w:val="32"/>
          <w:szCs w:val="32"/>
          <w:lang w:eastAsia="zh-Hans"/>
        </w:rPr>
        <w:t>外</w:t>
      </w:r>
      <w:r>
        <w:rPr>
          <w:rFonts w:hint="eastAsia" w:ascii="仿宋" w:hAnsi="仿宋" w:eastAsia="仿宋" w:cs="仿宋"/>
          <w:sz w:val="32"/>
          <w:szCs w:val="32"/>
        </w:rPr>
        <w:t>，为一个自然年度（即</w:t>
      </w:r>
      <w:r>
        <w:rPr>
          <w:rFonts w:ascii="仿宋" w:hAnsi="仿宋" w:eastAsia="仿宋" w:cs="仿宋"/>
          <w:sz w:val="32"/>
          <w:szCs w:val="32"/>
        </w:rPr>
        <w:t>1</w:t>
      </w:r>
      <w:r>
        <w:rPr>
          <w:rFonts w:hint="eastAsia" w:ascii="仿宋" w:hAnsi="仿宋" w:eastAsia="仿宋" w:cs="仿宋"/>
          <w:sz w:val="32"/>
          <w:szCs w:val="32"/>
        </w:rPr>
        <w:t>月</w:t>
      </w:r>
      <w:r>
        <w:rPr>
          <w:rFonts w:ascii="仿宋" w:hAnsi="仿宋" w:eastAsia="仿宋" w:cs="仿宋"/>
          <w:sz w:val="32"/>
          <w:szCs w:val="32"/>
        </w:rPr>
        <w:t>1</w:t>
      </w:r>
      <w:r>
        <w:rPr>
          <w:rFonts w:hint="eastAsia" w:ascii="仿宋" w:hAnsi="仿宋" w:eastAsia="仿宋" w:cs="仿宋"/>
          <w:sz w:val="32"/>
          <w:szCs w:val="32"/>
        </w:rPr>
        <w:t>日至</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以上”不包括本数，“以下”包括本数，但最低一档处罚包括下限数；“查处次数”指当事人在我区一年内同一违法行为的次数，次数以作出行政处罚决定书计，撤销案件除外；“同一违法行为”指在裁量标准中对应的同一项“违法种类”。</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裁量基准对特殊术语另有规定的，从其规定。</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本规则由自治区交通运输厅负责解释。</w:t>
      </w:r>
    </w:p>
    <w:p>
      <w:pPr>
        <w:spacing w:beforeLines="0" w:after="0" w:afterAutospacing="0" w:line="560" w:lineRule="exact"/>
        <w:ind w:firstLine="643"/>
        <w:rPr>
          <w:rFonts w:ascii="仿宋" w:hAnsi="仿宋" w:eastAsia="仿宋" w:cs="仿宋"/>
          <w:sz w:val="32"/>
          <w:szCs w:val="32"/>
        </w:rPr>
      </w:pPr>
      <w:r>
        <w:rPr>
          <w:rFonts w:hint="eastAsia" w:ascii="仿宋" w:hAnsi="仿宋" w:eastAsia="仿宋" w:cs="仿宋"/>
          <w:b/>
          <w:bCs/>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本规则自印发之日起施行。</w:t>
      </w:r>
    </w:p>
    <w:p>
      <w:pPr>
        <w:spacing w:beforeLines="0" w:after="0" w:afterAutospacing="0" w:line="560" w:lineRule="exact"/>
        <w:ind w:firstLine="640"/>
        <w:rPr>
          <w:rFonts w:ascii="仿宋" w:hAnsi="仿宋" w:eastAsia="仿宋" w:cs="仿宋"/>
          <w:sz w:val="32"/>
          <w:szCs w:val="32"/>
        </w:rPr>
      </w:pPr>
      <w:r>
        <w:rPr>
          <w:rFonts w:hint="eastAsia" w:ascii="仿宋" w:hAnsi="仿宋" w:eastAsia="仿宋" w:cs="仿宋"/>
          <w:sz w:val="32"/>
          <w:szCs w:val="32"/>
        </w:rPr>
        <w:t>本规则和裁量基准施行前已立案但没有办理完毕的，适用违法行为发生时的裁量基准；如果适用本规则和裁量基准处罚较轻或者不予处罚的，适用本规则和裁量基准。</w:t>
      </w:r>
    </w:p>
    <w:p>
      <w:pPr>
        <w:spacing w:beforeLines="0" w:after="0" w:afterAutospacing="0" w:line="560" w:lineRule="exact"/>
        <w:ind w:firstLine="640"/>
        <w:rPr>
          <w:rFonts w:ascii="仿宋" w:hAnsi="仿宋" w:eastAsia="仿宋" w:cs="仿宋"/>
          <w:sz w:val="32"/>
          <w:szCs w:val="32"/>
        </w:rPr>
      </w:pPr>
    </w:p>
    <w:sectPr>
      <w:footerReference r:id="rId5" w:type="default"/>
      <w:pgSz w:w="11906" w:h="16838"/>
      <w:pgMar w:top="2098" w:right="1417" w:bottom="1701" w:left="1587" w:header="851" w:footer="992" w:gutter="0"/>
      <w:cols w:space="0" w:num="1"/>
      <w:docGrid w:type="lines" w:linePitch="5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spacing w:before="120"/>
                            <w:ind w:firstLine="360"/>
                            <w:rPr>
                              <w:rFonts w:hint="eastAsia"/>
                            </w:rPr>
                          </w:pPr>
                          <w:r>
                            <w:fldChar w:fldCharType="begin"/>
                          </w:r>
                          <w:r>
                            <w:instrText xml:space="preserve"> PAGE  \* MERGEFORMAT </w:instrText>
                          </w:r>
                          <w:r>
                            <w:fldChar w:fldCharType="separate"/>
                          </w:r>
                          <w:r>
                            <w:rPr>
                              <w:rFonts w:hint="eastAsia"/>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spacing w:before="120"/>
                      <w:ind w:firstLine="360"/>
                      <w:rPr>
                        <w:rFonts w:hint="eastAsia"/>
                      </w:rPr>
                    </w:pPr>
                    <w:r>
                      <w:fldChar w:fldCharType="begin"/>
                    </w:r>
                    <w:r>
                      <w:instrText xml:space="preserve"> PAGE  \* MERGEFORMAT </w:instrText>
                    </w:r>
                    <w:r>
                      <w:fldChar w:fldCharType="separate"/>
                    </w:r>
                    <w:r>
                      <w:rPr>
                        <w:rFonts w:hint="eastAsia"/>
                      </w:rP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210"/>
  <w:drawingGridVerticalSpacing w:val="29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MmJkNDFiMGZhNjY0NDkwZjcwMTYzODczOThlNDYifQ=="/>
  </w:docVars>
  <w:rsids>
    <w:rsidRoot w:val="00756AB3"/>
    <w:rsid w:val="00001812"/>
    <w:rsid w:val="00001CE8"/>
    <w:rsid w:val="00005806"/>
    <w:rsid w:val="000225AE"/>
    <w:rsid w:val="0002382A"/>
    <w:rsid w:val="00024950"/>
    <w:rsid w:val="000325C9"/>
    <w:rsid w:val="00033D5B"/>
    <w:rsid w:val="00034D84"/>
    <w:rsid w:val="00036322"/>
    <w:rsid w:val="00036999"/>
    <w:rsid w:val="00037EB6"/>
    <w:rsid w:val="000405F9"/>
    <w:rsid w:val="000503A3"/>
    <w:rsid w:val="0005631C"/>
    <w:rsid w:val="00056623"/>
    <w:rsid w:val="00060E91"/>
    <w:rsid w:val="00062B4B"/>
    <w:rsid w:val="00062BC8"/>
    <w:rsid w:val="0006541B"/>
    <w:rsid w:val="000674DF"/>
    <w:rsid w:val="0007762F"/>
    <w:rsid w:val="00081C32"/>
    <w:rsid w:val="00091490"/>
    <w:rsid w:val="00095D9B"/>
    <w:rsid w:val="000B1C10"/>
    <w:rsid w:val="000B4699"/>
    <w:rsid w:val="000C2C6A"/>
    <w:rsid w:val="000C37BF"/>
    <w:rsid w:val="000C54CF"/>
    <w:rsid w:val="000C712E"/>
    <w:rsid w:val="000D0E04"/>
    <w:rsid w:val="000D331D"/>
    <w:rsid w:val="000D402D"/>
    <w:rsid w:val="000D48E0"/>
    <w:rsid w:val="000E029C"/>
    <w:rsid w:val="000E1D5F"/>
    <w:rsid w:val="000F09EE"/>
    <w:rsid w:val="000F68E9"/>
    <w:rsid w:val="0010341C"/>
    <w:rsid w:val="0011095F"/>
    <w:rsid w:val="00113CBB"/>
    <w:rsid w:val="00122B04"/>
    <w:rsid w:val="00122C90"/>
    <w:rsid w:val="00123BD5"/>
    <w:rsid w:val="00124319"/>
    <w:rsid w:val="001319A7"/>
    <w:rsid w:val="00133695"/>
    <w:rsid w:val="001352A3"/>
    <w:rsid w:val="001368E2"/>
    <w:rsid w:val="00141EE5"/>
    <w:rsid w:val="00143C57"/>
    <w:rsid w:val="00145DE7"/>
    <w:rsid w:val="001479B5"/>
    <w:rsid w:val="00150021"/>
    <w:rsid w:val="001558FA"/>
    <w:rsid w:val="00155D30"/>
    <w:rsid w:val="00156725"/>
    <w:rsid w:val="001577D1"/>
    <w:rsid w:val="001603A3"/>
    <w:rsid w:val="00160BD5"/>
    <w:rsid w:val="00167128"/>
    <w:rsid w:val="00172ED2"/>
    <w:rsid w:val="00176946"/>
    <w:rsid w:val="001800D0"/>
    <w:rsid w:val="00180F0A"/>
    <w:rsid w:val="00182796"/>
    <w:rsid w:val="00184F32"/>
    <w:rsid w:val="0018664E"/>
    <w:rsid w:val="00191EC6"/>
    <w:rsid w:val="00195F97"/>
    <w:rsid w:val="001A35D6"/>
    <w:rsid w:val="001A4624"/>
    <w:rsid w:val="001B3F5B"/>
    <w:rsid w:val="001B47E8"/>
    <w:rsid w:val="001B65D6"/>
    <w:rsid w:val="001D5938"/>
    <w:rsid w:val="001E236F"/>
    <w:rsid w:val="001E4A00"/>
    <w:rsid w:val="001E50EA"/>
    <w:rsid w:val="001E520D"/>
    <w:rsid w:val="001E58A1"/>
    <w:rsid w:val="001F0E7E"/>
    <w:rsid w:val="001F4527"/>
    <w:rsid w:val="001F7608"/>
    <w:rsid w:val="00203614"/>
    <w:rsid w:val="0022160B"/>
    <w:rsid w:val="002223E8"/>
    <w:rsid w:val="002238D9"/>
    <w:rsid w:val="00224867"/>
    <w:rsid w:val="00230AD4"/>
    <w:rsid w:val="00235168"/>
    <w:rsid w:val="00236966"/>
    <w:rsid w:val="00237447"/>
    <w:rsid w:val="00240D32"/>
    <w:rsid w:val="00243736"/>
    <w:rsid w:val="00245824"/>
    <w:rsid w:val="0025628A"/>
    <w:rsid w:val="00260C85"/>
    <w:rsid w:val="00261A55"/>
    <w:rsid w:val="00262AD0"/>
    <w:rsid w:val="00266C0F"/>
    <w:rsid w:val="00270475"/>
    <w:rsid w:val="0027265F"/>
    <w:rsid w:val="00280052"/>
    <w:rsid w:val="002830F3"/>
    <w:rsid w:val="00283DED"/>
    <w:rsid w:val="00290052"/>
    <w:rsid w:val="002A1432"/>
    <w:rsid w:val="002A663B"/>
    <w:rsid w:val="002A6A00"/>
    <w:rsid w:val="002A7FEB"/>
    <w:rsid w:val="002B06A5"/>
    <w:rsid w:val="002C5449"/>
    <w:rsid w:val="002C67A5"/>
    <w:rsid w:val="002D0DBD"/>
    <w:rsid w:val="002D6326"/>
    <w:rsid w:val="002D64B3"/>
    <w:rsid w:val="002E239E"/>
    <w:rsid w:val="002E5C14"/>
    <w:rsid w:val="002E619C"/>
    <w:rsid w:val="002E71A2"/>
    <w:rsid w:val="002F0880"/>
    <w:rsid w:val="00302DB0"/>
    <w:rsid w:val="00310E2E"/>
    <w:rsid w:val="0031554D"/>
    <w:rsid w:val="00316479"/>
    <w:rsid w:val="00316733"/>
    <w:rsid w:val="00316F3F"/>
    <w:rsid w:val="00325862"/>
    <w:rsid w:val="00331128"/>
    <w:rsid w:val="0033465E"/>
    <w:rsid w:val="0033496B"/>
    <w:rsid w:val="003406E4"/>
    <w:rsid w:val="0034251B"/>
    <w:rsid w:val="00353D0B"/>
    <w:rsid w:val="00367E13"/>
    <w:rsid w:val="00367FAC"/>
    <w:rsid w:val="003726F5"/>
    <w:rsid w:val="00374963"/>
    <w:rsid w:val="003803A8"/>
    <w:rsid w:val="00382234"/>
    <w:rsid w:val="0038350B"/>
    <w:rsid w:val="0038372A"/>
    <w:rsid w:val="00386DE9"/>
    <w:rsid w:val="00386F26"/>
    <w:rsid w:val="003906C2"/>
    <w:rsid w:val="0039300C"/>
    <w:rsid w:val="00396A2E"/>
    <w:rsid w:val="00396D89"/>
    <w:rsid w:val="003A2082"/>
    <w:rsid w:val="003A6118"/>
    <w:rsid w:val="003A7D97"/>
    <w:rsid w:val="003B0792"/>
    <w:rsid w:val="003B6002"/>
    <w:rsid w:val="003B63E7"/>
    <w:rsid w:val="003C2C91"/>
    <w:rsid w:val="003C3144"/>
    <w:rsid w:val="003C3D94"/>
    <w:rsid w:val="003C4854"/>
    <w:rsid w:val="003C48E9"/>
    <w:rsid w:val="003C7186"/>
    <w:rsid w:val="003D1C4C"/>
    <w:rsid w:val="003D3FD6"/>
    <w:rsid w:val="003D4896"/>
    <w:rsid w:val="003E23DD"/>
    <w:rsid w:val="003E3577"/>
    <w:rsid w:val="003F1BE7"/>
    <w:rsid w:val="003F591F"/>
    <w:rsid w:val="003F6952"/>
    <w:rsid w:val="00400A5D"/>
    <w:rsid w:val="0042398F"/>
    <w:rsid w:val="00430BD6"/>
    <w:rsid w:val="00431CF7"/>
    <w:rsid w:val="004321D8"/>
    <w:rsid w:val="00440F7F"/>
    <w:rsid w:val="00445CD2"/>
    <w:rsid w:val="004526FA"/>
    <w:rsid w:val="00455C6A"/>
    <w:rsid w:val="0046210B"/>
    <w:rsid w:val="00495372"/>
    <w:rsid w:val="004966E7"/>
    <w:rsid w:val="004A5DEF"/>
    <w:rsid w:val="004A6B4B"/>
    <w:rsid w:val="004B30E4"/>
    <w:rsid w:val="004B462F"/>
    <w:rsid w:val="004B5E45"/>
    <w:rsid w:val="004B5F5F"/>
    <w:rsid w:val="004C24D5"/>
    <w:rsid w:val="004D2BE9"/>
    <w:rsid w:val="004D58BE"/>
    <w:rsid w:val="004E1DD1"/>
    <w:rsid w:val="004E438E"/>
    <w:rsid w:val="004F121E"/>
    <w:rsid w:val="004F1D7B"/>
    <w:rsid w:val="004F7F65"/>
    <w:rsid w:val="00502583"/>
    <w:rsid w:val="00515E51"/>
    <w:rsid w:val="00525CDE"/>
    <w:rsid w:val="005430AF"/>
    <w:rsid w:val="00543FD7"/>
    <w:rsid w:val="005456D0"/>
    <w:rsid w:val="00553E07"/>
    <w:rsid w:val="00554073"/>
    <w:rsid w:val="005567D1"/>
    <w:rsid w:val="00563839"/>
    <w:rsid w:val="005703E9"/>
    <w:rsid w:val="00573659"/>
    <w:rsid w:val="00574DA1"/>
    <w:rsid w:val="00577FC6"/>
    <w:rsid w:val="0058514C"/>
    <w:rsid w:val="00585EC4"/>
    <w:rsid w:val="00593E53"/>
    <w:rsid w:val="00595A2A"/>
    <w:rsid w:val="005973E7"/>
    <w:rsid w:val="005A57F0"/>
    <w:rsid w:val="005A7784"/>
    <w:rsid w:val="005B2749"/>
    <w:rsid w:val="005B307D"/>
    <w:rsid w:val="005B3432"/>
    <w:rsid w:val="005B3B5B"/>
    <w:rsid w:val="005B4497"/>
    <w:rsid w:val="005C1C76"/>
    <w:rsid w:val="005C72A6"/>
    <w:rsid w:val="005D1377"/>
    <w:rsid w:val="005D507A"/>
    <w:rsid w:val="005D5A34"/>
    <w:rsid w:val="005D62E8"/>
    <w:rsid w:val="005D7EB9"/>
    <w:rsid w:val="005E0629"/>
    <w:rsid w:val="005E0D37"/>
    <w:rsid w:val="005E34CE"/>
    <w:rsid w:val="005E6622"/>
    <w:rsid w:val="005F0D49"/>
    <w:rsid w:val="005F1D1C"/>
    <w:rsid w:val="005F3479"/>
    <w:rsid w:val="005F65BE"/>
    <w:rsid w:val="0060057B"/>
    <w:rsid w:val="00602674"/>
    <w:rsid w:val="00607D6F"/>
    <w:rsid w:val="0061630D"/>
    <w:rsid w:val="00620949"/>
    <w:rsid w:val="006211A2"/>
    <w:rsid w:val="00621451"/>
    <w:rsid w:val="00624E23"/>
    <w:rsid w:val="006264CC"/>
    <w:rsid w:val="0064030F"/>
    <w:rsid w:val="006408BE"/>
    <w:rsid w:val="00640A60"/>
    <w:rsid w:val="00644578"/>
    <w:rsid w:val="00650206"/>
    <w:rsid w:val="0065293A"/>
    <w:rsid w:val="00656A86"/>
    <w:rsid w:val="0066416C"/>
    <w:rsid w:val="0067121D"/>
    <w:rsid w:val="00672F41"/>
    <w:rsid w:val="0067373E"/>
    <w:rsid w:val="00675FA4"/>
    <w:rsid w:val="00675FDB"/>
    <w:rsid w:val="00676A62"/>
    <w:rsid w:val="00683031"/>
    <w:rsid w:val="0068329F"/>
    <w:rsid w:val="006905F4"/>
    <w:rsid w:val="00690BE5"/>
    <w:rsid w:val="00691538"/>
    <w:rsid w:val="00694C0F"/>
    <w:rsid w:val="006A3FE9"/>
    <w:rsid w:val="006A4E00"/>
    <w:rsid w:val="006A6609"/>
    <w:rsid w:val="006B278D"/>
    <w:rsid w:val="006B5B17"/>
    <w:rsid w:val="006C4AEC"/>
    <w:rsid w:val="006D3A62"/>
    <w:rsid w:val="006D55C9"/>
    <w:rsid w:val="006E4ACF"/>
    <w:rsid w:val="006E6AFE"/>
    <w:rsid w:val="006E7166"/>
    <w:rsid w:val="006F09BB"/>
    <w:rsid w:val="006F0FD1"/>
    <w:rsid w:val="006F7DCB"/>
    <w:rsid w:val="00701380"/>
    <w:rsid w:val="00702C43"/>
    <w:rsid w:val="00702D3E"/>
    <w:rsid w:val="0070581C"/>
    <w:rsid w:val="00705A69"/>
    <w:rsid w:val="0070638B"/>
    <w:rsid w:val="00711141"/>
    <w:rsid w:val="00711D95"/>
    <w:rsid w:val="0071223E"/>
    <w:rsid w:val="00715DEB"/>
    <w:rsid w:val="0071604B"/>
    <w:rsid w:val="007161C1"/>
    <w:rsid w:val="00720607"/>
    <w:rsid w:val="00723688"/>
    <w:rsid w:val="0073472B"/>
    <w:rsid w:val="00736666"/>
    <w:rsid w:val="00743A8C"/>
    <w:rsid w:val="00743DA9"/>
    <w:rsid w:val="00752D2B"/>
    <w:rsid w:val="00756AB3"/>
    <w:rsid w:val="00757AB9"/>
    <w:rsid w:val="0076235D"/>
    <w:rsid w:val="00767231"/>
    <w:rsid w:val="00767AF5"/>
    <w:rsid w:val="00767D83"/>
    <w:rsid w:val="007745A8"/>
    <w:rsid w:val="00774810"/>
    <w:rsid w:val="007774F6"/>
    <w:rsid w:val="00781185"/>
    <w:rsid w:val="00784AC4"/>
    <w:rsid w:val="007854B1"/>
    <w:rsid w:val="0079034D"/>
    <w:rsid w:val="0079052C"/>
    <w:rsid w:val="007918C7"/>
    <w:rsid w:val="007931B6"/>
    <w:rsid w:val="00793977"/>
    <w:rsid w:val="00795ABC"/>
    <w:rsid w:val="007970DA"/>
    <w:rsid w:val="007A0F59"/>
    <w:rsid w:val="007B3105"/>
    <w:rsid w:val="007B424C"/>
    <w:rsid w:val="007B4B90"/>
    <w:rsid w:val="007C2BE4"/>
    <w:rsid w:val="007C396E"/>
    <w:rsid w:val="007C4A3E"/>
    <w:rsid w:val="007E1132"/>
    <w:rsid w:val="007E5244"/>
    <w:rsid w:val="007E5488"/>
    <w:rsid w:val="007E5D6E"/>
    <w:rsid w:val="007E6819"/>
    <w:rsid w:val="007E6EE6"/>
    <w:rsid w:val="007F388A"/>
    <w:rsid w:val="007F74F3"/>
    <w:rsid w:val="007F77EB"/>
    <w:rsid w:val="0080016A"/>
    <w:rsid w:val="008013B7"/>
    <w:rsid w:val="0080472A"/>
    <w:rsid w:val="0081161B"/>
    <w:rsid w:val="0081423B"/>
    <w:rsid w:val="00820935"/>
    <w:rsid w:val="00822F92"/>
    <w:rsid w:val="008250F1"/>
    <w:rsid w:val="00827DC5"/>
    <w:rsid w:val="00833BC3"/>
    <w:rsid w:val="00843E49"/>
    <w:rsid w:val="00844EE4"/>
    <w:rsid w:val="0084629B"/>
    <w:rsid w:val="00846BE5"/>
    <w:rsid w:val="00853784"/>
    <w:rsid w:val="00853B17"/>
    <w:rsid w:val="0086477A"/>
    <w:rsid w:val="00864842"/>
    <w:rsid w:val="00867B82"/>
    <w:rsid w:val="00867DFB"/>
    <w:rsid w:val="00872058"/>
    <w:rsid w:val="008754BF"/>
    <w:rsid w:val="00876418"/>
    <w:rsid w:val="00882137"/>
    <w:rsid w:val="00883380"/>
    <w:rsid w:val="0088541B"/>
    <w:rsid w:val="008857F5"/>
    <w:rsid w:val="00892056"/>
    <w:rsid w:val="00892DF1"/>
    <w:rsid w:val="00895C80"/>
    <w:rsid w:val="008964AB"/>
    <w:rsid w:val="008A26F3"/>
    <w:rsid w:val="008A7CA4"/>
    <w:rsid w:val="008B10EB"/>
    <w:rsid w:val="008C02D6"/>
    <w:rsid w:val="008C0AC2"/>
    <w:rsid w:val="008C309F"/>
    <w:rsid w:val="008C4187"/>
    <w:rsid w:val="008E37A1"/>
    <w:rsid w:val="008E5AE8"/>
    <w:rsid w:val="008E67F1"/>
    <w:rsid w:val="008E6EEA"/>
    <w:rsid w:val="008F59CC"/>
    <w:rsid w:val="008F73CB"/>
    <w:rsid w:val="009002BF"/>
    <w:rsid w:val="009015EA"/>
    <w:rsid w:val="00901EA0"/>
    <w:rsid w:val="00903BBC"/>
    <w:rsid w:val="00906BFA"/>
    <w:rsid w:val="00910A61"/>
    <w:rsid w:val="00916323"/>
    <w:rsid w:val="00917223"/>
    <w:rsid w:val="00920598"/>
    <w:rsid w:val="00921DEC"/>
    <w:rsid w:val="009242C7"/>
    <w:rsid w:val="00925F94"/>
    <w:rsid w:val="00926679"/>
    <w:rsid w:val="0093004D"/>
    <w:rsid w:val="00930770"/>
    <w:rsid w:val="00932A3C"/>
    <w:rsid w:val="00935D58"/>
    <w:rsid w:val="00940F28"/>
    <w:rsid w:val="0094302C"/>
    <w:rsid w:val="009511AA"/>
    <w:rsid w:val="00957016"/>
    <w:rsid w:val="009604A5"/>
    <w:rsid w:val="0096217C"/>
    <w:rsid w:val="00962446"/>
    <w:rsid w:val="00962ADD"/>
    <w:rsid w:val="00965344"/>
    <w:rsid w:val="009719DE"/>
    <w:rsid w:val="0097431A"/>
    <w:rsid w:val="00980F65"/>
    <w:rsid w:val="00982BB2"/>
    <w:rsid w:val="009853E3"/>
    <w:rsid w:val="009868C9"/>
    <w:rsid w:val="00987DE5"/>
    <w:rsid w:val="00993CA6"/>
    <w:rsid w:val="00993CD3"/>
    <w:rsid w:val="009952A9"/>
    <w:rsid w:val="00995FA6"/>
    <w:rsid w:val="009A0FB3"/>
    <w:rsid w:val="009A30F8"/>
    <w:rsid w:val="009A6E92"/>
    <w:rsid w:val="009B0D01"/>
    <w:rsid w:val="009B208B"/>
    <w:rsid w:val="009B4369"/>
    <w:rsid w:val="009C5125"/>
    <w:rsid w:val="009D15D4"/>
    <w:rsid w:val="009D20DB"/>
    <w:rsid w:val="009D5B69"/>
    <w:rsid w:val="009D784E"/>
    <w:rsid w:val="009D7914"/>
    <w:rsid w:val="009E0DAF"/>
    <w:rsid w:val="009E418C"/>
    <w:rsid w:val="009E4B28"/>
    <w:rsid w:val="009E7011"/>
    <w:rsid w:val="009F0BF4"/>
    <w:rsid w:val="009F24E0"/>
    <w:rsid w:val="009F2885"/>
    <w:rsid w:val="00A02E30"/>
    <w:rsid w:val="00A031AC"/>
    <w:rsid w:val="00A035FF"/>
    <w:rsid w:val="00A054B7"/>
    <w:rsid w:val="00A1125E"/>
    <w:rsid w:val="00A158F7"/>
    <w:rsid w:val="00A166F2"/>
    <w:rsid w:val="00A26E45"/>
    <w:rsid w:val="00A27624"/>
    <w:rsid w:val="00A32023"/>
    <w:rsid w:val="00A3214D"/>
    <w:rsid w:val="00A33E39"/>
    <w:rsid w:val="00A37053"/>
    <w:rsid w:val="00A41F61"/>
    <w:rsid w:val="00A42FF1"/>
    <w:rsid w:val="00A450DD"/>
    <w:rsid w:val="00A479D4"/>
    <w:rsid w:val="00A5128C"/>
    <w:rsid w:val="00A56973"/>
    <w:rsid w:val="00A57022"/>
    <w:rsid w:val="00A579B9"/>
    <w:rsid w:val="00A61232"/>
    <w:rsid w:val="00A63EC0"/>
    <w:rsid w:val="00A6410F"/>
    <w:rsid w:val="00A65D1D"/>
    <w:rsid w:val="00A73347"/>
    <w:rsid w:val="00A765AC"/>
    <w:rsid w:val="00A76DC0"/>
    <w:rsid w:val="00A76DDE"/>
    <w:rsid w:val="00A8068E"/>
    <w:rsid w:val="00A8239B"/>
    <w:rsid w:val="00A82A1D"/>
    <w:rsid w:val="00A93994"/>
    <w:rsid w:val="00A94D15"/>
    <w:rsid w:val="00A97201"/>
    <w:rsid w:val="00AA3539"/>
    <w:rsid w:val="00AB1706"/>
    <w:rsid w:val="00AB1E31"/>
    <w:rsid w:val="00AB52F9"/>
    <w:rsid w:val="00AB560F"/>
    <w:rsid w:val="00AB71A1"/>
    <w:rsid w:val="00AC142A"/>
    <w:rsid w:val="00AC1F96"/>
    <w:rsid w:val="00AC54D0"/>
    <w:rsid w:val="00AC6768"/>
    <w:rsid w:val="00AC7085"/>
    <w:rsid w:val="00AD210C"/>
    <w:rsid w:val="00AD6199"/>
    <w:rsid w:val="00AD6BC0"/>
    <w:rsid w:val="00AE0EF3"/>
    <w:rsid w:val="00AE3580"/>
    <w:rsid w:val="00AE41FC"/>
    <w:rsid w:val="00AF30CC"/>
    <w:rsid w:val="00AF35F8"/>
    <w:rsid w:val="00AF54A6"/>
    <w:rsid w:val="00AF64AD"/>
    <w:rsid w:val="00B0236F"/>
    <w:rsid w:val="00B02861"/>
    <w:rsid w:val="00B03D4A"/>
    <w:rsid w:val="00B05143"/>
    <w:rsid w:val="00B10696"/>
    <w:rsid w:val="00B13551"/>
    <w:rsid w:val="00B17E4E"/>
    <w:rsid w:val="00B22AE9"/>
    <w:rsid w:val="00B258F6"/>
    <w:rsid w:val="00B32540"/>
    <w:rsid w:val="00B35127"/>
    <w:rsid w:val="00B35916"/>
    <w:rsid w:val="00B35F3F"/>
    <w:rsid w:val="00B36222"/>
    <w:rsid w:val="00B37476"/>
    <w:rsid w:val="00B406CE"/>
    <w:rsid w:val="00B41DD6"/>
    <w:rsid w:val="00B44148"/>
    <w:rsid w:val="00B515AF"/>
    <w:rsid w:val="00B515E9"/>
    <w:rsid w:val="00B52832"/>
    <w:rsid w:val="00B52B17"/>
    <w:rsid w:val="00B53B47"/>
    <w:rsid w:val="00B63373"/>
    <w:rsid w:val="00B63A81"/>
    <w:rsid w:val="00B666A4"/>
    <w:rsid w:val="00B66E59"/>
    <w:rsid w:val="00B713C5"/>
    <w:rsid w:val="00B73635"/>
    <w:rsid w:val="00B759FD"/>
    <w:rsid w:val="00B77456"/>
    <w:rsid w:val="00B84ECF"/>
    <w:rsid w:val="00B92C0D"/>
    <w:rsid w:val="00B96388"/>
    <w:rsid w:val="00B96DC9"/>
    <w:rsid w:val="00BA0BBB"/>
    <w:rsid w:val="00BA3E8C"/>
    <w:rsid w:val="00BA42E6"/>
    <w:rsid w:val="00BA4718"/>
    <w:rsid w:val="00BA7C6B"/>
    <w:rsid w:val="00BB4D6E"/>
    <w:rsid w:val="00BB6D1E"/>
    <w:rsid w:val="00BC5754"/>
    <w:rsid w:val="00BC5E00"/>
    <w:rsid w:val="00BC60F9"/>
    <w:rsid w:val="00BD0C71"/>
    <w:rsid w:val="00BD45C4"/>
    <w:rsid w:val="00BD6138"/>
    <w:rsid w:val="00BF0A55"/>
    <w:rsid w:val="00BF37B8"/>
    <w:rsid w:val="00C01277"/>
    <w:rsid w:val="00C037C3"/>
    <w:rsid w:val="00C03F01"/>
    <w:rsid w:val="00C0466C"/>
    <w:rsid w:val="00C067AA"/>
    <w:rsid w:val="00C12A45"/>
    <w:rsid w:val="00C13554"/>
    <w:rsid w:val="00C14C0E"/>
    <w:rsid w:val="00C2041C"/>
    <w:rsid w:val="00C25257"/>
    <w:rsid w:val="00C30C4A"/>
    <w:rsid w:val="00C31B37"/>
    <w:rsid w:val="00C31E78"/>
    <w:rsid w:val="00C31EB1"/>
    <w:rsid w:val="00C36A32"/>
    <w:rsid w:val="00C36C05"/>
    <w:rsid w:val="00C46314"/>
    <w:rsid w:val="00C50CA2"/>
    <w:rsid w:val="00C513D2"/>
    <w:rsid w:val="00C52283"/>
    <w:rsid w:val="00C541A3"/>
    <w:rsid w:val="00C55507"/>
    <w:rsid w:val="00C5631E"/>
    <w:rsid w:val="00C60A1A"/>
    <w:rsid w:val="00C6688C"/>
    <w:rsid w:val="00C71B1E"/>
    <w:rsid w:val="00C72A6D"/>
    <w:rsid w:val="00C77244"/>
    <w:rsid w:val="00C81BB5"/>
    <w:rsid w:val="00C82FE8"/>
    <w:rsid w:val="00C872AB"/>
    <w:rsid w:val="00C95C0A"/>
    <w:rsid w:val="00CA6898"/>
    <w:rsid w:val="00CA79BC"/>
    <w:rsid w:val="00CB1BB2"/>
    <w:rsid w:val="00CB772F"/>
    <w:rsid w:val="00CC3EE8"/>
    <w:rsid w:val="00CC4B91"/>
    <w:rsid w:val="00CD07A7"/>
    <w:rsid w:val="00CD1E0D"/>
    <w:rsid w:val="00CD57E9"/>
    <w:rsid w:val="00CE0375"/>
    <w:rsid w:val="00CE672E"/>
    <w:rsid w:val="00CF143A"/>
    <w:rsid w:val="00CF75CB"/>
    <w:rsid w:val="00D00AE7"/>
    <w:rsid w:val="00D0139D"/>
    <w:rsid w:val="00D02F5F"/>
    <w:rsid w:val="00D07C8A"/>
    <w:rsid w:val="00D11817"/>
    <w:rsid w:val="00D132C4"/>
    <w:rsid w:val="00D13F69"/>
    <w:rsid w:val="00D14CCF"/>
    <w:rsid w:val="00D14E3C"/>
    <w:rsid w:val="00D14EB9"/>
    <w:rsid w:val="00D17B64"/>
    <w:rsid w:val="00D20C5D"/>
    <w:rsid w:val="00D22A0A"/>
    <w:rsid w:val="00D2678D"/>
    <w:rsid w:val="00D3084B"/>
    <w:rsid w:val="00D416B6"/>
    <w:rsid w:val="00D42A92"/>
    <w:rsid w:val="00D433FF"/>
    <w:rsid w:val="00D55111"/>
    <w:rsid w:val="00D63D13"/>
    <w:rsid w:val="00D6765C"/>
    <w:rsid w:val="00D67A0A"/>
    <w:rsid w:val="00D721B9"/>
    <w:rsid w:val="00D73665"/>
    <w:rsid w:val="00D7488D"/>
    <w:rsid w:val="00D763CF"/>
    <w:rsid w:val="00D80B29"/>
    <w:rsid w:val="00D91015"/>
    <w:rsid w:val="00D9117C"/>
    <w:rsid w:val="00D91DA0"/>
    <w:rsid w:val="00D929AD"/>
    <w:rsid w:val="00DA0F22"/>
    <w:rsid w:val="00DA5C25"/>
    <w:rsid w:val="00DA77AC"/>
    <w:rsid w:val="00DB06DB"/>
    <w:rsid w:val="00DB234A"/>
    <w:rsid w:val="00DB4E58"/>
    <w:rsid w:val="00DD2FBC"/>
    <w:rsid w:val="00DD73A3"/>
    <w:rsid w:val="00DE6E6D"/>
    <w:rsid w:val="00DE6EA0"/>
    <w:rsid w:val="00DE78D4"/>
    <w:rsid w:val="00DF3F16"/>
    <w:rsid w:val="00DF5870"/>
    <w:rsid w:val="00DF5DE2"/>
    <w:rsid w:val="00E00B14"/>
    <w:rsid w:val="00E01A65"/>
    <w:rsid w:val="00E03347"/>
    <w:rsid w:val="00E0357A"/>
    <w:rsid w:val="00E1628E"/>
    <w:rsid w:val="00E2529E"/>
    <w:rsid w:val="00E428E6"/>
    <w:rsid w:val="00E43147"/>
    <w:rsid w:val="00E433D6"/>
    <w:rsid w:val="00E53141"/>
    <w:rsid w:val="00E53A8D"/>
    <w:rsid w:val="00E53BCC"/>
    <w:rsid w:val="00E54AC0"/>
    <w:rsid w:val="00E559EB"/>
    <w:rsid w:val="00E56506"/>
    <w:rsid w:val="00E56F58"/>
    <w:rsid w:val="00E57101"/>
    <w:rsid w:val="00E6177F"/>
    <w:rsid w:val="00E66736"/>
    <w:rsid w:val="00E668B6"/>
    <w:rsid w:val="00E67156"/>
    <w:rsid w:val="00E70A8E"/>
    <w:rsid w:val="00E73199"/>
    <w:rsid w:val="00E752F2"/>
    <w:rsid w:val="00E77B6C"/>
    <w:rsid w:val="00E805A2"/>
    <w:rsid w:val="00E80CAB"/>
    <w:rsid w:val="00E82591"/>
    <w:rsid w:val="00E84FE1"/>
    <w:rsid w:val="00E91353"/>
    <w:rsid w:val="00E91409"/>
    <w:rsid w:val="00E97ED9"/>
    <w:rsid w:val="00E97EDF"/>
    <w:rsid w:val="00EA068C"/>
    <w:rsid w:val="00EA2E2B"/>
    <w:rsid w:val="00EB4913"/>
    <w:rsid w:val="00EB572D"/>
    <w:rsid w:val="00EC0345"/>
    <w:rsid w:val="00EC368C"/>
    <w:rsid w:val="00ED6763"/>
    <w:rsid w:val="00EE0AB2"/>
    <w:rsid w:val="00EE35D8"/>
    <w:rsid w:val="00EF3F06"/>
    <w:rsid w:val="00EF6534"/>
    <w:rsid w:val="00F04D83"/>
    <w:rsid w:val="00F05F04"/>
    <w:rsid w:val="00F104C5"/>
    <w:rsid w:val="00F145C8"/>
    <w:rsid w:val="00F150B1"/>
    <w:rsid w:val="00F21361"/>
    <w:rsid w:val="00F22AA2"/>
    <w:rsid w:val="00F26456"/>
    <w:rsid w:val="00F30512"/>
    <w:rsid w:val="00F334E8"/>
    <w:rsid w:val="00F33BBA"/>
    <w:rsid w:val="00F37CE8"/>
    <w:rsid w:val="00F47778"/>
    <w:rsid w:val="00F5029A"/>
    <w:rsid w:val="00F520A3"/>
    <w:rsid w:val="00F56A03"/>
    <w:rsid w:val="00F61CCD"/>
    <w:rsid w:val="00F63E5B"/>
    <w:rsid w:val="00F719C0"/>
    <w:rsid w:val="00F7228A"/>
    <w:rsid w:val="00F73AC8"/>
    <w:rsid w:val="00F745FA"/>
    <w:rsid w:val="00F8081F"/>
    <w:rsid w:val="00F80CC3"/>
    <w:rsid w:val="00F81F01"/>
    <w:rsid w:val="00F83207"/>
    <w:rsid w:val="00F91868"/>
    <w:rsid w:val="00F95370"/>
    <w:rsid w:val="00F96302"/>
    <w:rsid w:val="00FA0CFC"/>
    <w:rsid w:val="00FA2D17"/>
    <w:rsid w:val="00FA378B"/>
    <w:rsid w:val="00FB11AA"/>
    <w:rsid w:val="00FB149D"/>
    <w:rsid w:val="00FB469E"/>
    <w:rsid w:val="00FB4CF9"/>
    <w:rsid w:val="00FB5E74"/>
    <w:rsid w:val="00FC3E8F"/>
    <w:rsid w:val="00FD14D9"/>
    <w:rsid w:val="00FD1584"/>
    <w:rsid w:val="00FE0BB4"/>
    <w:rsid w:val="00FE355C"/>
    <w:rsid w:val="00FE5563"/>
    <w:rsid w:val="00FE66D9"/>
    <w:rsid w:val="00FF1095"/>
    <w:rsid w:val="00FF1B4A"/>
    <w:rsid w:val="00FF39FC"/>
    <w:rsid w:val="00FF3B7D"/>
    <w:rsid w:val="09D3298B"/>
    <w:rsid w:val="0BCDA3D0"/>
    <w:rsid w:val="10E03636"/>
    <w:rsid w:val="11BB724C"/>
    <w:rsid w:val="156B1BD6"/>
    <w:rsid w:val="170F61FF"/>
    <w:rsid w:val="19BA1EFA"/>
    <w:rsid w:val="1B48693A"/>
    <w:rsid w:val="1C668A4D"/>
    <w:rsid w:val="1F1FEE8B"/>
    <w:rsid w:val="246B14E0"/>
    <w:rsid w:val="28665638"/>
    <w:rsid w:val="2E820118"/>
    <w:rsid w:val="308E30D2"/>
    <w:rsid w:val="34987531"/>
    <w:rsid w:val="37C83DC5"/>
    <w:rsid w:val="37CA51D9"/>
    <w:rsid w:val="39CF6340"/>
    <w:rsid w:val="3B9D379F"/>
    <w:rsid w:val="3EC27CA4"/>
    <w:rsid w:val="477F442B"/>
    <w:rsid w:val="53401906"/>
    <w:rsid w:val="538F59F6"/>
    <w:rsid w:val="5B02132A"/>
    <w:rsid w:val="5D51F0E5"/>
    <w:rsid w:val="5D520EAB"/>
    <w:rsid w:val="5E731884"/>
    <w:rsid w:val="5FF636EE"/>
    <w:rsid w:val="61C40F61"/>
    <w:rsid w:val="691B081A"/>
    <w:rsid w:val="69D106BF"/>
    <w:rsid w:val="6FFA72AD"/>
    <w:rsid w:val="6FFF4223"/>
    <w:rsid w:val="71147D94"/>
    <w:rsid w:val="76F9B9ED"/>
    <w:rsid w:val="77BB2297"/>
    <w:rsid w:val="799A7968"/>
    <w:rsid w:val="7A370AAA"/>
    <w:rsid w:val="7BE76A3D"/>
    <w:rsid w:val="7FFEAB04"/>
    <w:rsid w:val="9F7FA1F0"/>
    <w:rsid w:val="AF5E5A94"/>
    <w:rsid w:val="BA7B23C6"/>
    <w:rsid w:val="BDCF4098"/>
    <w:rsid w:val="BFE24481"/>
    <w:rsid w:val="DFD7B404"/>
    <w:rsid w:val="DFF69E48"/>
    <w:rsid w:val="EBBBB139"/>
    <w:rsid w:val="F6EE1452"/>
    <w:rsid w:val="F9730CD1"/>
    <w:rsid w:val="FF778473"/>
    <w:rsid w:val="FF7F27CD"/>
    <w:rsid w:val="FFFF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50" w:after="100" w:afterAutospacing="1"/>
      <w:ind w:firstLine="200" w:firstLineChars="200"/>
    </w:pPr>
    <w:rPr>
      <w:rFonts w:ascii="DengXian" w:hAnsi="DengXian" w:eastAsia="宋体" w:cs="宋体"/>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1"/>
    <w:pPr>
      <w:ind w:left="100"/>
    </w:pPr>
    <w:rPr>
      <w:rFonts w:ascii="宋体" w:hAnsi="宋体"/>
      <w:lang w:val="zh-CN" w:bidi="zh-CN"/>
    </w:rPr>
  </w:style>
  <w:style w:type="paragraph" w:styleId="4">
    <w:name w:val="Balloon Text"/>
    <w:basedOn w:val="1"/>
    <w:link w:val="10"/>
    <w:semiHidden/>
    <w:unhideWhenUsed/>
    <w:uiPriority w:val="99"/>
    <w:pPr>
      <w:spacing w:after="0"/>
    </w:pPr>
    <w:rPr>
      <w:sz w:val="18"/>
      <w:szCs w:val="18"/>
    </w:rPr>
  </w:style>
  <w:style w:type="paragraph" w:styleId="5">
    <w:name w:val="footer"/>
    <w:basedOn w:val="1"/>
    <w:semiHidden/>
    <w:unhideWhenUsed/>
    <w:qFormat/>
    <w:uiPriority w:val="99"/>
    <w:pPr>
      <w:tabs>
        <w:tab w:val="center" w:pos="4153"/>
        <w:tab w:val="right" w:pos="8306"/>
      </w:tabs>
      <w:snapToGrid w:val="0"/>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9">
    <w:name w:val="15"/>
    <w:basedOn w:val="8"/>
    <w:qFormat/>
    <w:uiPriority w:val="0"/>
    <w:rPr>
      <w:rFonts w:hint="eastAsia" w:ascii="微软雅黑" w:hAnsi="微软雅黑" w:eastAsia="微软雅黑"/>
      <w:b/>
      <w:bCs/>
      <w:sz w:val="21"/>
      <w:szCs w:val="21"/>
    </w:rPr>
  </w:style>
  <w:style w:type="character" w:customStyle="1" w:styleId="10">
    <w:name w:val="批注框文本 Char"/>
    <w:basedOn w:val="8"/>
    <w:link w:val="4"/>
    <w:semiHidden/>
    <w:uiPriority w:val="99"/>
    <w:rPr>
      <w:rFonts w:ascii="DengXian" w:hAnsi="DengXian"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547</Words>
  <Characters>3122</Characters>
  <Lines>26</Lines>
  <Paragraphs>7</Paragraphs>
  <TotalTime>8</TotalTime>
  <ScaleCrop>false</ScaleCrop>
  <LinksUpToDate>false</LinksUpToDate>
  <CharactersWithSpaces>3662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2023-08-21T17:10:00Z</dcterms:created>
  <dc:creator>李艳</dc:creator>
  <cp:lastModifiedBy>lenovo</cp:lastModifiedBy>
  <dcterms:modified xsi:type="dcterms:W3CDTF">2023-11-08T08:44:47Z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943070A8A1124959BE6B68CA010DFAD2_13</vt:lpwstr>
  </property>
</Properties>
</file>