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BF1DE" w:themeColor="accent3" w:themeTint="33"/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广西壮族自治区交通运输厅2021年政府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信息公开工作年度报告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自治区交通运输厅深入贯彻《中华人民共和国政府信息公开条例》(以下简称《条例》)要求，按照国务院办公厅政府信息与政务公开办公室印发的《中华人民共和国政府信息公开工作年度报告格式》（国办公开办函〔2021〕30号）通知要求，强化组织保障，抓好主动公开和依申请公开工作。现向社会公布2021年本部门政府信息公开工作年度报告。本报告由总体情况、主动公开政府信息情况、收到和处理政府信息公开申请情况、政府信息公开行政复议和行政诉讼情况、存在的主要问题及改进情况等部分组成。本报告中所列数据的统计期限自2021年1月1日起至2021年12月31日止。本年度报告可在广西壮族自治区交通运输厅网站（网址：http://jtt.gxzf.gov.cn/）政府信息公开专栏查询。如对本年度报告有疑问，请与广西壮族自治区交通运输厅政府信息公开领导小组办公室联系（电话：0771-2115002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黑体" w:hAnsi="黑体" w:eastAsia="黑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自治区交通运输厅以习近平新时代中国特色社会主义思想为指导，全面贯彻党的十九大和十九届历次全会精神，坚持以人民为中心的发展思想，深入贯彻落实党中央、国务院和自治区党委、政府关于政务公开工作部署要求，严格执行新修订的《条例》，立足交通运输工作重点，强化政务信息发布、政策解读、互动交流、热点回应等政务服务，扎实推进政务公开工作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snapToGrid w:val="0"/>
          <w:color w:val="000000"/>
          <w:sz w:val="32"/>
          <w:szCs w:val="32"/>
        </w:rPr>
        <w:t>（一）完善规章制度，强化组织保障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印发《广西壮族自治区政府信息依申请公开工作制度》（桂政务公开办函〔2021〕1号）加强组织实施，进一步做好政务公开、政府信息公开工作。安排厅政务公开工作小组成员学习《条例》及最新政务公开文件等，开展政府信息公</w:t>
      </w:r>
      <w:bookmarkStart w:id="0" w:name="_GoBack"/>
      <w:bookmarkEnd w:id="0"/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开工作专题培训，不断提升工作人员政府信息公开专项业务水平。2021年自治区交通运输厅结合工作实际，调整政务公开领导小组人员，负责日常信息公开工作，并统筹协调落实领导小组有关工作部署，做到应报尽报，全面准确。同时，定期或不定期开展监督检查等，确保监督有力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snapToGrid w:val="0"/>
          <w:color w:val="000000"/>
          <w:sz w:val="32"/>
          <w:szCs w:val="32"/>
        </w:rPr>
        <w:t>（二）加强平台建设，做好信息公开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自治区交通运输厅着重加强门户网站建设，主动落实信息公开。在门户网站上规范设置政府信息公开专栏，主动公开厅机关的政府信息公开目录和政府信息公开指南。2021年度网站用户总访问量（PV）2979875次，独立用户访问总量(UV)1039261个。信息发布总数4810条，其中概况类信息更新量1478条，政务动态信息更新量1598条，信息公开目录信息公开量1734条。维护专题专栏13个，新开设专题专栏2个。解读信息发布30条。回应公众关注热点或重大舆情数量7次。发布政务服务事项数量186项，可全程办理服务事项数量73项。办件量总数103415件，其中自然人办件量846件，法人办件量102569件。本年度共征集调查17期，收到18条意见。在线访谈2期。收到留言数量153条，办结留言数量153条，公开答复102条按时办结，按时办结率100%，并使用统一平台提供智能问答。另外，自治区交通运输厅加强新媒体建设，2021年度厅微博客户端信息发布499条，关注量3903个。微信公众号发布信息743条，关注量14383个。对法定主动公开内容全部公开到位。2021年度共收到依申请公开19条，上年结转1条，除2条由于客观原因结转外，全部按时答复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snapToGrid w:val="0"/>
          <w:color w:val="000000"/>
          <w:sz w:val="32"/>
          <w:szCs w:val="32"/>
        </w:rPr>
        <w:t>（三）强化监督管理，按时做好整改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交通运输厅加强厅官方网站的安全防护能力，完善网站安全管理制度，不定期地开展安全自检和系统升级工作，未发生被通报的网络安全事件。梳理政府信息公开目录和公开指南，目录各项内容明确到各处室，确保每项内容都有人管有人抓。根据工作要点的安排，结合本厅实际情况对目录进行了修订更新，并按要求在厅官方网站上公布。</w:t>
      </w:r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建立每月约稿制度，每月按时通报厅办公系统发布的约稿信息，督促各处室及时公开应公开内容，并将各处室完成情况纳入绩效考核，激励各处室按时公开法定公开内容。安排专人负责检查政策性文件解读发布情况，确保解读在法定公开时间内发布，并</w:t>
      </w:r>
      <w:r>
        <w:rPr>
          <w:rFonts w:hint="eastAsia" w:ascii="仿宋_GB2312" w:eastAsia="仿宋_GB2312"/>
          <w:sz w:val="32"/>
          <w:szCs w:val="32"/>
        </w:rPr>
        <w:t>通过多种形式、多种渠道、多种层次进行有针对性的解读，以问答、图文、新闻发布会等方式，对我厅制定出台的关于政务服务、行政审批改革、政务公开等政策一一进行解读，对政策的出台背景、法理依据、主要内容、落实措施作出解释说明，提高社会公众对我厅政策的知晓度，加深公众对政府行为的理解，有利于更好落实相关政策，保障公众知情权、参与权、监督权。</w:t>
      </w:r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严格按照《条例》要求，在自治区大数据发展局的指导下，在自治区交通运输厅政务公开领导小组领导下，</w:t>
      </w:r>
      <w:r>
        <w:rPr>
          <w:rFonts w:hint="eastAsia" w:ascii="仿宋_GB2312" w:eastAsia="仿宋_GB2312"/>
          <w:sz w:val="32"/>
          <w:szCs w:val="32"/>
        </w:rPr>
        <w:t>限期完成整改，确保主动公开相关规定得到有效落实。</w:t>
      </w:r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每月主动抽查网站内容，对网站规范管理，查漏补缺，纠偏矫正。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主动公开政府信息情况</w:t>
      </w:r>
    </w:p>
    <w:p>
      <w:pPr>
        <w:pStyle w:val="8"/>
        <w:adjustRightInd w:val="0"/>
        <w:snapToGrid w:val="0"/>
        <w:spacing w:line="460" w:lineRule="exact"/>
        <w:ind w:left="1280" w:firstLine="0" w:firstLineChars="0"/>
        <w:rPr>
          <w:rFonts w:ascii="黑体" w:hAnsi="黑体" w:eastAsia="黑体"/>
          <w:snapToGrid w:val="0"/>
          <w:color w:val="000000"/>
          <w:sz w:val="32"/>
          <w:szCs w:val="32"/>
        </w:rPr>
      </w:pPr>
    </w:p>
    <w:tbl>
      <w:tblPr>
        <w:tblStyle w:val="4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　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 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 3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 102900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633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　199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  <w:t>4293.095</w:t>
            </w:r>
          </w:p>
        </w:tc>
      </w:tr>
    </w:tbl>
    <w:p>
      <w:pPr>
        <w:adjustRightInd w:val="0"/>
        <w:snapToGrid w:val="0"/>
        <w:spacing w:line="460" w:lineRule="exact"/>
        <w:ind w:firstLine="642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  <w:highlight w:val="yellow"/>
        </w:rPr>
      </w:pPr>
    </w:p>
    <w:p>
      <w:pPr>
        <w:adjustRightInd w:val="0"/>
        <w:snapToGrid w:val="0"/>
        <w:spacing w:line="460" w:lineRule="exact"/>
        <w:ind w:firstLine="642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  <w:highlight w:val="yellow"/>
        </w:rPr>
      </w:pPr>
    </w:p>
    <w:p>
      <w:pPr>
        <w:numPr>
          <w:ilvl w:val="0"/>
          <w:numId w:val="1"/>
        </w:numPr>
        <w:adjustRightInd w:val="0"/>
        <w:snapToGrid w:val="0"/>
        <w:spacing w:line="460" w:lineRule="exact"/>
        <w:rPr>
          <w:rFonts w:ascii="黑体" w:hAnsi="黑体" w:eastAsia="黑体"/>
          <w:snapToGrid w:val="0"/>
          <w:color w:val="auto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auto"/>
          <w:sz w:val="32"/>
          <w:szCs w:val="32"/>
        </w:rPr>
        <w:t>收到和处理政府信息公开申请情况</w:t>
      </w:r>
    </w:p>
    <w:p>
      <w:pPr>
        <w:adjustRightInd w:val="0"/>
        <w:snapToGrid w:val="0"/>
        <w:spacing w:line="460" w:lineRule="exact"/>
        <w:ind w:left="560"/>
        <w:rPr>
          <w:rFonts w:ascii="黑体" w:hAnsi="黑体" w:eastAsia="黑体"/>
          <w:snapToGrid w:val="0"/>
          <w:color w:val="000000"/>
          <w:sz w:val="32"/>
          <w:szCs w:val="32"/>
          <w:highlight w:val="yellow"/>
        </w:rPr>
      </w:pPr>
    </w:p>
    <w:tbl>
      <w:tblPr>
        <w:tblStyle w:val="4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9"/>
        <w:gridCol w:w="1106"/>
        <w:gridCol w:w="2744"/>
        <w:gridCol w:w="854"/>
        <w:gridCol w:w="643"/>
        <w:gridCol w:w="714"/>
        <w:gridCol w:w="658"/>
        <w:gridCol w:w="616"/>
        <w:gridCol w:w="420"/>
        <w:gridCol w:w="448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47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申请人情况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44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商业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科研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4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38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2.没有现成信息需要另行制作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85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2</w:t>
            </w:r>
          </w:p>
        </w:tc>
      </w:tr>
    </w:tbl>
    <w:p>
      <w:pPr>
        <w:adjustRightInd w:val="0"/>
        <w:snapToGrid w:val="0"/>
        <w:spacing w:line="460" w:lineRule="exact"/>
        <w:ind w:firstLine="640" w:firstLineChars="200"/>
        <w:rPr>
          <w:rFonts w:ascii="黑体" w:hAnsi="黑体" w:eastAsia="黑体"/>
          <w:snapToGrid w:val="0"/>
          <w:color w:val="000000"/>
          <w:sz w:val="32"/>
          <w:szCs w:val="32"/>
          <w:highlight w:val="yellow"/>
        </w:rPr>
      </w:pPr>
    </w:p>
    <w:p>
      <w:pPr>
        <w:numPr>
          <w:ilvl w:val="0"/>
          <w:numId w:val="1"/>
        </w:numPr>
        <w:adjustRightInd w:val="0"/>
        <w:snapToGrid w:val="0"/>
        <w:spacing w:line="460" w:lineRule="exact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政府信息公开行政复议、行政诉讼情况</w:t>
      </w:r>
    </w:p>
    <w:p>
      <w:pPr>
        <w:adjustRightInd w:val="0"/>
        <w:snapToGrid w:val="0"/>
        <w:spacing w:line="460" w:lineRule="exact"/>
        <w:ind w:left="560"/>
        <w:rPr>
          <w:rFonts w:ascii="黑体" w:hAnsi="黑体" w:eastAsia="黑体"/>
          <w:snapToGrid w:val="0"/>
          <w:color w:val="000000"/>
          <w:sz w:val="32"/>
          <w:szCs w:val="32"/>
          <w:highlight w:val="yellow"/>
        </w:rPr>
      </w:pPr>
    </w:p>
    <w:tbl>
      <w:tblPr>
        <w:tblStyle w:val="4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5"/>
        <w:gridCol w:w="605"/>
        <w:gridCol w:w="605"/>
        <w:gridCol w:w="605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行政复议</w:t>
            </w:r>
          </w:p>
        </w:tc>
        <w:tc>
          <w:tcPr>
            <w:tcW w:w="60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行政诉讼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复议后起诉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尚未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书宋_GBK" w:hAnsi="Times New Roman" w:eastAsia="方正书宋_GBK"/>
                <w:color w:val="000000"/>
                <w:kern w:val="0"/>
                <w:szCs w:val="21"/>
              </w:rPr>
            </w:pPr>
            <w:r>
              <w:rPr>
                <w:rFonts w:hint="eastAsia" w:ascii="方正书宋_GBK" w:hAnsi="Times New Roman" w:eastAsia="方正书宋_GBK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adjustRightInd w:val="0"/>
        <w:snapToGrid w:val="0"/>
        <w:spacing w:line="460" w:lineRule="exact"/>
        <w:ind w:firstLine="640" w:firstLineChars="200"/>
        <w:rPr>
          <w:rFonts w:ascii="黑体" w:hAnsi="黑体" w:eastAsia="黑体"/>
          <w:snapToGrid w:val="0"/>
          <w:color w:val="000000"/>
          <w:sz w:val="32"/>
          <w:szCs w:val="32"/>
          <w:highlight w:val="yellow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自治区交通运输厅不断完善厅门户网站政府信息公开功能，做好政策解读和热点回应工作，推进政府信息公开制度化、规范化、信息化建设，不断提升政府信息公开水平，政府信息公开工作取得了积极进展，但还有工作有待改进完善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snapToGrid w:val="0"/>
          <w:color w:val="000000"/>
          <w:sz w:val="32"/>
          <w:szCs w:val="32"/>
        </w:rPr>
        <w:t>（一）存在的主要问题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网站栏目公开属性定位不完全精准。各栏目之间存在一定行程度交叉，个别子板块、内容的层次不够清晰，发布文件时需要反复斟酌才能确定发布栏目；二是信息公开内容还不够全面、深入，部分栏目信息公开形式较为单一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snapToGrid w:val="0"/>
          <w:color w:val="000000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细化主体责任。深化贯彻落实各项政务公开制度，继续依法受理政府信息公开申请，加强对本厅内部信息公开工作的指导，着力解决公开属性认定把握不准的问题；二是加强制度建设。持续推进每月约稿制度，督促各处室按时公开应公开内容；三是加强业务培训。对本厅政务公开工作小组人员进行定期培训，提高办事人员素质，补足少数文件公开形式单一短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Times New Roman" w:eastAsia="楷体_GB2312"/>
          <w:b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六、其他需要报告的事项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color w:val="000000"/>
          <w:sz w:val="32"/>
          <w:szCs w:val="32"/>
        </w:rPr>
        <w:t>2021年自治区交通运输厅行政事业性收费4293.095万元，包括专业技术职务评审费6.135万元，公路路产补偿费共计4035.74万元（其中，普通公路路产补偿费918.16万元，高速公路路产补偿费3117.58万元），经营性道路客货运输驾驶员从业人员资格考试费251.22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B2074B"/>
    <w:multiLevelType w:val="multilevel"/>
    <w:tmpl w:val="79B2074B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EF"/>
    <w:rsid w:val="00012F4B"/>
    <w:rsid w:val="00037B57"/>
    <w:rsid w:val="00050286"/>
    <w:rsid w:val="00060277"/>
    <w:rsid w:val="00060E9F"/>
    <w:rsid w:val="00092519"/>
    <w:rsid w:val="000C3C4B"/>
    <w:rsid w:val="00192718"/>
    <w:rsid w:val="00197F0D"/>
    <w:rsid w:val="001D6D78"/>
    <w:rsid w:val="0026358F"/>
    <w:rsid w:val="002F0775"/>
    <w:rsid w:val="0030400E"/>
    <w:rsid w:val="00361D21"/>
    <w:rsid w:val="003B0665"/>
    <w:rsid w:val="003D3118"/>
    <w:rsid w:val="003F7E16"/>
    <w:rsid w:val="004232B9"/>
    <w:rsid w:val="00430E8B"/>
    <w:rsid w:val="00450768"/>
    <w:rsid w:val="00452231"/>
    <w:rsid w:val="00486DE6"/>
    <w:rsid w:val="00504C2B"/>
    <w:rsid w:val="00506532"/>
    <w:rsid w:val="0053520A"/>
    <w:rsid w:val="00541446"/>
    <w:rsid w:val="005816F5"/>
    <w:rsid w:val="005A2745"/>
    <w:rsid w:val="005E4616"/>
    <w:rsid w:val="005E5D81"/>
    <w:rsid w:val="0069041B"/>
    <w:rsid w:val="006D55EF"/>
    <w:rsid w:val="006F19DF"/>
    <w:rsid w:val="0072274A"/>
    <w:rsid w:val="00732B91"/>
    <w:rsid w:val="00764066"/>
    <w:rsid w:val="007D1DF9"/>
    <w:rsid w:val="0080220E"/>
    <w:rsid w:val="00817F69"/>
    <w:rsid w:val="00863C57"/>
    <w:rsid w:val="008C5178"/>
    <w:rsid w:val="0093348D"/>
    <w:rsid w:val="0095183C"/>
    <w:rsid w:val="009664F4"/>
    <w:rsid w:val="009F7C50"/>
    <w:rsid w:val="00A30E0C"/>
    <w:rsid w:val="00A73A5F"/>
    <w:rsid w:val="00A76F28"/>
    <w:rsid w:val="00A80FB9"/>
    <w:rsid w:val="00AF11B0"/>
    <w:rsid w:val="00B64CDF"/>
    <w:rsid w:val="00BA09B2"/>
    <w:rsid w:val="00BA0A1D"/>
    <w:rsid w:val="00C06BE9"/>
    <w:rsid w:val="00C312D7"/>
    <w:rsid w:val="00CB17D1"/>
    <w:rsid w:val="00CC71EE"/>
    <w:rsid w:val="00CE2AD2"/>
    <w:rsid w:val="00E32316"/>
    <w:rsid w:val="00E42F38"/>
    <w:rsid w:val="00E43D3F"/>
    <w:rsid w:val="00E93BB7"/>
    <w:rsid w:val="00ED3319"/>
    <w:rsid w:val="00EF2EDF"/>
    <w:rsid w:val="00F2717D"/>
    <w:rsid w:val="00F55C20"/>
    <w:rsid w:val="5D7EA438"/>
    <w:rsid w:val="5FFEF8F6"/>
    <w:rsid w:val="72EE4E2A"/>
    <w:rsid w:val="74FBBB43"/>
    <w:rsid w:val="75ED5D32"/>
    <w:rsid w:val="78FE481A"/>
    <w:rsid w:val="7CA3E458"/>
    <w:rsid w:val="7EFAF087"/>
    <w:rsid w:val="7F7D58EC"/>
    <w:rsid w:val="7FFB1B18"/>
    <w:rsid w:val="873F2367"/>
    <w:rsid w:val="9D4B5CFF"/>
    <w:rsid w:val="BA7B23C6"/>
    <w:rsid w:val="CBFC8F54"/>
    <w:rsid w:val="CD3EDDE9"/>
    <w:rsid w:val="CFFF7263"/>
    <w:rsid w:val="DFAA26FA"/>
    <w:rsid w:val="DFEB4ADC"/>
    <w:rsid w:val="DFEFD79F"/>
    <w:rsid w:val="DFFCCCAF"/>
    <w:rsid w:val="E34FD4A1"/>
    <w:rsid w:val="F5FFC33A"/>
    <w:rsid w:val="F74F3FE6"/>
    <w:rsid w:val="F77E5F01"/>
    <w:rsid w:val="FA7A06FB"/>
    <w:rsid w:val="FB3BD7B7"/>
    <w:rsid w:val="FB6E079A"/>
    <w:rsid w:val="FB7E255A"/>
    <w:rsid w:val="FDD7A529"/>
    <w:rsid w:val="FDEA2A97"/>
    <w:rsid w:val="FDFFF8E1"/>
    <w:rsid w:val="FE734873"/>
    <w:rsid w:val="FE7B7CB0"/>
    <w:rsid w:val="FF3B63B4"/>
    <w:rsid w:val="FF46A45C"/>
    <w:rsid w:val="FFBD8478"/>
    <w:rsid w:val="FFD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570</Words>
  <Characters>3254</Characters>
  <Lines>27</Lines>
  <Paragraphs>7</Paragraphs>
  <TotalTime>183</TotalTime>
  <ScaleCrop>false</ScaleCrop>
  <LinksUpToDate>false</LinksUpToDate>
  <CharactersWithSpaces>3817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2022-01-06T08:57:00Z</dcterms:created>
  <dc:creator>HP</dc:creator>
  <cp:lastModifiedBy>gxxc</cp:lastModifiedBy>
  <cp:lastPrinted>2022-01-25T11:50:00Z</cp:lastPrinted>
  <dcterms:modified xsi:type="dcterms:W3CDTF">2022-01-29T17:30:16Z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